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成安县农业开发办公室2017年部门预算公开</w:t>
      </w: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情况说明</w:t>
      </w:r>
    </w:p>
    <w:p>
      <w:pPr>
        <w:jc w:val="center"/>
        <w:rPr>
          <w:rFonts w:ascii="宋体" w:hAnsi="宋体" w:eastAsia="宋体"/>
        </w:rPr>
      </w:pPr>
      <w:r>
        <w:rPr>
          <w:rFonts w:ascii="宋体" w:hAnsi="宋体" w:eastAsia="宋体"/>
        </w:rPr>
        <w:t xml:space="preserve"> </w:t>
      </w:r>
    </w:p>
    <w:p>
      <w:pPr>
        <w:jc w:val="left"/>
        <w:rPr>
          <w:rFonts w:ascii="仿宋" w:hAnsi="仿宋" w:eastAsia="仿宋" w:cs="仿宋"/>
          <w:kern w:val="0"/>
          <w:sz w:val="32"/>
          <w:szCs w:val="32"/>
        </w:rPr>
      </w:pPr>
      <w:r>
        <w:rPr>
          <w:rFonts w:hint="eastAsia" w:ascii="仿宋_GB2312" w:hAnsi="Calibri" w:eastAsia="仿宋_GB2312" w:cs="仿宋_GB2312"/>
          <w:sz w:val="32"/>
          <w:szCs w:val="32"/>
        </w:rPr>
        <w:t xml:space="preserve">  </w:t>
      </w:r>
      <w:r>
        <w:rPr>
          <w:rFonts w:hint="eastAsia" w:ascii="仿宋" w:hAnsi="仿宋" w:eastAsia="仿宋" w:cs="仿宋"/>
          <w:sz w:val="32"/>
          <w:szCs w:val="32"/>
        </w:rPr>
        <w:t xml:space="preserve">   按照《预算法》有关规定和财政部关于印发《地方预决算公开操作规程》的通知，</w:t>
      </w:r>
      <w:r>
        <w:rPr>
          <w:rFonts w:hint="eastAsia" w:ascii="仿宋" w:hAnsi="仿宋" w:eastAsia="仿宋" w:cs="仿宋"/>
          <w:kern w:val="0"/>
          <w:sz w:val="32"/>
          <w:szCs w:val="32"/>
        </w:rPr>
        <w:t>现将农业开发办公室2017年部门预算公开如下：</w:t>
      </w:r>
    </w:p>
    <w:p>
      <w:pPr>
        <w:widowControl/>
        <w:tabs>
          <w:tab w:val="left" w:pos="806"/>
        </w:tabs>
        <w:spacing w:line="360" w:lineRule="auto"/>
        <w:ind w:firstLine="1280" w:firstLineChars="400"/>
        <w:jc w:val="left"/>
        <w:rPr>
          <w:rFonts w:ascii="黑体" w:hAnsi="黑体" w:eastAsia="黑体" w:cs="楷体"/>
          <w:bCs/>
          <w:kern w:val="0"/>
          <w:sz w:val="32"/>
          <w:szCs w:val="32"/>
        </w:rPr>
      </w:pPr>
      <w:r>
        <w:rPr>
          <w:rFonts w:hint="eastAsia" w:ascii="黑体" w:hAnsi="黑体" w:eastAsia="黑体" w:cs="楷体"/>
          <w:bCs/>
          <w:sz w:val="32"/>
          <w:szCs w:val="32"/>
        </w:rPr>
        <w:t>一、  部门职责及机构设置情况</w:t>
      </w:r>
    </w:p>
    <w:p>
      <w:pPr>
        <w:widowControl/>
        <w:spacing w:line="36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 1、负责全面贯彻执行国家和省、市</w:t>
      </w:r>
      <w:r>
        <w:fldChar w:fldCharType="begin"/>
      </w:r>
      <w:r>
        <w:instrText xml:space="preserve"> HYPERLINK "http://baike.baidu.com/subview/2160324/2160324.htm" \t "_blank" </w:instrText>
      </w:r>
      <w:r>
        <w:fldChar w:fldCharType="separate"/>
      </w:r>
      <w:r>
        <w:rPr>
          <w:rFonts w:hint="eastAsia" w:ascii="仿宋" w:hAnsi="仿宋" w:eastAsia="仿宋" w:cs="仿宋"/>
          <w:bCs/>
          <w:kern w:val="0"/>
          <w:sz w:val="32"/>
          <w:szCs w:val="32"/>
        </w:rPr>
        <w:t>农业综合开发</w:t>
      </w:r>
      <w:r>
        <w:rPr>
          <w:rFonts w:hint="eastAsia" w:ascii="仿宋" w:hAnsi="仿宋" w:eastAsia="仿宋" w:cs="仿宋"/>
          <w:bCs/>
          <w:kern w:val="0"/>
          <w:sz w:val="32"/>
          <w:szCs w:val="32"/>
        </w:rPr>
        <w:fldChar w:fldCharType="end"/>
      </w:r>
      <w:r>
        <w:rPr>
          <w:rFonts w:hint="eastAsia" w:ascii="仿宋" w:hAnsi="仿宋" w:eastAsia="仿宋" w:cs="仿宋"/>
          <w:bCs/>
          <w:kern w:val="0"/>
          <w:sz w:val="32"/>
          <w:szCs w:val="32"/>
        </w:rPr>
        <w:t>的方针、政策，落实项目和</w:t>
      </w:r>
      <w:r>
        <w:fldChar w:fldCharType="begin"/>
      </w:r>
      <w:r>
        <w:instrText xml:space="preserve"> HYPERLINK "http://baike.baidu.com/subview/2247887/2247887.htm" \t "_blank" </w:instrText>
      </w:r>
      <w:r>
        <w:fldChar w:fldCharType="separate"/>
      </w:r>
      <w:r>
        <w:rPr>
          <w:rFonts w:hint="eastAsia" w:ascii="仿宋" w:hAnsi="仿宋" w:eastAsia="仿宋" w:cs="仿宋"/>
          <w:bCs/>
          <w:kern w:val="0"/>
          <w:sz w:val="32"/>
          <w:szCs w:val="32"/>
        </w:rPr>
        <w:t>资金管理制度</w:t>
      </w:r>
      <w:r>
        <w:rPr>
          <w:rFonts w:hint="eastAsia" w:ascii="仿宋" w:hAnsi="仿宋" w:eastAsia="仿宋" w:cs="仿宋"/>
          <w:bCs/>
          <w:kern w:val="0"/>
          <w:sz w:val="32"/>
          <w:szCs w:val="32"/>
        </w:rPr>
        <w:fldChar w:fldCharType="end"/>
      </w:r>
      <w:r>
        <w:rPr>
          <w:rFonts w:hint="eastAsia" w:ascii="仿宋" w:hAnsi="仿宋" w:eastAsia="仿宋" w:cs="仿宋"/>
          <w:bCs/>
          <w:kern w:val="0"/>
          <w:sz w:val="32"/>
          <w:szCs w:val="32"/>
        </w:rPr>
        <w:t>；研究制定全县农业综合开发规划、计划和项目管理办法；编制全县农业综合开发中长期发展规划、年度项目计划；加强</w:t>
      </w:r>
      <w:r>
        <w:fldChar w:fldCharType="begin"/>
      </w:r>
      <w:r>
        <w:instrText xml:space="preserve"> HYPERLINK "http://baike.baidu.com/subview/16822/16822.htm" \t "_blank" </w:instrText>
      </w:r>
      <w:r>
        <w:fldChar w:fldCharType="separate"/>
      </w:r>
      <w:r>
        <w:rPr>
          <w:rFonts w:hint="eastAsia" w:ascii="仿宋" w:hAnsi="仿宋" w:eastAsia="仿宋" w:cs="仿宋"/>
          <w:bCs/>
          <w:kern w:val="0"/>
          <w:sz w:val="32"/>
          <w:szCs w:val="32"/>
        </w:rPr>
        <w:t>宏观调控</w:t>
      </w:r>
      <w:r>
        <w:rPr>
          <w:rFonts w:hint="eastAsia" w:ascii="仿宋" w:hAnsi="仿宋" w:eastAsia="仿宋" w:cs="仿宋"/>
          <w:bCs/>
          <w:kern w:val="0"/>
          <w:sz w:val="32"/>
          <w:szCs w:val="32"/>
        </w:rPr>
        <w:fldChar w:fldCharType="end"/>
      </w:r>
      <w:r>
        <w:rPr>
          <w:rFonts w:hint="eastAsia" w:ascii="仿宋" w:hAnsi="仿宋" w:eastAsia="仿宋" w:cs="仿宋"/>
          <w:bCs/>
          <w:kern w:val="0"/>
          <w:sz w:val="32"/>
          <w:szCs w:val="32"/>
        </w:rPr>
        <w:t>，引导全县农业综合开发健康发展。</w:t>
      </w:r>
    </w:p>
    <w:p>
      <w:pPr>
        <w:widowControl/>
        <w:spacing w:line="36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2、负责项目的申报、管理、实施和运行工作，参与管理和统筹安排农业综合开发资金；会同有关部门申报项目。</w:t>
      </w:r>
    </w:p>
    <w:p>
      <w:pPr>
        <w:widowControl/>
        <w:spacing w:line="36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3、负责全县农业综合开发国家项目和部门项目的组织评估、论证、实施、监督检查及项目的规划设计、建设规模、投资计划及年终考核工作。</w:t>
      </w:r>
    </w:p>
    <w:p>
      <w:pPr>
        <w:widowControl/>
        <w:spacing w:line="36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4、具体组织实施全县农业综合开发</w:t>
      </w:r>
      <w:r>
        <w:fldChar w:fldCharType="begin"/>
      </w:r>
      <w:r>
        <w:instrText xml:space="preserve"> HYPERLINK "http://baike.baidu.com/subview/818520/818520.htm" \t "_blank" </w:instrText>
      </w:r>
      <w:r>
        <w:fldChar w:fldCharType="separate"/>
      </w:r>
      <w:r>
        <w:rPr>
          <w:rFonts w:hint="eastAsia" w:ascii="仿宋" w:hAnsi="仿宋" w:eastAsia="仿宋" w:cs="仿宋"/>
          <w:bCs/>
          <w:kern w:val="0"/>
          <w:sz w:val="32"/>
          <w:szCs w:val="32"/>
        </w:rPr>
        <w:t>土地治理</w:t>
      </w:r>
      <w:r>
        <w:rPr>
          <w:rFonts w:hint="eastAsia" w:ascii="仿宋" w:hAnsi="仿宋" w:eastAsia="仿宋" w:cs="仿宋"/>
          <w:bCs/>
          <w:kern w:val="0"/>
          <w:sz w:val="32"/>
          <w:szCs w:val="32"/>
        </w:rPr>
        <w:fldChar w:fldCharType="end"/>
      </w:r>
      <w:r>
        <w:rPr>
          <w:rFonts w:hint="eastAsia" w:ascii="仿宋" w:hAnsi="仿宋" w:eastAsia="仿宋" w:cs="仿宋"/>
          <w:bCs/>
          <w:kern w:val="0"/>
          <w:sz w:val="32"/>
          <w:szCs w:val="32"/>
        </w:rPr>
        <w:t>、产业化经营项目。包括建立</w:t>
      </w:r>
      <w:r>
        <w:fldChar w:fldCharType="begin"/>
      </w:r>
      <w:r>
        <w:instrText xml:space="preserve"> HYPERLINK "http://baike.baidu.com/subview/890434/890434.htm" \t "_blank" </w:instrText>
      </w:r>
      <w:r>
        <w:fldChar w:fldCharType="separate"/>
      </w:r>
      <w:r>
        <w:rPr>
          <w:rFonts w:hint="eastAsia" w:ascii="仿宋" w:hAnsi="仿宋" w:eastAsia="仿宋" w:cs="仿宋"/>
          <w:bCs/>
          <w:kern w:val="0"/>
          <w:sz w:val="32"/>
          <w:szCs w:val="32"/>
        </w:rPr>
        <w:t>项目库</w:t>
      </w:r>
      <w:r>
        <w:rPr>
          <w:rFonts w:hint="eastAsia" w:ascii="仿宋" w:hAnsi="仿宋" w:eastAsia="仿宋" w:cs="仿宋"/>
          <w:bCs/>
          <w:kern w:val="0"/>
          <w:sz w:val="32"/>
          <w:szCs w:val="32"/>
        </w:rPr>
        <w:fldChar w:fldCharType="end"/>
      </w:r>
      <w:r>
        <w:rPr>
          <w:rFonts w:hint="eastAsia" w:ascii="仿宋" w:hAnsi="仿宋" w:eastAsia="仿宋" w:cs="仿宋"/>
          <w:bCs/>
          <w:kern w:val="0"/>
          <w:sz w:val="32"/>
          <w:szCs w:val="32"/>
        </w:rPr>
        <w:t>、编制项目</w:t>
      </w:r>
      <w:r>
        <w:fldChar w:fldCharType="begin"/>
      </w:r>
      <w:r>
        <w:instrText xml:space="preserve"> HYPERLINK "http://baike.baidu.com/subview/1431078/1431078.htm" \t "_blank" </w:instrText>
      </w:r>
      <w:r>
        <w:fldChar w:fldCharType="separate"/>
      </w:r>
      <w:r>
        <w:rPr>
          <w:rFonts w:hint="eastAsia" w:ascii="仿宋" w:hAnsi="仿宋" w:eastAsia="仿宋" w:cs="仿宋"/>
          <w:bCs/>
          <w:kern w:val="0"/>
          <w:sz w:val="32"/>
          <w:szCs w:val="32"/>
        </w:rPr>
        <w:t>可研报告</w:t>
      </w:r>
      <w:r>
        <w:rPr>
          <w:rFonts w:hint="eastAsia" w:ascii="仿宋" w:hAnsi="仿宋" w:eastAsia="仿宋" w:cs="仿宋"/>
          <w:bCs/>
          <w:kern w:val="0"/>
          <w:sz w:val="32"/>
          <w:szCs w:val="32"/>
        </w:rPr>
        <w:fldChar w:fldCharType="end"/>
      </w:r>
      <w:r>
        <w:rPr>
          <w:rFonts w:hint="eastAsia" w:ascii="仿宋" w:hAnsi="仿宋" w:eastAsia="仿宋" w:cs="仿宋"/>
          <w:bCs/>
          <w:kern w:val="0"/>
          <w:sz w:val="32"/>
          <w:szCs w:val="32"/>
        </w:rPr>
        <w:t>和实施方案、组织项目实施。</w:t>
      </w:r>
    </w:p>
    <w:p>
      <w:pPr>
        <w:widowControl/>
        <w:spacing w:line="360" w:lineRule="auto"/>
        <w:ind w:left="628"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5、负责国家和省立项的农业综合开发项目的招投标及</w:t>
      </w:r>
      <w:r>
        <w:fldChar w:fldCharType="begin"/>
      </w:r>
      <w:r>
        <w:instrText xml:space="preserve"> HYPERLINK "http://baike.baidu.com/subview/9644316/9760377.htm" \t "_blank" </w:instrText>
      </w:r>
      <w:r>
        <w:fldChar w:fldCharType="separate"/>
      </w:r>
      <w:r>
        <w:rPr>
          <w:rFonts w:hint="eastAsia" w:ascii="仿宋" w:hAnsi="仿宋" w:eastAsia="仿宋" w:cs="仿宋"/>
          <w:bCs/>
          <w:kern w:val="0"/>
          <w:sz w:val="32"/>
          <w:szCs w:val="32"/>
        </w:rPr>
        <w:t>货物采购</w:t>
      </w:r>
      <w:r>
        <w:rPr>
          <w:rFonts w:hint="eastAsia" w:ascii="仿宋" w:hAnsi="仿宋" w:eastAsia="仿宋" w:cs="仿宋"/>
          <w:bCs/>
          <w:kern w:val="0"/>
          <w:sz w:val="32"/>
          <w:szCs w:val="32"/>
        </w:rPr>
        <w:fldChar w:fldCharType="end"/>
      </w:r>
      <w:r>
        <w:rPr>
          <w:rFonts w:hint="eastAsia" w:ascii="仿宋" w:hAnsi="仿宋" w:eastAsia="仿宋" w:cs="仿宋"/>
          <w:bCs/>
          <w:kern w:val="0"/>
          <w:sz w:val="32"/>
          <w:szCs w:val="32"/>
        </w:rPr>
        <w:t>安排、分配和调整工作，并指导、督促检查</w:t>
      </w:r>
      <w:r>
        <w:fldChar w:fldCharType="begin"/>
      </w:r>
      <w:r>
        <w:instrText xml:space="preserve"> HYPERLINK "http://baike.baidu.com/subview/2926716/2926716.htm" \t "_blank" </w:instrText>
      </w:r>
      <w:r>
        <w:fldChar w:fldCharType="separate"/>
      </w:r>
      <w:r>
        <w:rPr>
          <w:rFonts w:hint="eastAsia" w:ascii="仿宋" w:hAnsi="仿宋" w:eastAsia="仿宋" w:cs="仿宋"/>
          <w:bCs/>
          <w:kern w:val="0"/>
          <w:sz w:val="32"/>
          <w:szCs w:val="32"/>
        </w:rPr>
        <w:t>项目执行</w:t>
      </w:r>
      <w:r>
        <w:rPr>
          <w:rFonts w:hint="eastAsia" w:ascii="仿宋" w:hAnsi="仿宋" w:eastAsia="仿宋" w:cs="仿宋"/>
          <w:bCs/>
          <w:kern w:val="0"/>
          <w:sz w:val="32"/>
          <w:szCs w:val="32"/>
        </w:rPr>
        <w:fldChar w:fldCharType="end"/>
      </w:r>
      <w:r>
        <w:rPr>
          <w:rFonts w:hint="eastAsia" w:ascii="仿宋" w:hAnsi="仿宋" w:eastAsia="仿宋" w:cs="仿宋"/>
          <w:bCs/>
          <w:kern w:val="0"/>
          <w:sz w:val="32"/>
          <w:szCs w:val="32"/>
        </w:rPr>
        <w:t>情况，对竣工</w:t>
      </w:r>
      <w:r>
        <w:fldChar w:fldCharType="begin"/>
      </w:r>
      <w:r>
        <w:instrText xml:space="preserve"> HYPERLINK "http://baike.baidu.com/subview/635574/635574.htm" \t "_blank" </w:instrText>
      </w:r>
      <w:r>
        <w:fldChar w:fldCharType="separate"/>
      </w:r>
      <w:r>
        <w:rPr>
          <w:rFonts w:hint="eastAsia" w:ascii="仿宋" w:hAnsi="仿宋" w:eastAsia="仿宋" w:cs="仿宋"/>
          <w:bCs/>
          <w:kern w:val="0"/>
          <w:sz w:val="32"/>
          <w:szCs w:val="32"/>
        </w:rPr>
        <w:t>项目组织</w:t>
      </w:r>
      <w:r>
        <w:rPr>
          <w:rFonts w:hint="eastAsia" w:ascii="仿宋" w:hAnsi="仿宋" w:eastAsia="仿宋" w:cs="仿宋"/>
          <w:bCs/>
          <w:kern w:val="0"/>
          <w:sz w:val="32"/>
          <w:szCs w:val="32"/>
        </w:rPr>
        <w:fldChar w:fldCharType="end"/>
      </w:r>
      <w:r>
        <w:rPr>
          <w:rFonts w:hint="eastAsia" w:ascii="仿宋" w:hAnsi="仿宋" w:eastAsia="仿宋" w:cs="仿宋"/>
          <w:bCs/>
          <w:kern w:val="0"/>
          <w:sz w:val="32"/>
          <w:szCs w:val="32"/>
        </w:rPr>
        <w:t>验收。</w:t>
      </w:r>
    </w:p>
    <w:p>
      <w:pPr>
        <w:widowControl/>
        <w:spacing w:line="360" w:lineRule="auto"/>
        <w:ind w:left="838" w:leftChars="399" w:firstLine="438" w:firstLineChars="137"/>
        <w:jc w:val="left"/>
        <w:rPr>
          <w:rFonts w:ascii="仿宋" w:hAnsi="仿宋" w:eastAsia="仿宋" w:cs="仿宋"/>
          <w:bCs/>
          <w:kern w:val="0"/>
          <w:sz w:val="32"/>
          <w:szCs w:val="32"/>
        </w:rPr>
      </w:pPr>
      <w:r>
        <w:rPr>
          <w:rFonts w:hint="eastAsia" w:ascii="仿宋" w:hAnsi="仿宋" w:eastAsia="仿宋" w:cs="仿宋"/>
          <w:bCs/>
          <w:kern w:val="0"/>
          <w:sz w:val="32"/>
          <w:szCs w:val="32"/>
        </w:rPr>
        <w:t>6、负责支持、扶持辐射面广、带动力强的重点龙头项目，培育全县农业产业化龙头企业和农民</w:t>
      </w:r>
      <w:r>
        <w:fldChar w:fldCharType="begin"/>
      </w:r>
      <w:r>
        <w:instrText xml:space="preserve"> HYPERLINK "http://baike.baidu.com/subview/429036/429036.htm" \t "_blank" </w:instrText>
      </w:r>
      <w:r>
        <w:fldChar w:fldCharType="separate"/>
      </w:r>
      <w:r>
        <w:rPr>
          <w:rFonts w:hint="eastAsia" w:ascii="仿宋" w:hAnsi="仿宋" w:eastAsia="仿宋" w:cs="仿宋"/>
          <w:bCs/>
          <w:kern w:val="0"/>
          <w:sz w:val="32"/>
          <w:szCs w:val="32"/>
        </w:rPr>
        <w:t>合作经济</w:t>
      </w:r>
      <w:r>
        <w:rPr>
          <w:rFonts w:hint="eastAsia" w:ascii="仿宋" w:hAnsi="仿宋" w:eastAsia="仿宋" w:cs="仿宋"/>
          <w:bCs/>
          <w:kern w:val="0"/>
          <w:sz w:val="32"/>
          <w:szCs w:val="32"/>
        </w:rPr>
        <w:fldChar w:fldCharType="end"/>
      </w:r>
      <w:r>
        <w:rPr>
          <w:rFonts w:hint="eastAsia" w:ascii="仿宋" w:hAnsi="仿宋" w:eastAsia="仿宋" w:cs="仿宋"/>
          <w:bCs/>
          <w:kern w:val="0"/>
          <w:sz w:val="32"/>
          <w:szCs w:val="32"/>
        </w:rPr>
        <w:t>组织，发展产业化经营；抓好农业产业化招商引资、技术合作和宣传工作；组织引进国外、县外和社会资金投入</w:t>
      </w:r>
      <w:r>
        <w:fldChar w:fldCharType="begin"/>
      </w:r>
      <w:r>
        <w:instrText xml:space="preserve"> HYPERLINK "http://baike.baidu.com/subview/2160324/2160324.htm" \t "_blank" </w:instrText>
      </w:r>
      <w:r>
        <w:fldChar w:fldCharType="separate"/>
      </w:r>
      <w:r>
        <w:rPr>
          <w:rFonts w:hint="eastAsia" w:ascii="仿宋" w:hAnsi="仿宋" w:eastAsia="仿宋" w:cs="仿宋"/>
          <w:bCs/>
          <w:kern w:val="0"/>
          <w:sz w:val="32"/>
          <w:szCs w:val="32"/>
        </w:rPr>
        <w:t>农业综合开发</w:t>
      </w:r>
      <w:r>
        <w:rPr>
          <w:rFonts w:hint="eastAsia" w:ascii="仿宋" w:hAnsi="仿宋" w:eastAsia="仿宋" w:cs="仿宋"/>
          <w:bCs/>
          <w:kern w:val="0"/>
          <w:sz w:val="32"/>
          <w:szCs w:val="32"/>
        </w:rPr>
        <w:fldChar w:fldCharType="end"/>
      </w:r>
      <w:r>
        <w:rPr>
          <w:rFonts w:hint="eastAsia" w:ascii="仿宋" w:hAnsi="仿宋" w:eastAsia="仿宋" w:cs="仿宋"/>
          <w:bCs/>
          <w:kern w:val="0"/>
          <w:sz w:val="32"/>
          <w:szCs w:val="32"/>
        </w:rPr>
        <w:t>，积极开展国际、国内合作与交流。</w:t>
      </w:r>
    </w:p>
    <w:p>
      <w:pPr>
        <w:widowControl/>
        <w:spacing w:line="360" w:lineRule="auto"/>
        <w:ind w:left="628"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7、运用水利、林业、农业、畜牧、能源、科技、财政和产业化等专业措施，依据</w:t>
      </w:r>
      <w:r>
        <w:fldChar w:fldCharType="begin"/>
      </w:r>
      <w:r>
        <w:instrText xml:space="preserve"> HYPERLINK "http://baike.baidu.com/subview/818520/818520.htm" \t "_blank" </w:instrText>
      </w:r>
      <w:r>
        <w:fldChar w:fldCharType="separate"/>
      </w:r>
      <w:r>
        <w:rPr>
          <w:rFonts w:hint="eastAsia" w:ascii="仿宋" w:hAnsi="仿宋" w:eastAsia="仿宋" w:cs="仿宋"/>
          <w:bCs/>
          <w:kern w:val="0"/>
          <w:sz w:val="32"/>
          <w:szCs w:val="32"/>
        </w:rPr>
        <w:t>土地治理</w:t>
      </w:r>
      <w:r>
        <w:rPr>
          <w:rFonts w:hint="eastAsia" w:ascii="仿宋" w:hAnsi="仿宋" w:eastAsia="仿宋" w:cs="仿宋"/>
          <w:bCs/>
          <w:kern w:val="0"/>
          <w:sz w:val="32"/>
          <w:szCs w:val="32"/>
        </w:rPr>
        <w:fldChar w:fldCharType="end"/>
      </w:r>
      <w:r>
        <w:rPr>
          <w:rFonts w:hint="eastAsia" w:ascii="仿宋" w:hAnsi="仿宋" w:eastAsia="仿宋" w:cs="仿宋"/>
          <w:bCs/>
          <w:kern w:val="0"/>
          <w:sz w:val="32"/>
          <w:szCs w:val="32"/>
        </w:rPr>
        <w:t>项目、</w:t>
      </w:r>
      <w:r>
        <w:fldChar w:fldCharType="begin"/>
      </w:r>
      <w:r>
        <w:instrText xml:space="preserve"> HYPERLINK "http://baike.baidu.com/subview/1076247/1076247.htm" \t "_blank" </w:instrText>
      </w:r>
      <w:r>
        <w:fldChar w:fldCharType="separate"/>
      </w:r>
      <w:r>
        <w:rPr>
          <w:rFonts w:hint="eastAsia" w:ascii="仿宋" w:hAnsi="仿宋" w:eastAsia="仿宋" w:cs="仿宋"/>
          <w:bCs/>
          <w:kern w:val="0"/>
          <w:sz w:val="32"/>
          <w:szCs w:val="32"/>
        </w:rPr>
        <w:t>多种经营</w:t>
      </w:r>
      <w:r>
        <w:rPr>
          <w:rFonts w:hint="eastAsia" w:ascii="仿宋" w:hAnsi="仿宋" w:eastAsia="仿宋" w:cs="仿宋"/>
          <w:bCs/>
          <w:kern w:val="0"/>
          <w:sz w:val="32"/>
          <w:szCs w:val="32"/>
        </w:rPr>
        <w:fldChar w:fldCharType="end"/>
      </w:r>
      <w:r>
        <w:rPr>
          <w:rFonts w:hint="eastAsia" w:ascii="仿宋" w:hAnsi="仿宋" w:eastAsia="仿宋" w:cs="仿宋"/>
          <w:bCs/>
          <w:kern w:val="0"/>
          <w:sz w:val="32"/>
          <w:szCs w:val="32"/>
        </w:rPr>
        <w:t>项目的要求，指导、督促、检查农业综合开发项目建设工作和执行情况，达到农业增效，农民增收，农村稳定的建设目标。</w:t>
      </w:r>
    </w:p>
    <w:p>
      <w:pPr>
        <w:widowControl/>
        <w:spacing w:line="360" w:lineRule="auto"/>
        <w:ind w:left="628"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8、负责项目县农业结构调整、科技成果示范、推广和科技人员的业务技术培训；抓好本部门并指导各项目实施单位农业综合开发队伍建设和业务工作，协调与有关部门的关系；通过引进推广先进</w:t>
      </w:r>
      <w:r>
        <w:fldChar w:fldCharType="begin"/>
      </w:r>
      <w:r>
        <w:instrText xml:space="preserve"> HYPERLINK "http://baike.baidu.com/subview/11790704/12160048.htm" \t "_blank" </w:instrText>
      </w:r>
      <w:r>
        <w:fldChar w:fldCharType="separate"/>
      </w:r>
      <w:r>
        <w:rPr>
          <w:rFonts w:hint="eastAsia" w:ascii="仿宋" w:hAnsi="仿宋" w:eastAsia="仿宋" w:cs="仿宋"/>
          <w:bCs/>
          <w:kern w:val="0"/>
          <w:sz w:val="32"/>
          <w:szCs w:val="32"/>
        </w:rPr>
        <w:t>适用技术</w:t>
      </w:r>
      <w:r>
        <w:rPr>
          <w:rFonts w:hint="eastAsia" w:ascii="仿宋" w:hAnsi="仿宋" w:eastAsia="仿宋" w:cs="仿宋"/>
          <w:bCs/>
          <w:kern w:val="0"/>
          <w:sz w:val="32"/>
          <w:szCs w:val="32"/>
        </w:rPr>
        <w:fldChar w:fldCharType="end"/>
      </w:r>
      <w:r>
        <w:rPr>
          <w:rFonts w:hint="eastAsia" w:ascii="仿宋" w:hAnsi="仿宋" w:eastAsia="仿宋" w:cs="仿宋"/>
          <w:bCs/>
          <w:kern w:val="0"/>
          <w:sz w:val="32"/>
          <w:szCs w:val="32"/>
        </w:rPr>
        <w:t>，提高农业综合开发的科技贡献率，促进全县</w:t>
      </w:r>
      <w:r>
        <w:fldChar w:fldCharType="begin"/>
      </w:r>
      <w:r>
        <w:instrText xml:space="preserve"> HYPERLINK "http://baike.baidu.com/subview/2160324/2160324.htm" \t "_blank" </w:instrText>
      </w:r>
      <w:r>
        <w:fldChar w:fldCharType="separate"/>
      </w:r>
      <w:r>
        <w:rPr>
          <w:rFonts w:hint="eastAsia" w:ascii="仿宋" w:hAnsi="仿宋" w:eastAsia="仿宋" w:cs="仿宋"/>
          <w:bCs/>
          <w:kern w:val="0"/>
          <w:sz w:val="32"/>
          <w:szCs w:val="32"/>
        </w:rPr>
        <w:t>农业综合开发</w:t>
      </w:r>
      <w:r>
        <w:rPr>
          <w:rFonts w:hint="eastAsia" w:ascii="仿宋" w:hAnsi="仿宋" w:eastAsia="仿宋" w:cs="仿宋"/>
          <w:bCs/>
          <w:kern w:val="0"/>
          <w:sz w:val="32"/>
          <w:szCs w:val="32"/>
        </w:rPr>
        <w:fldChar w:fldCharType="end"/>
      </w:r>
      <w:r>
        <w:rPr>
          <w:rFonts w:hint="eastAsia" w:ascii="仿宋" w:hAnsi="仿宋" w:eastAsia="仿宋" w:cs="仿宋"/>
          <w:bCs/>
          <w:kern w:val="0"/>
          <w:sz w:val="32"/>
          <w:szCs w:val="32"/>
        </w:rPr>
        <w:t>实现农业现代化。</w:t>
      </w:r>
    </w:p>
    <w:p>
      <w:pPr>
        <w:widowControl/>
        <w:spacing w:line="360" w:lineRule="auto"/>
        <w:ind w:left="628"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9、配合财政部门做好农业综合开发项目</w:t>
      </w:r>
      <w:r>
        <w:fldChar w:fldCharType="begin"/>
      </w:r>
      <w:r>
        <w:instrText xml:space="preserve"> HYPERLINK "http://baike.baidu.com/subview/1345662/1345662.htm" \t "_blank" </w:instrText>
      </w:r>
      <w:r>
        <w:fldChar w:fldCharType="separate"/>
      </w:r>
      <w:r>
        <w:rPr>
          <w:rFonts w:hint="eastAsia" w:ascii="仿宋" w:hAnsi="仿宋" w:eastAsia="仿宋" w:cs="仿宋"/>
          <w:bCs/>
          <w:kern w:val="0"/>
          <w:sz w:val="32"/>
          <w:szCs w:val="32"/>
        </w:rPr>
        <w:t>资金管理</w:t>
      </w:r>
      <w:r>
        <w:rPr>
          <w:rFonts w:hint="eastAsia" w:ascii="仿宋" w:hAnsi="仿宋" w:eastAsia="仿宋" w:cs="仿宋"/>
          <w:bCs/>
          <w:kern w:val="0"/>
          <w:sz w:val="32"/>
          <w:szCs w:val="32"/>
        </w:rPr>
        <w:fldChar w:fldCharType="end"/>
      </w:r>
      <w:r>
        <w:rPr>
          <w:rFonts w:hint="eastAsia" w:ascii="仿宋" w:hAnsi="仿宋" w:eastAsia="仿宋" w:cs="仿宋"/>
          <w:bCs/>
          <w:kern w:val="0"/>
          <w:sz w:val="32"/>
          <w:szCs w:val="32"/>
        </w:rPr>
        <w:t>工作。.贯彻落实国家农业综合开发项目与</w:t>
      </w:r>
      <w:r>
        <w:fldChar w:fldCharType="begin"/>
      </w:r>
      <w:r>
        <w:instrText xml:space="preserve"> HYPERLINK "http://baike.baidu.com/subview/2247887/2247887.htm" \t "_blank" </w:instrText>
      </w:r>
      <w:r>
        <w:fldChar w:fldCharType="separate"/>
      </w:r>
      <w:r>
        <w:rPr>
          <w:rFonts w:hint="eastAsia" w:ascii="仿宋" w:hAnsi="仿宋" w:eastAsia="仿宋" w:cs="仿宋"/>
          <w:bCs/>
          <w:kern w:val="0"/>
          <w:sz w:val="32"/>
          <w:szCs w:val="32"/>
        </w:rPr>
        <w:t>资金管理制度</w:t>
      </w:r>
      <w:r>
        <w:rPr>
          <w:rFonts w:hint="eastAsia" w:ascii="仿宋" w:hAnsi="仿宋" w:eastAsia="仿宋" w:cs="仿宋"/>
          <w:bCs/>
          <w:kern w:val="0"/>
          <w:sz w:val="32"/>
          <w:szCs w:val="32"/>
        </w:rPr>
        <w:fldChar w:fldCharType="end"/>
      </w:r>
      <w:r>
        <w:rPr>
          <w:rFonts w:hint="eastAsia" w:ascii="仿宋" w:hAnsi="仿宋" w:eastAsia="仿宋" w:cs="仿宋"/>
          <w:bCs/>
          <w:kern w:val="0"/>
          <w:sz w:val="32"/>
          <w:szCs w:val="32"/>
        </w:rPr>
        <w:t>，指导、协调和督促检查农业综合开发资金使用情况。</w:t>
      </w:r>
    </w:p>
    <w:p>
      <w:pPr>
        <w:widowControl/>
        <w:spacing w:line="360" w:lineRule="auto"/>
        <w:ind w:left="628"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10、组织开展全县农业综合开发项目后续管理和开发利用工作，督促各项目实施单位运用开发成果，发挥资源优势，依靠科技进步，加强工程建后管护，不断优化农业结构。</w:t>
      </w:r>
    </w:p>
    <w:p>
      <w:pPr>
        <w:widowControl/>
        <w:spacing w:line="360" w:lineRule="auto"/>
        <w:ind w:left="628"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11、负责制定全县农业综合开发的地方性法规、规章，负责有关法规、规章实施的组织，促进全县农业综合开发工作规范化、制度化、法制化。</w:t>
      </w:r>
    </w:p>
    <w:p>
      <w:pPr>
        <w:widowControl/>
        <w:spacing w:line="360" w:lineRule="auto"/>
        <w:ind w:left="628"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12、负责</w:t>
      </w:r>
      <w:r>
        <w:fldChar w:fldCharType="begin"/>
      </w:r>
      <w:r>
        <w:instrText xml:space="preserve"> HYPERLINK "http://baike.baidu.com/subview/1205725/1205725.htm" \t "_blank" </w:instrText>
      </w:r>
      <w:r>
        <w:fldChar w:fldCharType="separate"/>
      </w:r>
      <w:r>
        <w:rPr>
          <w:rFonts w:hint="eastAsia" w:ascii="仿宋" w:hAnsi="仿宋" w:eastAsia="仿宋" w:cs="仿宋"/>
          <w:bCs/>
          <w:kern w:val="0"/>
          <w:sz w:val="32"/>
          <w:szCs w:val="32"/>
        </w:rPr>
        <w:t>项目档案</w:t>
      </w:r>
      <w:r>
        <w:rPr>
          <w:rFonts w:hint="eastAsia" w:ascii="仿宋" w:hAnsi="仿宋" w:eastAsia="仿宋" w:cs="仿宋"/>
          <w:bCs/>
          <w:kern w:val="0"/>
          <w:sz w:val="32"/>
          <w:szCs w:val="32"/>
        </w:rPr>
        <w:fldChar w:fldCharType="end"/>
      </w:r>
      <w:r>
        <w:rPr>
          <w:rFonts w:hint="eastAsia" w:ascii="仿宋" w:hAnsi="仿宋" w:eastAsia="仿宋" w:cs="仿宋"/>
          <w:bCs/>
          <w:kern w:val="0"/>
          <w:sz w:val="32"/>
          <w:szCs w:val="32"/>
        </w:rPr>
        <w:t>资料及信息的整理、汇总、上报工作。</w:t>
      </w:r>
    </w:p>
    <w:p>
      <w:pPr>
        <w:widowControl/>
        <w:spacing w:line="360" w:lineRule="auto"/>
        <w:ind w:left="628" w:firstLine="640" w:firstLineChars="200"/>
        <w:jc w:val="left"/>
        <w:rPr>
          <w:rFonts w:hint="eastAsia" w:ascii="仿宋" w:hAnsi="仿宋" w:eastAsia="仿宋" w:cs="仿宋"/>
          <w:bCs/>
          <w:kern w:val="0"/>
          <w:sz w:val="32"/>
          <w:szCs w:val="32"/>
        </w:rPr>
      </w:pPr>
      <w:r>
        <w:rPr>
          <w:rFonts w:hint="eastAsia" w:ascii="仿宋" w:hAnsi="仿宋" w:eastAsia="仿宋" w:cs="仿宋"/>
          <w:bCs/>
          <w:kern w:val="0"/>
          <w:sz w:val="32"/>
          <w:szCs w:val="32"/>
        </w:rPr>
        <w:t>13、承办县委、县政府交办的其他工作。</w:t>
      </w:r>
    </w:p>
    <w:p>
      <w:pPr>
        <w:widowControl/>
        <w:spacing w:line="360" w:lineRule="auto"/>
        <w:ind w:left="628"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在编人员16人，领导职数2人。</w:t>
      </w:r>
    </w:p>
    <w:p>
      <w:pPr>
        <w:widowControl/>
        <w:spacing w:line="360" w:lineRule="auto"/>
        <w:ind w:left="628"/>
        <w:jc w:val="left"/>
        <w:rPr>
          <w:rFonts w:ascii="仿宋" w:hAnsi="仿宋" w:eastAsia="仿宋" w:cs="仿宋"/>
          <w:b/>
          <w:kern w:val="0"/>
          <w:sz w:val="32"/>
          <w:szCs w:val="32"/>
        </w:rPr>
      </w:pPr>
      <w:r>
        <w:rPr>
          <w:rFonts w:hint="eastAsia" w:ascii="仿宋" w:hAnsi="仿宋" w:eastAsia="仿宋" w:cs="仿宋"/>
          <w:b/>
          <w:kern w:val="0"/>
          <w:sz w:val="32"/>
          <w:szCs w:val="32"/>
        </w:rPr>
        <w:t>内设机构及职责：</w:t>
      </w:r>
    </w:p>
    <w:p>
      <w:pPr>
        <w:jc w:val="center"/>
        <w:outlineLvl w:val="0"/>
        <w:rPr>
          <w:rFonts w:ascii="仿宋" w:hAnsi="仿宋" w:eastAsia="仿宋" w:cs="仿宋"/>
          <w:b/>
          <w:kern w:val="0"/>
          <w:sz w:val="32"/>
          <w:szCs w:val="32"/>
        </w:rPr>
      </w:pPr>
      <w:r>
        <w:rPr>
          <w:rFonts w:hint="eastAsia" w:ascii="仿宋" w:hAnsi="仿宋" w:eastAsia="仿宋" w:cs="仿宋"/>
          <w:sz w:val="32"/>
          <w:szCs w:val="32"/>
        </w:rPr>
        <w:t>部门机构设置情况</w:t>
      </w:r>
    </w:p>
    <w:tbl>
      <w:tblPr>
        <w:tblStyle w:val="6"/>
        <w:tblW w:w="96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53"/>
        <w:gridCol w:w="1830"/>
        <w:gridCol w:w="1803"/>
        <w:gridCol w:w="28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153" w:type="dxa"/>
            <w:vMerge w:val="restart"/>
            <w:vAlign w:val="center"/>
          </w:tcPr>
          <w:p>
            <w:pPr>
              <w:spacing w:line="300" w:lineRule="exact"/>
              <w:jc w:val="center"/>
              <w:rPr>
                <w:rFonts w:ascii="仿宋" w:hAnsi="仿宋" w:eastAsia="仿宋" w:cs="仿宋"/>
                <w:b/>
                <w:bCs/>
                <w:sz w:val="28"/>
                <w:szCs w:val="28"/>
              </w:rPr>
            </w:pPr>
            <w:r>
              <w:rPr>
                <w:rFonts w:hint="eastAsia" w:ascii="仿宋" w:hAnsi="仿宋" w:eastAsia="仿宋" w:cs="仿宋"/>
                <w:b/>
                <w:bCs/>
                <w:sz w:val="28"/>
                <w:szCs w:val="28"/>
              </w:rPr>
              <w:t>单位名称</w:t>
            </w:r>
          </w:p>
        </w:tc>
        <w:tc>
          <w:tcPr>
            <w:tcW w:w="1830" w:type="dxa"/>
            <w:vMerge w:val="restart"/>
            <w:vAlign w:val="center"/>
          </w:tcPr>
          <w:p>
            <w:pPr>
              <w:spacing w:line="300" w:lineRule="exact"/>
              <w:jc w:val="center"/>
              <w:rPr>
                <w:rFonts w:ascii="仿宋" w:hAnsi="仿宋" w:eastAsia="仿宋" w:cs="仿宋"/>
                <w:b/>
                <w:bCs/>
                <w:sz w:val="28"/>
                <w:szCs w:val="28"/>
              </w:rPr>
            </w:pPr>
            <w:r>
              <w:rPr>
                <w:rFonts w:hint="eastAsia" w:ascii="仿宋" w:hAnsi="仿宋" w:eastAsia="仿宋" w:cs="仿宋"/>
                <w:b/>
                <w:bCs/>
                <w:sz w:val="28"/>
                <w:szCs w:val="28"/>
              </w:rPr>
              <w:t>单位性质</w:t>
            </w:r>
          </w:p>
        </w:tc>
        <w:tc>
          <w:tcPr>
            <w:tcW w:w="1803" w:type="dxa"/>
            <w:vMerge w:val="restart"/>
            <w:vAlign w:val="center"/>
          </w:tcPr>
          <w:p>
            <w:pPr>
              <w:spacing w:line="300" w:lineRule="exact"/>
              <w:jc w:val="center"/>
              <w:rPr>
                <w:rFonts w:ascii="仿宋" w:hAnsi="仿宋" w:eastAsia="仿宋" w:cs="仿宋"/>
                <w:b/>
                <w:bCs/>
                <w:sz w:val="28"/>
                <w:szCs w:val="28"/>
              </w:rPr>
            </w:pPr>
            <w:r>
              <w:rPr>
                <w:rFonts w:hint="eastAsia" w:ascii="仿宋" w:hAnsi="仿宋" w:eastAsia="仿宋" w:cs="仿宋"/>
                <w:b/>
                <w:bCs/>
                <w:sz w:val="28"/>
                <w:szCs w:val="28"/>
              </w:rPr>
              <w:t>单位规格</w:t>
            </w:r>
          </w:p>
        </w:tc>
        <w:tc>
          <w:tcPr>
            <w:tcW w:w="2870" w:type="dxa"/>
            <w:vMerge w:val="restart"/>
            <w:vAlign w:val="center"/>
          </w:tcPr>
          <w:p>
            <w:pPr>
              <w:spacing w:line="300" w:lineRule="exact"/>
              <w:jc w:val="center"/>
              <w:rPr>
                <w:rFonts w:ascii="仿宋" w:hAnsi="仿宋" w:eastAsia="仿宋" w:cs="仿宋"/>
                <w:b/>
                <w:bCs/>
                <w:sz w:val="28"/>
                <w:szCs w:val="28"/>
              </w:rPr>
            </w:pPr>
            <w:r>
              <w:rPr>
                <w:rFonts w:hint="eastAsia" w:ascii="仿宋" w:hAnsi="仿宋" w:eastAsia="仿宋" w:cs="仿宋"/>
                <w:b/>
                <w:bCs/>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153" w:type="dxa"/>
            <w:vMerge w:val="continue"/>
            <w:vAlign w:val="center"/>
          </w:tcPr>
          <w:p>
            <w:pPr>
              <w:spacing w:line="300" w:lineRule="exact"/>
              <w:jc w:val="left"/>
              <w:outlineLvl w:val="0"/>
              <w:rPr>
                <w:rFonts w:ascii="仿宋" w:hAnsi="仿宋" w:eastAsia="仿宋" w:cs="仿宋"/>
                <w:sz w:val="32"/>
                <w:szCs w:val="32"/>
              </w:rPr>
            </w:pPr>
          </w:p>
        </w:tc>
        <w:tc>
          <w:tcPr>
            <w:tcW w:w="1830" w:type="dxa"/>
            <w:vMerge w:val="continue"/>
            <w:vAlign w:val="center"/>
          </w:tcPr>
          <w:p>
            <w:pPr>
              <w:spacing w:line="300" w:lineRule="exact"/>
              <w:jc w:val="left"/>
              <w:outlineLvl w:val="0"/>
              <w:rPr>
                <w:rFonts w:ascii="仿宋" w:hAnsi="仿宋" w:eastAsia="仿宋" w:cs="仿宋"/>
                <w:sz w:val="32"/>
                <w:szCs w:val="32"/>
              </w:rPr>
            </w:pPr>
          </w:p>
        </w:tc>
        <w:tc>
          <w:tcPr>
            <w:tcW w:w="1803" w:type="dxa"/>
            <w:vMerge w:val="continue"/>
            <w:vAlign w:val="center"/>
          </w:tcPr>
          <w:p>
            <w:pPr>
              <w:spacing w:line="300" w:lineRule="exact"/>
              <w:jc w:val="left"/>
              <w:outlineLvl w:val="0"/>
              <w:rPr>
                <w:rFonts w:ascii="仿宋" w:hAnsi="仿宋" w:eastAsia="仿宋" w:cs="仿宋"/>
                <w:sz w:val="32"/>
                <w:szCs w:val="32"/>
              </w:rPr>
            </w:pPr>
          </w:p>
        </w:tc>
        <w:tc>
          <w:tcPr>
            <w:tcW w:w="2870" w:type="dxa"/>
            <w:vMerge w:val="continue"/>
            <w:vAlign w:val="center"/>
          </w:tcPr>
          <w:p>
            <w:pPr>
              <w:spacing w:line="300" w:lineRule="exact"/>
              <w:jc w:val="left"/>
              <w:outlineLvl w:val="0"/>
              <w:rPr>
                <w:rFonts w:ascii="仿宋" w:hAnsi="仿宋" w:eastAsia="仿宋" w:cs="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0" w:hRule="atLeast"/>
          <w:jc w:val="center"/>
        </w:trPr>
        <w:tc>
          <w:tcPr>
            <w:tcW w:w="3153" w:type="dxa"/>
            <w:vAlign w:val="center"/>
          </w:tcPr>
          <w:p>
            <w:pPr>
              <w:spacing w:line="300" w:lineRule="exact"/>
              <w:jc w:val="left"/>
              <w:rPr>
                <w:rFonts w:ascii="仿宋" w:hAnsi="仿宋" w:eastAsia="仿宋" w:cs="仿宋"/>
                <w:sz w:val="32"/>
                <w:szCs w:val="32"/>
              </w:rPr>
            </w:pPr>
            <w:r>
              <w:rPr>
                <w:rFonts w:hint="eastAsia" w:ascii="仿宋" w:hAnsi="仿宋" w:eastAsia="仿宋" w:cs="仿宋"/>
                <w:bCs/>
                <w:kern w:val="0"/>
                <w:sz w:val="24"/>
                <w:szCs w:val="24"/>
              </w:rPr>
              <w:t>成安县农业开发办公室</w:t>
            </w:r>
          </w:p>
        </w:tc>
        <w:tc>
          <w:tcPr>
            <w:tcW w:w="1830" w:type="dxa"/>
            <w:vAlign w:val="center"/>
          </w:tcPr>
          <w:p>
            <w:pPr>
              <w:spacing w:line="300" w:lineRule="exact"/>
              <w:rPr>
                <w:rFonts w:ascii="仿宋" w:hAnsi="仿宋" w:eastAsia="仿宋" w:cs="仿宋"/>
                <w:sz w:val="32"/>
                <w:szCs w:val="32"/>
              </w:rPr>
            </w:pPr>
            <w:r>
              <w:rPr>
                <w:rFonts w:hint="eastAsia" w:ascii="仿宋" w:hAnsi="仿宋" w:eastAsia="仿宋" w:cs="仿宋"/>
                <w:bCs/>
                <w:kern w:val="0"/>
                <w:sz w:val="24"/>
                <w:szCs w:val="24"/>
              </w:rPr>
              <w:t>全额参公事业单位</w:t>
            </w:r>
          </w:p>
        </w:tc>
        <w:tc>
          <w:tcPr>
            <w:tcW w:w="1803" w:type="dxa"/>
            <w:vAlign w:val="center"/>
          </w:tcPr>
          <w:p>
            <w:pPr>
              <w:spacing w:line="300" w:lineRule="exact"/>
              <w:jc w:val="center"/>
              <w:rPr>
                <w:rFonts w:ascii="仿宋" w:hAnsi="仿宋" w:eastAsia="仿宋" w:cs="仿宋"/>
                <w:sz w:val="32"/>
                <w:szCs w:val="32"/>
              </w:rPr>
            </w:pPr>
            <w:r>
              <w:rPr>
                <w:rFonts w:hint="eastAsia" w:ascii="仿宋" w:hAnsi="仿宋" w:eastAsia="仿宋" w:cs="仿宋"/>
                <w:bCs/>
                <w:kern w:val="0"/>
                <w:sz w:val="24"/>
                <w:szCs w:val="24"/>
              </w:rPr>
              <w:t>正科级</w:t>
            </w:r>
          </w:p>
        </w:tc>
        <w:tc>
          <w:tcPr>
            <w:tcW w:w="2870" w:type="dxa"/>
            <w:vAlign w:val="center"/>
          </w:tcPr>
          <w:p>
            <w:pPr>
              <w:spacing w:line="300" w:lineRule="exact"/>
              <w:ind w:firstLine="443"/>
              <w:jc w:val="center"/>
              <w:rPr>
                <w:rFonts w:ascii="仿宋" w:hAnsi="仿宋" w:eastAsia="仿宋" w:cs="仿宋"/>
                <w:sz w:val="32"/>
                <w:szCs w:val="32"/>
              </w:rPr>
            </w:pPr>
            <w:r>
              <w:rPr>
                <w:rFonts w:hint="eastAsia" w:ascii="仿宋" w:hAnsi="仿宋" w:eastAsia="仿宋" w:cs="仿宋"/>
                <w:bCs/>
                <w:kern w:val="0"/>
                <w:sz w:val="24"/>
                <w:szCs w:val="24"/>
              </w:rPr>
              <w:t>财政性质资金基本保证</w:t>
            </w:r>
          </w:p>
        </w:tc>
      </w:tr>
    </w:tbl>
    <w:p>
      <w:pPr>
        <w:widowControl/>
        <w:spacing w:line="360" w:lineRule="auto"/>
        <w:ind w:left="628"/>
        <w:jc w:val="center"/>
        <w:rPr>
          <w:rFonts w:ascii="仿宋" w:hAnsi="仿宋" w:eastAsia="仿宋" w:cs="仿宋"/>
          <w:b/>
          <w:kern w:val="0"/>
          <w:sz w:val="32"/>
          <w:szCs w:val="32"/>
        </w:rPr>
      </w:pPr>
    </w:p>
    <w:p>
      <w:pPr>
        <w:widowControl/>
        <w:spacing w:line="36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 xml:space="preserve">成安县农业开发办公室单位性质为全额参公事业单位，办公室下设二个股级机构：秘书科、项目科。     </w:t>
      </w:r>
    </w:p>
    <w:p>
      <w:pPr>
        <w:widowControl/>
        <w:spacing w:line="360" w:lineRule="auto"/>
        <w:jc w:val="left"/>
        <w:rPr>
          <w:rFonts w:ascii="黑体" w:hAnsi="黑体" w:eastAsia="黑体" w:cs="仿宋"/>
          <w:bCs/>
          <w:kern w:val="0"/>
          <w:sz w:val="32"/>
          <w:szCs w:val="32"/>
        </w:rPr>
      </w:pPr>
      <w:r>
        <w:rPr>
          <w:rFonts w:hint="eastAsia" w:ascii="黑体" w:hAnsi="黑体" w:eastAsia="黑体" w:cs="仿宋"/>
          <w:kern w:val="0"/>
          <w:sz w:val="32"/>
          <w:szCs w:val="32"/>
        </w:rPr>
        <w:t xml:space="preserve">    </w:t>
      </w:r>
      <w:r>
        <w:rPr>
          <w:rFonts w:hint="eastAsia" w:ascii="黑体" w:hAnsi="黑体" w:eastAsia="黑体" w:cs="楷体"/>
          <w:bCs/>
          <w:sz w:val="32"/>
          <w:szCs w:val="32"/>
        </w:rPr>
        <w:t xml:space="preserve">  二、部门预算安排的总体情况</w:t>
      </w:r>
    </w:p>
    <w:p>
      <w:pPr>
        <w:widowControl/>
        <w:numPr>
          <w:ilvl w:val="0"/>
          <w:numId w:val="1"/>
        </w:numPr>
        <w:spacing w:line="360" w:lineRule="auto"/>
        <w:ind w:left="420" w:leftChars="200" w:firstLine="643" w:firstLineChars="200"/>
        <w:jc w:val="left"/>
        <w:rPr>
          <w:rFonts w:ascii="华文楷体" w:hAnsi="华文楷体" w:eastAsia="华文楷体" w:cs="仿宋"/>
          <w:b/>
          <w:kern w:val="0"/>
          <w:sz w:val="32"/>
          <w:szCs w:val="32"/>
        </w:rPr>
      </w:pPr>
      <w:r>
        <w:rPr>
          <w:rFonts w:hint="eastAsia" w:ascii="华文楷体" w:hAnsi="华文楷体" w:eastAsia="华文楷体" w:cs="仿宋"/>
          <w:b/>
          <w:kern w:val="0"/>
          <w:sz w:val="32"/>
          <w:szCs w:val="32"/>
        </w:rPr>
        <w:t>收入说明</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2017年预算收入为1187.41万元，其中：一般公共预算收入1187.41万元，政府性基金收入0万元，国有资本经营收入0万元，事业收入0万元，其他收入0万元。</w:t>
      </w:r>
    </w:p>
    <w:p>
      <w:pPr>
        <w:widowControl/>
        <w:spacing w:line="360" w:lineRule="auto"/>
        <w:ind w:firstLine="964" w:firstLineChars="300"/>
        <w:jc w:val="left"/>
        <w:rPr>
          <w:rFonts w:ascii="华文楷体" w:hAnsi="华文楷体" w:eastAsia="华文楷体" w:cs="仿宋"/>
          <w:b/>
          <w:kern w:val="0"/>
          <w:sz w:val="32"/>
          <w:szCs w:val="32"/>
        </w:rPr>
      </w:pPr>
      <w:r>
        <w:rPr>
          <w:rFonts w:hint="eastAsia" w:ascii="华文楷体" w:hAnsi="华文楷体" w:eastAsia="华文楷体" w:cs="仿宋"/>
          <w:b/>
          <w:kern w:val="0"/>
          <w:sz w:val="32"/>
          <w:szCs w:val="32"/>
        </w:rPr>
        <w:t>2、支出说明</w:t>
      </w:r>
    </w:p>
    <w:p>
      <w:pPr>
        <w:widowControl/>
        <w:spacing w:line="360" w:lineRule="auto"/>
        <w:ind w:firstLine="640"/>
        <w:jc w:val="left"/>
        <w:rPr>
          <w:rFonts w:ascii="仿宋" w:hAnsi="仿宋" w:eastAsia="仿宋" w:cs="仿宋"/>
          <w:kern w:val="0"/>
          <w:sz w:val="32"/>
          <w:szCs w:val="32"/>
        </w:rPr>
      </w:pPr>
      <w:r>
        <w:rPr>
          <w:rFonts w:hint="eastAsia" w:ascii="仿宋" w:hAnsi="仿宋" w:eastAsia="仿宋" w:cs="仿宋"/>
          <w:kern w:val="0"/>
          <w:sz w:val="32"/>
          <w:szCs w:val="32"/>
        </w:rPr>
        <w:t>2017年支出预算总额为1187.41万元，其中基本支出万元，包括人员经费181万元，日常公用经费安排6.41万元。项目经费1000万元，主要为土地治理项目 。</w:t>
      </w:r>
    </w:p>
    <w:p>
      <w:pPr>
        <w:widowControl/>
        <w:spacing w:line="360" w:lineRule="auto"/>
        <w:ind w:firstLine="640"/>
        <w:jc w:val="left"/>
        <w:rPr>
          <w:rFonts w:ascii="华文楷体" w:hAnsi="华文楷体" w:eastAsia="华文楷体" w:cs="仿宋"/>
          <w:b/>
          <w:kern w:val="0"/>
          <w:sz w:val="32"/>
          <w:szCs w:val="32"/>
          <w:lang w:bidi="ar"/>
        </w:rPr>
      </w:pPr>
      <w:r>
        <w:rPr>
          <w:rFonts w:hint="eastAsia" w:ascii="华文楷体" w:hAnsi="华文楷体" w:eastAsia="华文楷体" w:cs="仿宋"/>
          <w:b/>
          <w:kern w:val="0"/>
          <w:sz w:val="32"/>
          <w:szCs w:val="32"/>
          <w:lang w:bidi="ar"/>
        </w:rPr>
        <w:t>3、比上年增减变化情况</w:t>
      </w:r>
    </w:p>
    <w:p>
      <w:pPr>
        <w:widowControl/>
        <w:spacing w:line="360" w:lineRule="auto"/>
        <w:ind w:firstLine="640" w:firstLineChars="200"/>
        <w:jc w:val="left"/>
        <w:rPr>
          <w:rFonts w:ascii="仿宋" w:hAnsi="仿宋" w:eastAsia="仿宋" w:cs="仿宋"/>
          <w:kern w:val="0"/>
          <w:sz w:val="32"/>
          <w:szCs w:val="32"/>
          <w:lang w:bidi="ar"/>
        </w:rPr>
      </w:pPr>
      <w:r>
        <w:rPr>
          <w:rFonts w:hint="eastAsia" w:ascii="仿宋" w:hAnsi="仿宋" w:eastAsia="仿宋" w:cs="仿宋"/>
          <w:kern w:val="0"/>
          <w:sz w:val="32"/>
          <w:szCs w:val="32"/>
          <w:lang w:bidi="ar"/>
        </w:rPr>
        <w:t>2017年预算收支安排1187.41万元，较2016年预算增加172.82万元，其中：基本支出增加5.82万元，主要增加农发费用经费支出。项目支出增加167万元。</w:t>
      </w:r>
    </w:p>
    <w:p>
      <w:pPr>
        <w:widowControl/>
        <w:spacing w:line="360" w:lineRule="auto"/>
        <w:ind w:firstLine="800" w:firstLineChars="250"/>
        <w:jc w:val="left"/>
        <w:rPr>
          <w:rFonts w:ascii="黑体" w:hAnsi="黑体" w:eastAsia="黑体" w:cs="仿宋"/>
          <w:bCs/>
          <w:kern w:val="0"/>
          <w:sz w:val="32"/>
          <w:szCs w:val="32"/>
        </w:rPr>
      </w:pPr>
      <w:r>
        <w:rPr>
          <w:rFonts w:hint="eastAsia" w:ascii="黑体" w:hAnsi="黑体" w:eastAsia="黑体" w:cs="楷体"/>
          <w:bCs/>
          <w:sz w:val="32"/>
          <w:szCs w:val="32"/>
        </w:rPr>
        <w:t>三、机关运行经费安排情况</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机关运行经费共计181万元，其中日常经费6.41万元，主要用于办公费、差旅费、水费、电费、会议费、招待费、转移支付，其他5支出等。人员经费支出181万元，同比去年增长1.02%。增长原因是2016年机关事业单位统一调高了工资标准。其中，工资福利支出171万元，对个人和家庭的补助支出10万元。</w:t>
      </w:r>
    </w:p>
    <w:p>
      <w:pPr>
        <w:widowControl/>
        <w:spacing w:line="360" w:lineRule="auto"/>
        <w:ind w:firstLine="1056" w:firstLineChars="330"/>
        <w:jc w:val="left"/>
        <w:rPr>
          <w:rFonts w:ascii="黑体" w:hAnsi="黑体" w:eastAsia="黑体" w:cs="楷体"/>
          <w:bCs/>
          <w:sz w:val="32"/>
          <w:szCs w:val="32"/>
        </w:rPr>
      </w:pPr>
      <w:r>
        <w:rPr>
          <w:rFonts w:hint="eastAsia" w:ascii="黑体" w:hAnsi="黑体" w:eastAsia="黑体" w:cs="楷体"/>
          <w:bCs/>
          <w:sz w:val="32"/>
          <w:szCs w:val="32"/>
        </w:rPr>
        <w:t>四、财政拨款“三公”经费预算情况及增减变化原因</w:t>
      </w:r>
    </w:p>
    <w:p>
      <w:pPr>
        <w:widowControl/>
        <w:spacing w:line="360" w:lineRule="auto"/>
        <w:ind w:left="420" w:leftChars="200" w:firstLine="640" w:firstLineChars="200"/>
        <w:jc w:val="left"/>
        <w:rPr>
          <w:rFonts w:ascii="仿宋" w:hAnsi="仿宋" w:eastAsia="仿宋" w:cs="仿宋"/>
          <w:bCs/>
          <w:kern w:val="0"/>
          <w:sz w:val="32"/>
          <w:szCs w:val="32"/>
        </w:rPr>
      </w:pPr>
      <w:r>
        <w:rPr>
          <w:rFonts w:hint="eastAsia" w:ascii="仿宋" w:hAnsi="仿宋" w:eastAsia="仿宋" w:cs="仿宋"/>
          <w:kern w:val="0"/>
          <w:sz w:val="32"/>
          <w:szCs w:val="32"/>
        </w:rPr>
        <w:t>2017年，我单位“三公”经费预算安排3万元，其中，因公出国（境）费0元，安排公务用车维护费3元，（其中公务用车购置费0元，公务用车运行维护费3万元），公务接等费0万元，2017年“三公”经费预算减少了20.03%。“三公”经费增减原因：由于2016年公车拍卖，2017年实行车补，油修费用预算</w:t>
      </w:r>
      <w:r>
        <w:rPr>
          <w:rFonts w:hint="eastAsia" w:ascii="仿宋" w:hAnsi="仿宋" w:eastAsia="仿宋" w:cs="仿宋"/>
          <w:kern w:val="0"/>
          <w:sz w:val="32"/>
          <w:szCs w:val="32"/>
          <w:lang w:eastAsia="zh-CN"/>
        </w:rPr>
        <w:t>安</w:t>
      </w:r>
      <w:r>
        <w:rPr>
          <w:rFonts w:hint="eastAsia" w:ascii="仿宋" w:hAnsi="仿宋" w:eastAsia="仿宋" w:cs="仿宋"/>
          <w:kern w:val="0"/>
          <w:sz w:val="32"/>
          <w:szCs w:val="32"/>
        </w:rPr>
        <w:t>排减少。</w:t>
      </w:r>
      <w:bookmarkStart w:id="0" w:name="_GoBack"/>
      <w:bookmarkEnd w:id="0"/>
    </w:p>
    <w:p>
      <w:pPr>
        <w:widowControl/>
        <w:spacing w:line="360" w:lineRule="auto"/>
        <w:ind w:firstLine="419" w:firstLineChars="131"/>
        <w:jc w:val="left"/>
        <w:rPr>
          <w:rFonts w:ascii="黑体" w:hAnsi="黑体" w:eastAsia="黑体" w:cs="楷体"/>
          <w:bCs/>
          <w:sz w:val="32"/>
          <w:szCs w:val="32"/>
        </w:rPr>
      </w:pPr>
      <w:r>
        <w:rPr>
          <w:rFonts w:hint="eastAsia" w:ascii="黑体" w:hAnsi="黑体" w:eastAsia="黑体" w:cs="楷体"/>
          <w:bCs/>
          <w:sz w:val="32"/>
          <w:szCs w:val="32"/>
        </w:rPr>
        <w:t>五、绩效预算信息</w:t>
      </w:r>
    </w:p>
    <w:p>
      <w:pPr>
        <w:widowControl/>
        <w:spacing w:line="360" w:lineRule="auto"/>
        <w:ind w:firstLine="904" w:firstLineChars="300"/>
        <w:jc w:val="left"/>
        <w:rPr>
          <w:rFonts w:ascii="仿宋" w:hAnsi="仿宋" w:eastAsia="仿宋" w:cs="仿宋"/>
          <w:b/>
          <w:kern w:val="0"/>
          <w:sz w:val="30"/>
          <w:szCs w:val="30"/>
        </w:rPr>
      </w:pPr>
      <w:r>
        <w:rPr>
          <w:rFonts w:hint="eastAsia" w:ascii="仿宋" w:hAnsi="仿宋" w:eastAsia="仿宋" w:cs="仿宋"/>
          <w:b/>
          <w:kern w:val="0"/>
          <w:sz w:val="30"/>
          <w:szCs w:val="30"/>
        </w:rPr>
        <w:t>部门职责及工作活动绩效目标指：</w:t>
      </w:r>
    </w:p>
    <w:p>
      <w:pPr>
        <w:widowControl/>
        <w:spacing w:line="360" w:lineRule="auto"/>
        <w:jc w:val="center"/>
        <w:rPr>
          <w:rFonts w:ascii="仿宋" w:hAnsi="仿宋" w:eastAsia="仿宋" w:cs="仿宋"/>
          <w:b/>
          <w:kern w:val="0"/>
          <w:sz w:val="32"/>
          <w:szCs w:val="32"/>
        </w:rPr>
      </w:pPr>
      <w:r>
        <w:rPr>
          <w:rFonts w:hint="eastAsia" w:ascii="仿宋" w:hAnsi="仿宋" w:eastAsia="仿宋" w:cs="仿宋"/>
          <w:b/>
          <w:kern w:val="0"/>
          <w:sz w:val="32"/>
          <w:szCs w:val="32"/>
        </w:rPr>
        <w:t>部门职责--工作活动绩效目标</w:t>
      </w:r>
    </w:p>
    <w:tbl>
      <w:tblPr>
        <w:tblStyle w:val="6"/>
        <w:tblW w:w="1485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958"/>
        <w:gridCol w:w="3596"/>
        <w:gridCol w:w="4252"/>
        <w:gridCol w:w="2552"/>
        <w:gridCol w:w="709"/>
        <w:gridCol w:w="567"/>
        <w:gridCol w:w="567"/>
        <w:gridCol w:w="7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trPr>
        <w:tc>
          <w:tcPr>
            <w:tcW w:w="12299" w:type="dxa"/>
            <w:gridSpan w:val="5"/>
            <w:tcBorders>
              <w:top w:val="single" w:color="FFFFFF" w:sz="6" w:space="0"/>
              <w:left w:val="single" w:color="FFFFFF" w:sz="6" w:space="0"/>
              <w:right w:val="single" w:color="FFFFFF" w:sz="6" w:space="0"/>
            </w:tcBorders>
            <w:vAlign w:val="center"/>
          </w:tcPr>
          <w:p>
            <w:pPr>
              <w:spacing w:line="560" w:lineRule="exact"/>
              <w:jc w:val="left"/>
              <w:rPr>
                <w:rFonts w:ascii="宋体" w:hAnsi="宋体" w:eastAsia="宋体" w:cs="Times New Roman"/>
                <w:sz w:val="18"/>
                <w:szCs w:val="18"/>
              </w:rPr>
            </w:pPr>
            <w:r>
              <w:rPr>
                <w:rFonts w:hint="eastAsia" w:ascii="宋体" w:hAnsi="宋体" w:eastAsia="宋体" w:cs="方正小标宋_GBK"/>
                <w:sz w:val="18"/>
                <w:szCs w:val="18"/>
              </w:rPr>
              <w:t>部门（单位）名称：成安县农业开发办公室</w:t>
            </w:r>
          </w:p>
        </w:tc>
        <w:tc>
          <w:tcPr>
            <w:tcW w:w="2551" w:type="dxa"/>
            <w:gridSpan w:val="4"/>
            <w:tcBorders>
              <w:top w:val="single" w:color="FFFFFF" w:sz="6" w:space="0"/>
              <w:left w:val="single" w:color="FFFFFF" w:sz="6" w:space="0"/>
              <w:right w:val="single" w:color="FFFFFF" w:sz="6" w:space="0"/>
            </w:tcBorders>
            <w:vAlign w:val="center"/>
          </w:tcPr>
          <w:p>
            <w:pPr>
              <w:spacing w:line="560" w:lineRule="exact"/>
              <w:jc w:val="right"/>
              <w:rPr>
                <w:rFonts w:ascii="宋体" w:hAnsi="宋体" w:eastAsia="宋体" w:cs="Times New Roman"/>
                <w:sz w:val="18"/>
                <w:szCs w:val="18"/>
              </w:rPr>
            </w:pPr>
            <w:r>
              <w:rPr>
                <w:rFonts w:hint="eastAsia" w:ascii="宋体" w:hAnsi="宋体" w:eastAsia="宋体" w:cs="方正书宋_GBK"/>
                <w:sz w:val="18"/>
                <w:szCs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trPr>
        <w:tc>
          <w:tcPr>
            <w:tcW w:w="941" w:type="dxa"/>
            <w:vMerge w:val="restart"/>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职责活动</w:t>
            </w:r>
          </w:p>
        </w:tc>
        <w:tc>
          <w:tcPr>
            <w:tcW w:w="958" w:type="dxa"/>
            <w:vMerge w:val="restart"/>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年度预算数</w:t>
            </w:r>
          </w:p>
        </w:tc>
        <w:tc>
          <w:tcPr>
            <w:tcW w:w="3596" w:type="dxa"/>
            <w:vMerge w:val="restart"/>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内容描述</w:t>
            </w:r>
          </w:p>
        </w:tc>
        <w:tc>
          <w:tcPr>
            <w:tcW w:w="4252" w:type="dxa"/>
            <w:vMerge w:val="restart"/>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绩效目标</w:t>
            </w:r>
          </w:p>
        </w:tc>
        <w:tc>
          <w:tcPr>
            <w:tcW w:w="2552" w:type="dxa"/>
            <w:vMerge w:val="restart"/>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绩效指标</w:t>
            </w:r>
          </w:p>
        </w:tc>
        <w:tc>
          <w:tcPr>
            <w:tcW w:w="2551" w:type="dxa"/>
            <w:gridSpan w:val="4"/>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trPr>
        <w:tc>
          <w:tcPr>
            <w:tcW w:w="941" w:type="dxa"/>
            <w:vMerge w:val="continue"/>
            <w:vAlign w:val="center"/>
          </w:tcPr>
          <w:p>
            <w:pPr>
              <w:spacing w:line="560" w:lineRule="exact"/>
              <w:jc w:val="left"/>
              <w:outlineLvl w:val="0"/>
              <w:rPr>
                <w:rFonts w:ascii="宋体" w:hAnsi="宋体" w:eastAsia="宋体" w:cs="Times New Roman"/>
                <w:sz w:val="18"/>
                <w:szCs w:val="18"/>
              </w:rPr>
            </w:pPr>
          </w:p>
        </w:tc>
        <w:tc>
          <w:tcPr>
            <w:tcW w:w="958" w:type="dxa"/>
            <w:vMerge w:val="continue"/>
            <w:vAlign w:val="center"/>
          </w:tcPr>
          <w:p>
            <w:pPr>
              <w:spacing w:line="560" w:lineRule="exact"/>
              <w:jc w:val="left"/>
              <w:outlineLvl w:val="0"/>
              <w:rPr>
                <w:rFonts w:ascii="宋体" w:hAnsi="宋体" w:eastAsia="宋体" w:cs="Times New Roman"/>
                <w:sz w:val="18"/>
                <w:szCs w:val="18"/>
              </w:rPr>
            </w:pPr>
          </w:p>
        </w:tc>
        <w:tc>
          <w:tcPr>
            <w:tcW w:w="3596" w:type="dxa"/>
            <w:vMerge w:val="continue"/>
            <w:vAlign w:val="center"/>
          </w:tcPr>
          <w:p>
            <w:pPr>
              <w:spacing w:line="560" w:lineRule="exact"/>
              <w:jc w:val="left"/>
              <w:outlineLvl w:val="0"/>
              <w:rPr>
                <w:rFonts w:ascii="宋体" w:hAnsi="宋体" w:eastAsia="宋体" w:cs="Times New Roman"/>
                <w:sz w:val="18"/>
                <w:szCs w:val="18"/>
              </w:rPr>
            </w:pPr>
          </w:p>
        </w:tc>
        <w:tc>
          <w:tcPr>
            <w:tcW w:w="4252" w:type="dxa"/>
            <w:vMerge w:val="continue"/>
            <w:vAlign w:val="center"/>
          </w:tcPr>
          <w:p>
            <w:pPr>
              <w:spacing w:line="560" w:lineRule="exact"/>
              <w:jc w:val="left"/>
              <w:outlineLvl w:val="0"/>
              <w:rPr>
                <w:rFonts w:ascii="宋体" w:hAnsi="宋体" w:eastAsia="宋体" w:cs="Times New Roman"/>
                <w:sz w:val="18"/>
                <w:szCs w:val="18"/>
              </w:rPr>
            </w:pPr>
          </w:p>
        </w:tc>
        <w:tc>
          <w:tcPr>
            <w:tcW w:w="2552" w:type="dxa"/>
            <w:vMerge w:val="continue"/>
            <w:vAlign w:val="center"/>
          </w:tcPr>
          <w:p>
            <w:pPr>
              <w:spacing w:line="560" w:lineRule="exact"/>
              <w:jc w:val="left"/>
              <w:outlineLvl w:val="0"/>
              <w:rPr>
                <w:rFonts w:ascii="宋体" w:hAnsi="宋体" w:eastAsia="宋体" w:cs="Times New Roman"/>
                <w:sz w:val="18"/>
                <w:szCs w:val="18"/>
              </w:rPr>
            </w:pPr>
          </w:p>
        </w:tc>
        <w:tc>
          <w:tcPr>
            <w:tcW w:w="709" w:type="dxa"/>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优</w:t>
            </w:r>
          </w:p>
        </w:tc>
        <w:tc>
          <w:tcPr>
            <w:tcW w:w="567" w:type="dxa"/>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良</w:t>
            </w:r>
          </w:p>
        </w:tc>
        <w:tc>
          <w:tcPr>
            <w:tcW w:w="567" w:type="dxa"/>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中</w:t>
            </w:r>
          </w:p>
        </w:tc>
        <w:tc>
          <w:tcPr>
            <w:tcW w:w="708" w:type="dxa"/>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15" w:hRule="atLeast"/>
        </w:trPr>
        <w:tc>
          <w:tcPr>
            <w:tcW w:w="941" w:type="dxa"/>
            <w:vAlign w:val="center"/>
          </w:tcPr>
          <w:p>
            <w:pPr>
              <w:spacing w:line="560" w:lineRule="exact"/>
              <w:jc w:val="left"/>
              <w:rPr>
                <w:rFonts w:ascii="宋体" w:hAnsi="宋体" w:eastAsia="宋体" w:cs="Times New Roman"/>
                <w:b/>
                <w:bCs/>
                <w:sz w:val="18"/>
                <w:szCs w:val="18"/>
              </w:rPr>
            </w:pPr>
            <w:r>
              <w:rPr>
                <w:rFonts w:hint="eastAsia" w:ascii="宋体" w:hAnsi="宋体" w:eastAsia="宋体" w:cs="Times New Roman"/>
                <w:b/>
                <w:bCs/>
                <w:sz w:val="18"/>
                <w:szCs w:val="18"/>
              </w:rPr>
              <w:t>农业综合开发</w:t>
            </w:r>
          </w:p>
        </w:tc>
        <w:tc>
          <w:tcPr>
            <w:tcW w:w="958" w:type="dxa"/>
            <w:vAlign w:val="center"/>
          </w:tcPr>
          <w:p>
            <w:pPr>
              <w:spacing w:line="560" w:lineRule="exact"/>
              <w:jc w:val="left"/>
              <w:rPr>
                <w:rFonts w:ascii="宋体" w:hAnsi="宋体" w:eastAsia="宋体" w:cs="Times New Roman"/>
                <w:sz w:val="18"/>
                <w:szCs w:val="18"/>
              </w:rPr>
            </w:pPr>
            <w:r>
              <w:rPr>
                <w:rFonts w:hint="eastAsia" w:ascii="宋体" w:hAnsi="宋体" w:eastAsia="宋体" w:cs="Times New Roman"/>
                <w:sz w:val="18"/>
                <w:szCs w:val="18"/>
              </w:rPr>
              <w:t>1000</w:t>
            </w:r>
          </w:p>
        </w:tc>
        <w:tc>
          <w:tcPr>
            <w:tcW w:w="3596" w:type="dxa"/>
            <w:vAlign w:val="center"/>
          </w:tcPr>
          <w:p>
            <w:pPr>
              <w:spacing w:line="560" w:lineRule="exact"/>
              <w:jc w:val="left"/>
              <w:rPr>
                <w:rFonts w:ascii="宋体" w:hAnsi="宋体" w:eastAsia="宋体" w:cs="Times New Roman"/>
                <w:sz w:val="18"/>
                <w:szCs w:val="18"/>
              </w:rPr>
            </w:pPr>
            <w:r>
              <w:rPr>
                <w:rFonts w:hint="eastAsia" w:ascii="宋体" w:hAnsi="宋体" w:eastAsia="宋体" w:cs="Times New Roman"/>
                <w:sz w:val="18"/>
                <w:szCs w:val="18"/>
              </w:rPr>
              <w:t>贯彻国家农业综合开发方针，执行全县农业综合开发政策及项目立项、实施、检查验收等管理办法，管理县农业综合开发资金和各类农业综合开发项目。</w:t>
            </w:r>
          </w:p>
        </w:tc>
        <w:tc>
          <w:tcPr>
            <w:tcW w:w="4252" w:type="dxa"/>
            <w:vAlign w:val="center"/>
          </w:tcPr>
          <w:p>
            <w:pPr>
              <w:spacing w:line="560" w:lineRule="exact"/>
              <w:jc w:val="left"/>
              <w:rPr>
                <w:rFonts w:ascii="宋体" w:hAnsi="宋体" w:eastAsia="宋体" w:cs="Times New Roman"/>
                <w:sz w:val="18"/>
                <w:szCs w:val="18"/>
              </w:rPr>
            </w:pPr>
            <w:r>
              <w:rPr>
                <w:rFonts w:hint="eastAsia" w:ascii="宋体" w:hAnsi="宋体" w:eastAsia="宋体" w:cs="Times New Roman"/>
                <w:sz w:val="18"/>
                <w:szCs w:val="18"/>
              </w:rPr>
              <w:t>在全县开发县组织实施高标准农田、产业化经营财政补助项目、贴息项目、设施蔬菜项目、部门项目等项目，大力推进重点开发、效益开发，有效改善农业生产条件和生态环境，提高农业综合生产能力提高粮食产能，扶持农业龙头企业和新型经营主体，带动农业特色主导产业发展，促进农业增效、农民增收。</w:t>
            </w:r>
          </w:p>
        </w:tc>
        <w:tc>
          <w:tcPr>
            <w:tcW w:w="2552" w:type="dxa"/>
            <w:vAlign w:val="center"/>
          </w:tcPr>
          <w:p>
            <w:pPr>
              <w:spacing w:line="560" w:lineRule="exact"/>
              <w:jc w:val="left"/>
              <w:rPr>
                <w:rFonts w:ascii="宋体" w:hAnsi="宋体" w:eastAsia="宋体" w:cs="Times New Roman"/>
                <w:sz w:val="18"/>
                <w:szCs w:val="18"/>
              </w:rPr>
            </w:pPr>
            <w:r>
              <w:rPr>
                <w:rFonts w:hint="eastAsia" w:ascii="宋体" w:hAnsi="宋体" w:eastAsia="宋体" w:cs="Times New Roman"/>
                <w:sz w:val="18"/>
                <w:szCs w:val="18"/>
              </w:rPr>
              <w:t>年度土地治理项目、产业化实施计划中各项分类措施的建设任务验收完成率</w:t>
            </w:r>
          </w:p>
        </w:tc>
        <w:tc>
          <w:tcPr>
            <w:tcW w:w="709" w:type="dxa"/>
            <w:vAlign w:val="center"/>
          </w:tcPr>
          <w:p>
            <w:pPr>
              <w:spacing w:line="560" w:lineRule="exact"/>
              <w:jc w:val="center"/>
              <w:rPr>
                <w:rFonts w:ascii="宋体" w:hAnsi="宋体" w:eastAsia="宋体" w:cs="Times New Roman"/>
                <w:sz w:val="18"/>
                <w:szCs w:val="18"/>
              </w:rPr>
            </w:pPr>
          </w:p>
        </w:tc>
        <w:tc>
          <w:tcPr>
            <w:tcW w:w="567" w:type="dxa"/>
            <w:vAlign w:val="center"/>
          </w:tcPr>
          <w:p>
            <w:pPr>
              <w:spacing w:line="560" w:lineRule="exact"/>
              <w:jc w:val="center"/>
              <w:rPr>
                <w:rFonts w:ascii="宋体" w:hAnsi="宋体" w:eastAsia="宋体" w:cs="Times New Roman"/>
                <w:sz w:val="18"/>
                <w:szCs w:val="18"/>
              </w:rPr>
            </w:pPr>
            <w:r>
              <w:rPr>
                <w:rFonts w:hint="eastAsia" w:ascii="宋体" w:hAnsi="宋体" w:eastAsia="宋体" w:cs="Times New Roman"/>
                <w:sz w:val="18"/>
                <w:szCs w:val="18"/>
              </w:rPr>
              <w:t>良</w:t>
            </w:r>
          </w:p>
        </w:tc>
        <w:tc>
          <w:tcPr>
            <w:tcW w:w="567" w:type="dxa"/>
            <w:vAlign w:val="center"/>
          </w:tcPr>
          <w:p>
            <w:pPr>
              <w:spacing w:line="560" w:lineRule="exact"/>
              <w:jc w:val="center"/>
              <w:rPr>
                <w:rFonts w:ascii="宋体" w:hAnsi="宋体" w:eastAsia="宋体" w:cs="Times New Roman"/>
                <w:sz w:val="18"/>
                <w:szCs w:val="18"/>
              </w:rPr>
            </w:pPr>
          </w:p>
        </w:tc>
        <w:tc>
          <w:tcPr>
            <w:tcW w:w="708" w:type="dxa"/>
            <w:vAlign w:val="center"/>
          </w:tcPr>
          <w:p>
            <w:pPr>
              <w:spacing w:line="560" w:lineRule="exact"/>
              <w:jc w:val="center"/>
              <w:rPr>
                <w:rFonts w:ascii="宋体" w:hAnsi="宋体" w:eastAsia="宋体"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25" w:hRule="atLeast"/>
        </w:trPr>
        <w:tc>
          <w:tcPr>
            <w:tcW w:w="941" w:type="dxa"/>
            <w:vAlign w:val="center"/>
          </w:tcPr>
          <w:p>
            <w:pPr>
              <w:spacing w:line="560" w:lineRule="exact"/>
              <w:jc w:val="left"/>
              <w:rPr>
                <w:rFonts w:ascii="方正书宋_GBK" w:hAnsi="Times New Roman" w:eastAsia="方正书宋_GBK" w:cs="Times New Roman"/>
                <w:b/>
                <w:bCs/>
                <w:sz w:val="18"/>
                <w:szCs w:val="18"/>
              </w:rPr>
            </w:pPr>
            <w:r>
              <w:rPr>
                <w:rFonts w:hint="eastAsia" w:ascii="方正书宋_GBK" w:hAnsi="Times New Roman" w:eastAsia="方正书宋_GBK" w:cs="Times New Roman"/>
                <w:b/>
                <w:bCs/>
                <w:sz w:val="18"/>
                <w:szCs w:val="18"/>
              </w:rPr>
              <w:t>政务管理</w:t>
            </w:r>
          </w:p>
        </w:tc>
        <w:tc>
          <w:tcPr>
            <w:tcW w:w="958" w:type="dxa"/>
            <w:vAlign w:val="center"/>
          </w:tcPr>
          <w:p>
            <w:pPr>
              <w:spacing w:line="560" w:lineRule="exact"/>
              <w:jc w:val="left"/>
              <w:rPr>
                <w:rFonts w:ascii="方正书宋_GBK" w:hAnsi="Times New Roman" w:eastAsia="方正书宋_GBK" w:cs="Times New Roman"/>
                <w:sz w:val="18"/>
                <w:szCs w:val="18"/>
              </w:rPr>
            </w:pPr>
            <w:r>
              <w:rPr>
                <w:rFonts w:hint="eastAsia" w:ascii="方正书宋_GBK" w:hAnsi="Times New Roman" w:eastAsia="方正书宋_GBK" w:cs="Times New Roman"/>
                <w:sz w:val="18"/>
                <w:szCs w:val="18"/>
              </w:rPr>
              <w:t>6.41</w:t>
            </w:r>
          </w:p>
        </w:tc>
        <w:tc>
          <w:tcPr>
            <w:tcW w:w="3596" w:type="dxa"/>
            <w:vAlign w:val="center"/>
          </w:tcPr>
          <w:p>
            <w:pPr>
              <w:spacing w:line="560" w:lineRule="exact"/>
              <w:jc w:val="left"/>
              <w:rPr>
                <w:rFonts w:ascii="方正书宋_GBK" w:hAnsi="Times New Roman" w:eastAsia="方正书宋_GBK" w:cs="Times New Roman"/>
                <w:sz w:val="18"/>
                <w:szCs w:val="18"/>
              </w:rPr>
            </w:pPr>
            <w:r>
              <w:rPr>
                <w:rFonts w:hint="eastAsia" w:ascii="方正书宋_GBK" w:hAnsi="Times New Roman" w:eastAsia="方正书宋_GBK" w:cs="Times New Roman"/>
                <w:sz w:val="18"/>
                <w:szCs w:val="18"/>
              </w:rPr>
              <w:t>负责部门综合业务管理和综合事务管理。</w:t>
            </w:r>
          </w:p>
        </w:tc>
        <w:tc>
          <w:tcPr>
            <w:tcW w:w="4252" w:type="dxa"/>
            <w:vAlign w:val="center"/>
          </w:tcPr>
          <w:p>
            <w:pPr>
              <w:spacing w:line="560" w:lineRule="exact"/>
              <w:jc w:val="left"/>
              <w:rPr>
                <w:rFonts w:ascii="方正书宋_GBK" w:hAnsi="Times New Roman" w:eastAsia="方正书宋_GBK" w:cs="Times New Roman"/>
                <w:sz w:val="18"/>
                <w:szCs w:val="18"/>
              </w:rPr>
            </w:pPr>
            <w:r>
              <w:rPr>
                <w:rFonts w:hint="eastAsia" w:ascii="Times New Roman" w:hAnsi="Times New Roman" w:eastAsia="方正书宋_GBK" w:cs="Times New Roman"/>
                <w:sz w:val="18"/>
                <w:szCs w:val="18"/>
              </w:rPr>
              <w:t>落实农业综合开发政策，编制农业综合开发中长期规划，监督农业综合开发项目计划执行，保障机关规范高效运转，保障农发资金规范高效使用</w:t>
            </w:r>
          </w:p>
        </w:tc>
        <w:tc>
          <w:tcPr>
            <w:tcW w:w="2552" w:type="dxa"/>
            <w:vAlign w:val="center"/>
          </w:tcPr>
          <w:p>
            <w:pPr>
              <w:spacing w:line="560" w:lineRule="exact"/>
              <w:jc w:val="left"/>
              <w:rPr>
                <w:rFonts w:ascii="Times New Roman" w:hAnsi="Times New Roman" w:eastAsia="方正书宋_GBK" w:cs="Times New Roman"/>
                <w:sz w:val="18"/>
                <w:szCs w:val="18"/>
              </w:rPr>
            </w:pPr>
          </w:p>
        </w:tc>
        <w:tc>
          <w:tcPr>
            <w:tcW w:w="709" w:type="dxa"/>
            <w:vAlign w:val="center"/>
          </w:tcPr>
          <w:p>
            <w:pPr>
              <w:spacing w:line="560" w:lineRule="exact"/>
              <w:jc w:val="center"/>
              <w:rPr>
                <w:rFonts w:ascii="Times New Roman" w:hAnsi="Times New Roman" w:eastAsia="方正书宋_GBK" w:cs="Times New Roman"/>
                <w:sz w:val="18"/>
                <w:szCs w:val="18"/>
              </w:rPr>
            </w:pPr>
          </w:p>
        </w:tc>
        <w:tc>
          <w:tcPr>
            <w:tcW w:w="567" w:type="dxa"/>
            <w:vAlign w:val="center"/>
          </w:tcPr>
          <w:p>
            <w:pPr>
              <w:spacing w:line="560" w:lineRule="exact"/>
              <w:jc w:val="center"/>
              <w:rPr>
                <w:rFonts w:ascii="Times New Roman" w:hAnsi="Times New Roman" w:eastAsia="方正书宋_GBK" w:cs="Times New Roman"/>
                <w:sz w:val="18"/>
                <w:szCs w:val="18"/>
              </w:rPr>
            </w:pPr>
            <w:r>
              <w:rPr>
                <w:rFonts w:hint="eastAsia" w:ascii="Times New Roman" w:hAnsi="Times New Roman" w:eastAsia="方正书宋_GBK" w:cs="Times New Roman"/>
                <w:sz w:val="18"/>
                <w:szCs w:val="18"/>
              </w:rPr>
              <w:t>良</w:t>
            </w:r>
          </w:p>
        </w:tc>
        <w:tc>
          <w:tcPr>
            <w:tcW w:w="567" w:type="dxa"/>
            <w:vAlign w:val="center"/>
          </w:tcPr>
          <w:p>
            <w:pPr>
              <w:spacing w:line="560" w:lineRule="exact"/>
              <w:jc w:val="center"/>
              <w:rPr>
                <w:rFonts w:ascii="Times New Roman" w:hAnsi="Times New Roman" w:eastAsia="方正书宋_GBK" w:cs="Times New Roman"/>
                <w:sz w:val="18"/>
                <w:szCs w:val="18"/>
              </w:rPr>
            </w:pPr>
          </w:p>
        </w:tc>
        <w:tc>
          <w:tcPr>
            <w:tcW w:w="708" w:type="dxa"/>
            <w:vAlign w:val="center"/>
          </w:tcPr>
          <w:p>
            <w:pPr>
              <w:spacing w:line="560" w:lineRule="exact"/>
              <w:jc w:val="center"/>
              <w:rPr>
                <w:rFonts w:ascii="Times New Roman" w:hAnsi="Times New Roman" w:eastAsia="方正书宋_GBK" w:cs="Times New Roman"/>
                <w:sz w:val="18"/>
                <w:szCs w:val="18"/>
              </w:rPr>
            </w:pPr>
          </w:p>
        </w:tc>
      </w:tr>
    </w:tbl>
    <w:p>
      <w:pPr>
        <w:widowControl/>
        <w:spacing w:line="360" w:lineRule="auto"/>
        <w:jc w:val="center"/>
        <w:rPr>
          <w:rFonts w:ascii="仿宋" w:hAnsi="仿宋" w:eastAsia="仿宋" w:cs="仿宋"/>
          <w:b/>
          <w:kern w:val="0"/>
          <w:sz w:val="32"/>
          <w:szCs w:val="32"/>
        </w:rPr>
      </w:pPr>
    </w:p>
    <w:p>
      <w:pPr>
        <w:widowControl/>
        <w:spacing w:line="360" w:lineRule="auto"/>
        <w:ind w:firstLine="1059" w:firstLineChars="331"/>
        <w:jc w:val="left"/>
        <w:rPr>
          <w:rFonts w:ascii="黑体" w:hAnsi="黑体" w:eastAsia="黑体" w:cs="楷体"/>
          <w:bCs/>
          <w:sz w:val="32"/>
          <w:szCs w:val="32"/>
        </w:rPr>
      </w:pPr>
      <w:r>
        <w:rPr>
          <w:rFonts w:hint="eastAsia" w:ascii="黑体" w:hAnsi="黑体" w:eastAsia="黑体" w:cs="楷体"/>
          <w:bCs/>
          <w:sz w:val="32"/>
          <w:szCs w:val="32"/>
        </w:rPr>
        <w:t>六、政府采购预算情况</w:t>
      </w:r>
    </w:p>
    <w:p>
      <w:pPr>
        <w:widowControl/>
        <w:spacing w:line="360" w:lineRule="auto"/>
        <w:ind w:firstLine="1059" w:firstLineChars="331"/>
        <w:jc w:val="left"/>
        <w:rPr>
          <w:rFonts w:ascii="楷体" w:hAnsi="楷体" w:eastAsia="楷体" w:cs="楷体"/>
          <w:b/>
          <w:bCs/>
          <w:sz w:val="32"/>
          <w:szCs w:val="32"/>
        </w:rPr>
      </w:pPr>
      <w:r>
        <w:rPr>
          <w:rFonts w:hint="eastAsia" w:ascii="仿宋" w:hAnsi="仿宋" w:eastAsia="仿宋" w:cs="仿宋"/>
          <w:bCs/>
          <w:kern w:val="0"/>
          <w:sz w:val="32"/>
          <w:szCs w:val="32"/>
        </w:rPr>
        <w:t>2017年，我单位安排政府采购预算1.3万元。具体内容见下表</w:t>
      </w:r>
    </w:p>
    <w:p>
      <w:pPr>
        <w:widowControl/>
        <w:spacing w:line="360" w:lineRule="auto"/>
        <w:jc w:val="left"/>
        <w:rPr>
          <w:rFonts w:ascii="仿宋" w:hAnsi="仿宋" w:eastAsia="仿宋" w:cs="仿宋"/>
          <w:b/>
          <w:kern w:val="0"/>
          <w:sz w:val="32"/>
          <w:szCs w:val="32"/>
        </w:rPr>
      </w:pPr>
    </w:p>
    <w:p>
      <w:pPr>
        <w:spacing w:line="560" w:lineRule="exact"/>
        <w:jc w:val="center"/>
        <w:outlineLvl w:val="0"/>
        <w:rPr>
          <w:rFonts w:ascii="仿宋" w:hAnsi="仿宋" w:eastAsia="仿宋" w:cs="仿宋"/>
          <w:sz w:val="32"/>
          <w:szCs w:val="32"/>
        </w:rPr>
      </w:pPr>
      <w:r>
        <w:rPr>
          <w:rFonts w:hint="eastAsia" w:ascii="仿宋" w:hAnsi="仿宋" w:eastAsia="仿宋" w:cs="仿宋"/>
          <w:sz w:val="32"/>
          <w:szCs w:val="32"/>
        </w:rPr>
        <w:t>部门政府采购预算</w:t>
      </w:r>
    </w:p>
    <w:tbl>
      <w:tblPr>
        <w:tblStyle w:val="6"/>
        <w:tblW w:w="1267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39"/>
        <w:gridCol w:w="1134"/>
        <w:gridCol w:w="1701"/>
        <w:gridCol w:w="851"/>
        <w:gridCol w:w="549"/>
        <w:gridCol w:w="549"/>
        <w:gridCol w:w="564"/>
        <w:gridCol w:w="606"/>
        <w:gridCol w:w="709"/>
        <w:gridCol w:w="708"/>
        <w:gridCol w:w="709"/>
        <w:gridCol w:w="709"/>
        <w:gridCol w:w="709"/>
        <w:gridCol w:w="8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687" w:type="dxa"/>
            <w:gridSpan w:val="7"/>
            <w:tcBorders>
              <w:top w:val="single" w:color="FFFFFF" w:sz="6" w:space="0"/>
              <w:left w:val="single" w:color="FFFFFF" w:sz="6" w:space="0"/>
              <w:right w:val="single" w:color="FFFFFF" w:sz="6" w:space="0"/>
            </w:tcBorders>
            <w:vAlign w:val="center"/>
          </w:tcPr>
          <w:p>
            <w:pPr>
              <w:spacing w:line="560" w:lineRule="exact"/>
              <w:jc w:val="left"/>
              <w:rPr>
                <w:rFonts w:ascii="宋体" w:hAnsi="宋体" w:eastAsia="宋体" w:cs="Times New Roman"/>
                <w:sz w:val="24"/>
                <w:szCs w:val="24"/>
              </w:rPr>
            </w:pPr>
            <w:r>
              <w:rPr>
                <w:rFonts w:hint="eastAsia" w:ascii="宋体" w:hAnsi="宋体" w:eastAsia="宋体" w:cs="方正小标宋_GBK"/>
                <w:sz w:val="24"/>
                <w:szCs w:val="24"/>
              </w:rPr>
              <w:t>部门（单位）名称：成安县农业开发办公室</w:t>
            </w:r>
          </w:p>
        </w:tc>
        <w:tc>
          <w:tcPr>
            <w:tcW w:w="4983" w:type="dxa"/>
            <w:gridSpan w:val="7"/>
            <w:tcBorders>
              <w:top w:val="single" w:color="FFFFFF" w:sz="6" w:space="0"/>
              <w:left w:val="single" w:color="FFFFFF" w:sz="6" w:space="0"/>
              <w:right w:val="single" w:color="FFFFFF" w:sz="6" w:space="0"/>
            </w:tcBorders>
            <w:vAlign w:val="center"/>
          </w:tcPr>
          <w:p>
            <w:pPr>
              <w:spacing w:line="560" w:lineRule="exact"/>
              <w:jc w:val="right"/>
              <w:rPr>
                <w:rFonts w:ascii="宋体" w:hAnsi="宋体" w:eastAsia="宋体" w:cs="Times New Roman"/>
                <w:sz w:val="24"/>
                <w:szCs w:val="24"/>
              </w:rPr>
            </w:pPr>
            <w:r>
              <w:rPr>
                <w:rFonts w:hint="eastAsia" w:ascii="宋体" w:hAnsi="宋体" w:eastAsia="宋体" w:cs="方正书宋_GBK"/>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473" w:type="dxa"/>
            <w:gridSpan w:val="2"/>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政府采购项目来源</w:t>
            </w:r>
          </w:p>
        </w:tc>
        <w:tc>
          <w:tcPr>
            <w:tcW w:w="1701"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采购物品名称</w:t>
            </w:r>
          </w:p>
        </w:tc>
        <w:tc>
          <w:tcPr>
            <w:tcW w:w="851"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政府采购目录序号</w:t>
            </w:r>
          </w:p>
        </w:tc>
        <w:tc>
          <w:tcPr>
            <w:tcW w:w="549"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数量</w:t>
            </w:r>
            <w:r>
              <w:rPr>
                <w:rFonts w:ascii="宋体" w:hAnsi="宋体" w:eastAsia="宋体" w:cs="方正书宋_GBK"/>
                <w:b/>
                <w:bCs/>
              </w:rPr>
              <w:t xml:space="preserve">  </w:t>
            </w:r>
            <w:r>
              <w:rPr>
                <w:rFonts w:hint="eastAsia" w:ascii="宋体" w:hAnsi="宋体" w:eastAsia="宋体" w:cs="方正书宋_GBK"/>
                <w:b/>
                <w:bCs/>
              </w:rPr>
              <w:t>单位</w:t>
            </w:r>
          </w:p>
        </w:tc>
        <w:tc>
          <w:tcPr>
            <w:tcW w:w="549"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数量</w:t>
            </w:r>
          </w:p>
        </w:tc>
        <w:tc>
          <w:tcPr>
            <w:tcW w:w="564"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单价</w:t>
            </w:r>
          </w:p>
        </w:tc>
        <w:tc>
          <w:tcPr>
            <w:tcW w:w="4983" w:type="dxa"/>
            <w:gridSpan w:val="7"/>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339"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项目名称</w:t>
            </w:r>
          </w:p>
        </w:tc>
        <w:tc>
          <w:tcPr>
            <w:tcW w:w="1134"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预算资金</w:t>
            </w:r>
          </w:p>
        </w:tc>
        <w:tc>
          <w:tcPr>
            <w:tcW w:w="1701" w:type="dxa"/>
            <w:vMerge w:val="continue"/>
            <w:vAlign w:val="center"/>
          </w:tcPr>
          <w:p>
            <w:pPr>
              <w:spacing w:line="560" w:lineRule="exact"/>
              <w:jc w:val="left"/>
              <w:outlineLvl w:val="0"/>
              <w:rPr>
                <w:rFonts w:ascii="宋体" w:hAnsi="宋体" w:eastAsia="宋体" w:cs="Times New Roman"/>
              </w:rPr>
            </w:pPr>
          </w:p>
        </w:tc>
        <w:tc>
          <w:tcPr>
            <w:tcW w:w="851" w:type="dxa"/>
            <w:vMerge w:val="continue"/>
            <w:vAlign w:val="center"/>
          </w:tcPr>
          <w:p>
            <w:pPr>
              <w:spacing w:line="560" w:lineRule="exact"/>
              <w:jc w:val="left"/>
              <w:outlineLvl w:val="0"/>
              <w:rPr>
                <w:rFonts w:ascii="宋体" w:hAnsi="宋体" w:eastAsia="宋体" w:cs="Times New Roman"/>
              </w:rPr>
            </w:pPr>
          </w:p>
        </w:tc>
        <w:tc>
          <w:tcPr>
            <w:tcW w:w="549" w:type="dxa"/>
            <w:vMerge w:val="continue"/>
            <w:vAlign w:val="center"/>
          </w:tcPr>
          <w:p>
            <w:pPr>
              <w:spacing w:line="560" w:lineRule="exact"/>
              <w:jc w:val="left"/>
              <w:outlineLvl w:val="0"/>
              <w:rPr>
                <w:rFonts w:ascii="宋体" w:hAnsi="宋体" w:eastAsia="宋体" w:cs="Times New Roman"/>
              </w:rPr>
            </w:pPr>
          </w:p>
        </w:tc>
        <w:tc>
          <w:tcPr>
            <w:tcW w:w="549" w:type="dxa"/>
            <w:vMerge w:val="continue"/>
            <w:vAlign w:val="center"/>
          </w:tcPr>
          <w:p>
            <w:pPr>
              <w:spacing w:line="560" w:lineRule="exact"/>
              <w:jc w:val="left"/>
              <w:outlineLvl w:val="0"/>
              <w:rPr>
                <w:rFonts w:ascii="宋体" w:hAnsi="宋体" w:eastAsia="宋体" w:cs="Times New Roman"/>
              </w:rPr>
            </w:pPr>
          </w:p>
        </w:tc>
        <w:tc>
          <w:tcPr>
            <w:tcW w:w="564" w:type="dxa"/>
            <w:vMerge w:val="continue"/>
            <w:vAlign w:val="center"/>
          </w:tcPr>
          <w:p>
            <w:pPr>
              <w:spacing w:line="560" w:lineRule="exact"/>
              <w:jc w:val="left"/>
              <w:outlineLvl w:val="0"/>
              <w:rPr>
                <w:rFonts w:ascii="宋体" w:hAnsi="宋体" w:eastAsia="宋体" w:cs="Times New Roman"/>
              </w:rPr>
            </w:pPr>
          </w:p>
        </w:tc>
        <w:tc>
          <w:tcPr>
            <w:tcW w:w="606"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总计</w:t>
            </w:r>
          </w:p>
        </w:tc>
        <w:tc>
          <w:tcPr>
            <w:tcW w:w="3544" w:type="dxa"/>
            <w:gridSpan w:val="5"/>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当年部门预算安排资金</w:t>
            </w:r>
          </w:p>
        </w:tc>
        <w:tc>
          <w:tcPr>
            <w:tcW w:w="833"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2339" w:type="dxa"/>
            <w:vMerge w:val="continue"/>
            <w:vAlign w:val="center"/>
          </w:tcPr>
          <w:p>
            <w:pPr>
              <w:spacing w:line="560" w:lineRule="exact"/>
              <w:jc w:val="left"/>
              <w:outlineLvl w:val="0"/>
              <w:rPr>
                <w:rFonts w:ascii="宋体" w:hAnsi="宋体" w:eastAsia="宋体" w:cs="Times New Roman"/>
              </w:rPr>
            </w:pPr>
          </w:p>
        </w:tc>
        <w:tc>
          <w:tcPr>
            <w:tcW w:w="1134" w:type="dxa"/>
            <w:vMerge w:val="continue"/>
            <w:vAlign w:val="center"/>
          </w:tcPr>
          <w:p>
            <w:pPr>
              <w:spacing w:line="560" w:lineRule="exact"/>
              <w:jc w:val="left"/>
              <w:outlineLvl w:val="0"/>
              <w:rPr>
                <w:rFonts w:ascii="宋体" w:hAnsi="宋体" w:eastAsia="宋体" w:cs="Times New Roman"/>
              </w:rPr>
            </w:pPr>
          </w:p>
        </w:tc>
        <w:tc>
          <w:tcPr>
            <w:tcW w:w="1701" w:type="dxa"/>
            <w:vMerge w:val="continue"/>
            <w:vAlign w:val="center"/>
          </w:tcPr>
          <w:p>
            <w:pPr>
              <w:spacing w:line="560" w:lineRule="exact"/>
              <w:jc w:val="left"/>
              <w:outlineLvl w:val="0"/>
              <w:rPr>
                <w:rFonts w:ascii="宋体" w:hAnsi="宋体" w:eastAsia="宋体" w:cs="Times New Roman"/>
              </w:rPr>
            </w:pPr>
          </w:p>
        </w:tc>
        <w:tc>
          <w:tcPr>
            <w:tcW w:w="851" w:type="dxa"/>
            <w:vMerge w:val="continue"/>
            <w:vAlign w:val="center"/>
          </w:tcPr>
          <w:p>
            <w:pPr>
              <w:spacing w:line="560" w:lineRule="exact"/>
              <w:jc w:val="left"/>
              <w:outlineLvl w:val="0"/>
              <w:rPr>
                <w:rFonts w:ascii="宋体" w:hAnsi="宋体" w:eastAsia="宋体" w:cs="Times New Roman"/>
              </w:rPr>
            </w:pPr>
          </w:p>
        </w:tc>
        <w:tc>
          <w:tcPr>
            <w:tcW w:w="549" w:type="dxa"/>
            <w:vMerge w:val="continue"/>
            <w:vAlign w:val="center"/>
          </w:tcPr>
          <w:p>
            <w:pPr>
              <w:spacing w:line="560" w:lineRule="exact"/>
              <w:jc w:val="left"/>
              <w:outlineLvl w:val="0"/>
              <w:rPr>
                <w:rFonts w:ascii="宋体" w:hAnsi="宋体" w:eastAsia="宋体" w:cs="Times New Roman"/>
              </w:rPr>
            </w:pPr>
          </w:p>
        </w:tc>
        <w:tc>
          <w:tcPr>
            <w:tcW w:w="549" w:type="dxa"/>
            <w:vMerge w:val="continue"/>
            <w:vAlign w:val="center"/>
          </w:tcPr>
          <w:p>
            <w:pPr>
              <w:spacing w:line="560" w:lineRule="exact"/>
              <w:jc w:val="left"/>
              <w:outlineLvl w:val="0"/>
              <w:rPr>
                <w:rFonts w:ascii="宋体" w:hAnsi="宋体" w:eastAsia="宋体" w:cs="Times New Roman"/>
              </w:rPr>
            </w:pPr>
          </w:p>
        </w:tc>
        <w:tc>
          <w:tcPr>
            <w:tcW w:w="564" w:type="dxa"/>
            <w:vMerge w:val="continue"/>
            <w:vAlign w:val="center"/>
          </w:tcPr>
          <w:p>
            <w:pPr>
              <w:spacing w:line="560" w:lineRule="exact"/>
              <w:jc w:val="left"/>
              <w:outlineLvl w:val="0"/>
              <w:rPr>
                <w:rFonts w:ascii="宋体" w:hAnsi="宋体" w:eastAsia="宋体" w:cs="Times New Roman"/>
              </w:rPr>
            </w:pPr>
          </w:p>
        </w:tc>
        <w:tc>
          <w:tcPr>
            <w:tcW w:w="606" w:type="dxa"/>
            <w:vMerge w:val="continue"/>
            <w:vAlign w:val="center"/>
          </w:tcPr>
          <w:p>
            <w:pPr>
              <w:spacing w:line="560" w:lineRule="exact"/>
              <w:jc w:val="left"/>
              <w:outlineLvl w:val="0"/>
              <w:rPr>
                <w:rFonts w:ascii="宋体" w:hAnsi="宋体" w:eastAsia="宋体" w:cs="Times New Roman"/>
              </w:rPr>
            </w:pPr>
          </w:p>
        </w:tc>
        <w:tc>
          <w:tcPr>
            <w:tcW w:w="709" w:type="dxa"/>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合计</w:t>
            </w:r>
          </w:p>
        </w:tc>
        <w:tc>
          <w:tcPr>
            <w:tcW w:w="708" w:type="dxa"/>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一般公共预算拨款</w:t>
            </w:r>
          </w:p>
        </w:tc>
        <w:tc>
          <w:tcPr>
            <w:tcW w:w="709" w:type="dxa"/>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基金预算拨款</w:t>
            </w:r>
          </w:p>
        </w:tc>
        <w:tc>
          <w:tcPr>
            <w:tcW w:w="709" w:type="dxa"/>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财政专户核拨</w:t>
            </w:r>
          </w:p>
        </w:tc>
        <w:tc>
          <w:tcPr>
            <w:tcW w:w="709" w:type="dxa"/>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其他来源收入</w:t>
            </w:r>
          </w:p>
        </w:tc>
        <w:tc>
          <w:tcPr>
            <w:tcW w:w="833" w:type="dxa"/>
            <w:vMerge w:val="continue"/>
            <w:vAlign w:val="center"/>
          </w:tcPr>
          <w:p>
            <w:pPr>
              <w:spacing w:line="560" w:lineRule="exact"/>
              <w:jc w:val="left"/>
              <w:outlineLvl w:val="0"/>
              <w:rPr>
                <w:rFonts w:ascii="宋体" w:hAnsi="宋体"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39" w:type="dxa"/>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合　计</w:t>
            </w:r>
          </w:p>
        </w:tc>
        <w:tc>
          <w:tcPr>
            <w:tcW w:w="1134"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1.3</w:t>
            </w:r>
          </w:p>
        </w:tc>
        <w:tc>
          <w:tcPr>
            <w:tcW w:w="1701" w:type="dxa"/>
            <w:vAlign w:val="center"/>
          </w:tcPr>
          <w:p>
            <w:pPr>
              <w:spacing w:line="560" w:lineRule="exact"/>
              <w:jc w:val="center"/>
              <w:rPr>
                <w:rFonts w:ascii="宋体" w:hAnsi="宋体" w:eastAsia="宋体" w:cs="Times New Roman"/>
                <w:b/>
                <w:bCs/>
              </w:rPr>
            </w:pPr>
          </w:p>
        </w:tc>
        <w:tc>
          <w:tcPr>
            <w:tcW w:w="851" w:type="dxa"/>
            <w:vAlign w:val="center"/>
          </w:tcPr>
          <w:p>
            <w:pPr>
              <w:spacing w:line="560" w:lineRule="exact"/>
              <w:jc w:val="left"/>
              <w:rPr>
                <w:rFonts w:ascii="宋体" w:hAnsi="宋体" w:eastAsia="宋体" w:cs="Times New Roman"/>
                <w:b/>
                <w:bCs/>
              </w:rPr>
            </w:pPr>
          </w:p>
        </w:tc>
        <w:tc>
          <w:tcPr>
            <w:tcW w:w="549" w:type="dxa"/>
            <w:vAlign w:val="center"/>
          </w:tcPr>
          <w:p>
            <w:pPr>
              <w:spacing w:line="560" w:lineRule="exact"/>
              <w:jc w:val="left"/>
              <w:rPr>
                <w:rFonts w:ascii="宋体" w:hAnsi="宋体" w:eastAsia="宋体" w:cs="Times New Roman"/>
                <w:b/>
                <w:bCs/>
              </w:rPr>
            </w:pPr>
          </w:p>
        </w:tc>
        <w:tc>
          <w:tcPr>
            <w:tcW w:w="549" w:type="dxa"/>
            <w:vAlign w:val="center"/>
          </w:tcPr>
          <w:p>
            <w:pPr>
              <w:spacing w:line="560" w:lineRule="exact"/>
              <w:jc w:val="right"/>
              <w:rPr>
                <w:rFonts w:ascii="宋体" w:hAnsi="宋体" w:eastAsia="宋体" w:cs="Times New Roman"/>
                <w:b/>
                <w:bCs/>
              </w:rPr>
            </w:pPr>
          </w:p>
        </w:tc>
        <w:tc>
          <w:tcPr>
            <w:tcW w:w="564" w:type="dxa"/>
            <w:vAlign w:val="center"/>
          </w:tcPr>
          <w:p>
            <w:pPr>
              <w:spacing w:line="560" w:lineRule="exact"/>
              <w:jc w:val="right"/>
              <w:rPr>
                <w:rFonts w:ascii="宋体" w:hAnsi="宋体" w:eastAsia="宋体" w:cs="Times New Roman"/>
                <w:b/>
                <w:bCs/>
              </w:rPr>
            </w:pPr>
          </w:p>
        </w:tc>
        <w:tc>
          <w:tcPr>
            <w:tcW w:w="606"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1.3</w:t>
            </w:r>
          </w:p>
        </w:tc>
        <w:tc>
          <w:tcPr>
            <w:tcW w:w="709"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1.3</w:t>
            </w:r>
          </w:p>
        </w:tc>
        <w:tc>
          <w:tcPr>
            <w:tcW w:w="708"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1.3</w:t>
            </w:r>
          </w:p>
        </w:tc>
        <w:tc>
          <w:tcPr>
            <w:tcW w:w="709" w:type="dxa"/>
            <w:vAlign w:val="center"/>
          </w:tcPr>
          <w:p>
            <w:pPr>
              <w:spacing w:line="560" w:lineRule="exact"/>
              <w:jc w:val="right"/>
              <w:rPr>
                <w:rFonts w:ascii="宋体" w:hAnsi="宋体" w:eastAsia="宋体" w:cs="Times New Roman"/>
                <w:b/>
                <w:bCs/>
              </w:rPr>
            </w:pPr>
          </w:p>
        </w:tc>
        <w:tc>
          <w:tcPr>
            <w:tcW w:w="709" w:type="dxa"/>
            <w:vAlign w:val="center"/>
          </w:tcPr>
          <w:p>
            <w:pPr>
              <w:spacing w:line="560" w:lineRule="exact"/>
              <w:jc w:val="right"/>
              <w:rPr>
                <w:rFonts w:ascii="宋体" w:hAnsi="宋体" w:eastAsia="宋体" w:cs="Times New Roman"/>
                <w:b/>
                <w:bCs/>
              </w:rPr>
            </w:pPr>
          </w:p>
        </w:tc>
        <w:tc>
          <w:tcPr>
            <w:tcW w:w="709" w:type="dxa"/>
            <w:vAlign w:val="center"/>
          </w:tcPr>
          <w:p>
            <w:pPr>
              <w:spacing w:line="560" w:lineRule="exact"/>
              <w:jc w:val="right"/>
              <w:rPr>
                <w:rFonts w:ascii="宋体" w:hAnsi="宋体" w:eastAsia="宋体" w:cs="Times New Roman"/>
                <w:b/>
                <w:bCs/>
              </w:rPr>
            </w:pPr>
          </w:p>
        </w:tc>
        <w:tc>
          <w:tcPr>
            <w:tcW w:w="833" w:type="dxa"/>
            <w:vAlign w:val="center"/>
          </w:tcPr>
          <w:p>
            <w:pPr>
              <w:spacing w:line="560" w:lineRule="exact"/>
              <w:jc w:val="right"/>
              <w:rPr>
                <w:rFonts w:ascii="宋体" w:hAnsi="宋体" w:eastAsia="宋体"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39" w:type="dxa"/>
            <w:vAlign w:val="center"/>
          </w:tcPr>
          <w:p>
            <w:pPr>
              <w:spacing w:line="560" w:lineRule="exact"/>
              <w:jc w:val="center"/>
              <w:rPr>
                <w:rFonts w:ascii="宋体" w:hAnsi="宋体" w:eastAsia="宋体" w:cs="Times New Roman"/>
                <w:b/>
                <w:bCs/>
              </w:rPr>
            </w:pPr>
            <w:r>
              <w:rPr>
                <w:rFonts w:hint="eastAsia" w:ascii="宋体" w:hAnsi="宋体" w:eastAsia="宋体" w:cs="Times New Roman"/>
                <w:b/>
                <w:bCs/>
              </w:rPr>
              <w:t>采购电脑</w:t>
            </w:r>
          </w:p>
        </w:tc>
        <w:tc>
          <w:tcPr>
            <w:tcW w:w="1134"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0.5</w:t>
            </w:r>
          </w:p>
        </w:tc>
        <w:tc>
          <w:tcPr>
            <w:tcW w:w="1701" w:type="dxa"/>
            <w:vAlign w:val="center"/>
          </w:tcPr>
          <w:p>
            <w:pPr>
              <w:spacing w:line="560" w:lineRule="exact"/>
              <w:jc w:val="center"/>
              <w:rPr>
                <w:rFonts w:ascii="宋体" w:hAnsi="宋体" w:eastAsia="宋体" w:cs="Times New Roman"/>
                <w:b/>
                <w:bCs/>
              </w:rPr>
            </w:pPr>
            <w:r>
              <w:rPr>
                <w:rFonts w:hint="eastAsia" w:ascii="宋体" w:hAnsi="宋体" w:eastAsia="宋体" w:cs="Times New Roman"/>
                <w:b/>
                <w:bCs/>
              </w:rPr>
              <w:t>采购电脑</w:t>
            </w:r>
          </w:p>
        </w:tc>
        <w:tc>
          <w:tcPr>
            <w:tcW w:w="851" w:type="dxa"/>
            <w:vAlign w:val="center"/>
          </w:tcPr>
          <w:p>
            <w:pPr>
              <w:spacing w:line="560" w:lineRule="exact"/>
              <w:jc w:val="left"/>
              <w:rPr>
                <w:rFonts w:ascii="宋体" w:hAnsi="宋体" w:eastAsia="宋体" w:cs="Times New Roman"/>
                <w:b/>
                <w:bCs/>
              </w:rPr>
            </w:pPr>
          </w:p>
        </w:tc>
        <w:tc>
          <w:tcPr>
            <w:tcW w:w="549" w:type="dxa"/>
            <w:vAlign w:val="center"/>
          </w:tcPr>
          <w:p>
            <w:pPr>
              <w:spacing w:line="560" w:lineRule="exact"/>
              <w:jc w:val="left"/>
              <w:rPr>
                <w:rFonts w:ascii="宋体" w:hAnsi="宋体" w:eastAsia="宋体" w:cs="Times New Roman"/>
                <w:b/>
                <w:bCs/>
              </w:rPr>
            </w:pPr>
            <w:r>
              <w:rPr>
                <w:rFonts w:hint="eastAsia" w:ascii="宋体" w:hAnsi="宋体" w:eastAsia="宋体" w:cs="Times New Roman"/>
                <w:b/>
                <w:bCs/>
              </w:rPr>
              <w:t>台</w:t>
            </w:r>
          </w:p>
        </w:tc>
        <w:tc>
          <w:tcPr>
            <w:tcW w:w="549"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1</w:t>
            </w:r>
          </w:p>
        </w:tc>
        <w:tc>
          <w:tcPr>
            <w:tcW w:w="564"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0.5</w:t>
            </w:r>
          </w:p>
        </w:tc>
        <w:tc>
          <w:tcPr>
            <w:tcW w:w="606"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0.5</w:t>
            </w:r>
          </w:p>
        </w:tc>
        <w:tc>
          <w:tcPr>
            <w:tcW w:w="709"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0.5</w:t>
            </w:r>
          </w:p>
        </w:tc>
        <w:tc>
          <w:tcPr>
            <w:tcW w:w="708"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0.5</w:t>
            </w:r>
          </w:p>
        </w:tc>
        <w:tc>
          <w:tcPr>
            <w:tcW w:w="709" w:type="dxa"/>
            <w:vAlign w:val="center"/>
          </w:tcPr>
          <w:p>
            <w:pPr>
              <w:spacing w:line="560" w:lineRule="exact"/>
              <w:jc w:val="right"/>
              <w:rPr>
                <w:rFonts w:ascii="宋体" w:hAnsi="宋体" w:eastAsia="宋体" w:cs="Times New Roman"/>
                <w:b/>
                <w:bCs/>
              </w:rPr>
            </w:pPr>
          </w:p>
        </w:tc>
        <w:tc>
          <w:tcPr>
            <w:tcW w:w="709" w:type="dxa"/>
            <w:vAlign w:val="center"/>
          </w:tcPr>
          <w:p>
            <w:pPr>
              <w:spacing w:line="560" w:lineRule="exact"/>
              <w:jc w:val="right"/>
              <w:rPr>
                <w:rFonts w:ascii="宋体" w:hAnsi="宋体" w:eastAsia="宋体" w:cs="Times New Roman"/>
                <w:b/>
                <w:bCs/>
              </w:rPr>
            </w:pPr>
          </w:p>
        </w:tc>
        <w:tc>
          <w:tcPr>
            <w:tcW w:w="709" w:type="dxa"/>
            <w:vAlign w:val="center"/>
          </w:tcPr>
          <w:p>
            <w:pPr>
              <w:spacing w:line="560" w:lineRule="exact"/>
              <w:jc w:val="right"/>
              <w:rPr>
                <w:rFonts w:ascii="宋体" w:hAnsi="宋体" w:eastAsia="宋体" w:cs="Times New Roman"/>
                <w:b/>
                <w:bCs/>
              </w:rPr>
            </w:pPr>
          </w:p>
        </w:tc>
        <w:tc>
          <w:tcPr>
            <w:tcW w:w="833" w:type="dxa"/>
            <w:vAlign w:val="center"/>
          </w:tcPr>
          <w:p>
            <w:pPr>
              <w:spacing w:line="560" w:lineRule="exact"/>
              <w:jc w:val="right"/>
              <w:rPr>
                <w:rFonts w:ascii="宋体" w:hAnsi="宋体" w:eastAsia="宋体"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39" w:type="dxa"/>
            <w:vAlign w:val="center"/>
          </w:tcPr>
          <w:p>
            <w:pPr>
              <w:spacing w:line="560" w:lineRule="exact"/>
              <w:jc w:val="left"/>
              <w:rPr>
                <w:rFonts w:ascii="宋体" w:hAnsi="宋体" w:eastAsia="宋体" w:cs="Times New Roman"/>
              </w:rPr>
            </w:pPr>
            <w:r>
              <w:rPr>
                <w:rFonts w:hint="eastAsia" w:ascii="宋体" w:hAnsi="宋体" w:eastAsia="宋体" w:cs="Times New Roman"/>
              </w:rPr>
              <w:t>采购打印复印一体机</w:t>
            </w:r>
          </w:p>
        </w:tc>
        <w:tc>
          <w:tcPr>
            <w:tcW w:w="1134" w:type="dxa"/>
            <w:vAlign w:val="center"/>
          </w:tcPr>
          <w:p>
            <w:pPr>
              <w:spacing w:line="560" w:lineRule="exact"/>
              <w:jc w:val="right"/>
              <w:rPr>
                <w:rFonts w:ascii="宋体" w:hAnsi="宋体" w:eastAsia="宋体" w:cs="Times New Roman"/>
              </w:rPr>
            </w:pPr>
            <w:r>
              <w:rPr>
                <w:rFonts w:hint="eastAsia" w:ascii="宋体" w:hAnsi="宋体" w:eastAsia="宋体" w:cs="Times New Roman"/>
              </w:rPr>
              <w:t>0.8</w:t>
            </w:r>
          </w:p>
        </w:tc>
        <w:tc>
          <w:tcPr>
            <w:tcW w:w="1701" w:type="dxa"/>
            <w:vAlign w:val="center"/>
          </w:tcPr>
          <w:p>
            <w:pPr>
              <w:spacing w:line="260" w:lineRule="exact"/>
              <w:jc w:val="left"/>
              <w:rPr>
                <w:rFonts w:ascii="宋体" w:hAnsi="宋体" w:eastAsia="宋体" w:cs="Times New Roman"/>
              </w:rPr>
            </w:pPr>
            <w:r>
              <w:rPr>
                <w:rFonts w:hint="eastAsia" w:ascii="宋体" w:hAnsi="宋体" w:eastAsia="宋体" w:cs="Times New Roman"/>
              </w:rPr>
              <w:t>采购打印复印一体机</w:t>
            </w:r>
          </w:p>
        </w:tc>
        <w:tc>
          <w:tcPr>
            <w:tcW w:w="851" w:type="dxa"/>
            <w:vAlign w:val="center"/>
          </w:tcPr>
          <w:p>
            <w:pPr>
              <w:spacing w:line="560" w:lineRule="exact"/>
              <w:jc w:val="left"/>
              <w:rPr>
                <w:rFonts w:ascii="宋体" w:hAnsi="宋体" w:eastAsia="宋体" w:cs="Times New Roman"/>
              </w:rPr>
            </w:pPr>
          </w:p>
        </w:tc>
        <w:tc>
          <w:tcPr>
            <w:tcW w:w="549" w:type="dxa"/>
            <w:vAlign w:val="center"/>
          </w:tcPr>
          <w:p>
            <w:pPr>
              <w:spacing w:line="560" w:lineRule="exact"/>
              <w:jc w:val="left"/>
              <w:rPr>
                <w:rFonts w:ascii="宋体" w:hAnsi="宋体" w:eastAsia="宋体" w:cs="Times New Roman"/>
              </w:rPr>
            </w:pPr>
            <w:r>
              <w:rPr>
                <w:rFonts w:hint="eastAsia" w:ascii="宋体" w:hAnsi="宋体" w:eastAsia="宋体" w:cs="Times New Roman"/>
              </w:rPr>
              <w:t>台</w:t>
            </w:r>
          </w:p>
        </w:tc>
        <w:tc>
          <w:tcPr>
            <w:tcW w:w="549" w:type="dxa"/>
            <w:vAlign w:val="center"/>
          </w:tcPr>
          <w:p>
            <w:pPr>
              <w:spacing w:line="560" w:lineRule="exact"/>
              <w:jc w:val="right"/>
              <w:rPr>
                <w:rFonts w:ascii="宋体" w:hAnsi="宋体" w:eastAsia="宋体" w:cs="Times New Roman"/>
              </w:rPr>
            </w:pPr>
            <w:r>
              <w:rPr>
                <w:rFonts w:hint="eastAsia" w:ascii="宋体" w:hAnsi="宋体" w:eastAsia="宋体" w:cs="Times New Roman"/>
              </w:rPr>
              <w:t>1</w:t>
            </w:r>
          </w:p>
        </w:tc>
        <w:tc>
          <w:tcPr>
            <w:tcW w:w="564" w:type="dxa"/>
            <w:vAlign w:val="center"/>
          </w:tcPr>
          <w:p>
            <w:pPr>
              <w:spacing w:line="560" w:lineRule="exact"/>
              <w:jc w:val="right"/>
              <w:rPr>
                <w:rFonts w:ascii="宋体" w:hAnsi="宋体" w:eastAsia="宋体" w:cs="Times New Roman"/>
              </w:rPr>
            </w:pPr>
            <w:r>
              <w:rPr>
                <w:rFonts w:hint="eastAsia" w:ascii="宋体" w:hAnsi="宋体" w:eastAsia="宋体" w:cs="Times New Roman"/>
              </w:rPr>
              <w:t>0.8</w:t>
            </w:r>
          </w:p>
        </w:tc>
        <w:tc>
          <w:tcPr>
            <w:tcW w:w="606" w:type="dxa"/>
            <w:vAlign w:val="center"/>
          </w:tcPr>
          <w:p>
            <w:pPr>
              <w:spacing w:line="560" w:lineRule="exact"/>
              <w:jc w:val="right"/>
              <w:rPr>
                <w:rFonts w:ascii="宋体" w:hAnsi="宋体" w:eastAsia="宋体" w:cs="Times New Roman"/>
              </w:rPr>
            </w:pPr>
            <w:r>
              <w:rPr>
                <w:rFonts w:hint="eastAsia" w:ascii="宋体" w:hAnsi="宋体" w:eastAsia="宋体" w:cs="Times New Roman"/>
              </w:rPr>
              <w:t>0.8</w:t>
            </w:r>
          </w:p>
        </w:tc>
        <w:tc>
          <w:tcPr>
            <w:tcW w:w="709" w:type="dxa"/>
            <w:vAlign w:val="center"/>
          </w:tcPr>
          <w:p>
            <w:pPr>
              <w:spacing w:line="560" w:lineRule="exact"/>
              <w:jc w:val="right"/>
              <w:rPr>
                <w:rFonts w:ascii="宋体" w:hAnsi="宋体" w:eastAsia="宋体" w:cs="Times New Roman"/>
              </w:rPr>
            </w:pPr>
            <w:r>
              <w:rPr>
                <w:rFonts w:hint="eastAsia" w:ascii="宋体" w:hAnsi="宋体" w:eastAsia="宋体" w:cs="Times New Roman"/>
              </w:rPr>
              <w:t>0.8</w:t>
            </w:r>
          </w:p>
        </w:tc>
        <w:tc>
          <w:tcPr>
            <w:tcW w:w="708" w:type="dxa"/>
            <w:vAlign w:val="center"/>
          </w:tcPr>
          <w:p>
            <w:pPr>
              <w:spacing w:line="560" w:lineRule="exact"/>
              <w:jc w:val="right"/>
              <w:rPr>
                <w:rFonts w:ascii="宋体" w:hAnsi="宋体" w:eastAsia="宋体" w:cs="Times New Roman"/>
              </w:rPr>
            </w:pPr>
            <w:r>
              <w:rPr>
                <w:rFonts w:hint="eastAsia" w:ascii="宋体" w:hAnsi="宋体" w:eastAsia="宋体" w:cs="Times New Roman"/>
              </w:rPr>
              <w:t>0.8</w:t>
            </w:r>
          </w:p>
        </w:tc>
        <w:tc>
          <w:tcPr>
            <w:tcW w:w="709" w:type="dxa"/>
            <w:vAlign w:val="center"/>
          </w:tcPr>
          <w:p>
            <w:pPr>
              <w:spacing w:line="560" w:lineRule="exact"/>
              <w:jc w:val="right"/>
              <w:rPr>
                <w:rFonts w:ascii="宋体" w:hAnsi="宋体" w:eastAsia="宋体" w:cs="Times New Roman"/>
              </w:rPr>
            </w:pPr>
          </w:p>
        </w:tc>
        <w:tc>
          <w:tcPr>
            <w:tcW w:w="709" w:type="dxa"/>
            <w:vAlign w:val="center"/>
          </w:tcPr>
          <w:p>
            <w:pPr>
              <w:spacing w:line="560" w:lineRule="exact"/>
              <w:jc w:val="right"/>
              <w:rPr>
                <w:rFonts w:ascii="宋体" w:hAnsi="宋体" w:eastAsia="宋体" w:cs="Times New Roman"/>
              </w:rPr>
            </w:pPr>
          </w:p>
        </w:tc>
        <w:tc>
          <w:tcPr>
            <w:tcW w:w="709" w:type="dxa"/>
            <w:vAlign w:val="center"/>
          </w:tcPr>
          <w:p>
            <w:pPr>
              <w:spacing w:line="560" w:lineRule="exact"/>
              <w:jc w:val="right"/>
              <w:rPr>
                <w:rFonts w:ascii="宋体" w:hAnsi="宋体" w:eastAsia="宋体" w:cs="Times New Roman"/>
              </w:rPr>
            </w:pPr>
          </w:p>
        </w:tc>
        <w:tc>
          <w:tcPr>
            <w:tcW w:w="833" w:type="dxa"/>
            <w:vAlign w:val="center"/>
          </w:tcPr>
          <w:p>
            <w:pPr>
              <w:spacing w:line="560" w:lineRule="exact"/>
              <w:jc w:val="right"/>
              <w:rPr>
                <w:rFonts w:ascii="宋体" w:hAnsi="宋体" w:eastAsia="宋体" w:cs="Times New Roman"/>
              </w:rPr>
            </w:pPr>
          </w:p>
        </w:tc>
      </w:tr>
    </w:tbl>
    <w:p>
      <w:pPr>
        <w:widowControl/>
        <w:spacing w:line="360" w:lineRule="auto"/>
        <w:jc w:val="left"/>
        <w:rPr>
          <w:rFonts w:ascii="仿宋" w:hAnsi="仿宋" w:eastAsia="仿宋" w:cs="仿宋"/>
          <w:b/>
          <w:kern w:val="0"/>
          <w:sz w:val="32"/>
          <w:szCs w:val="32"/>
        </w:rPr>
      </w:pPr>
    </w:p>
    <w:p>
      <w:pPr>
        <w:widowControl/>
        <w:spacing w:line="360" w:lineRule="auto"/>
        <w:jc w:val="left"/>
        <w:rPr>
          <w:rFonts w:ascii="仿宋" w:hAnsi="仿宋" w:eastAsia="仿宋" w:cs="仿宋"/>
          <w:b/>
          <w:kern w:val="0"/>
          <w:sz w:val="32"/>
          <w:szCs w:val="32"/>
        </w:rPr>
      </w:pPr>
      <w:r>
        <w:rPr>
          <w:rFonts w:hint="eastAsia" w:ascii="仿宋" w:hAnsi="仿宋" w:eastAsia="仿宋" w:cs="仿宋"/>
          <w:b/>
          <w:kern w:val="0"/>
          <w:sz w:val="32"/>
          <w:szCs w:val="32"/>
        </w:rPr>
        <w:t xml:space="preserve">   </w:t>
      </w:r>
      <w:r>
        <w:rPr>
          <w:rFonts w:hint="eastAsia" w:ascii="仿宋" w:hAnsi="仿宋" w:eastAsia="仿宋" w:cs="仿宋"/>
          <w:kern w:val="0"/>
          <w:sz w:val="32"/>
          <w:szCs w:val="32"/>
        </w:rPr>
        <w:t>政府采购指国家机关、事业单位和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[2015]11号）要求的货物、工程或服务的项目，采购人均应编入政府采购预算。 按照政府采购相关法律法规要求，结合我办实际，2017年我办政府采购事项为1.3万元，本年拟用于政府采购微机1台每台5000元，打印机复印一体机一台8000元。</w:t>
      </w:r>
    </w:p>
    <w:p>
      <w:pPr>
        <w:widowControl/>
        <w:spacing w:line="360" w:lineRule="auto"/>
        <w:ind w:left="412" w:leftChars="196" w:firstLine="640"/>
        <w:jc w:val="left"/>
        <w:rPr>
          <w:rFonts w:ascii="黑体" w:hAnsi="黑体" w:eastAsia="黑体" w:cs="楷体"/>
          <w:bCs/>
          <w:sz w:val="32"/>
          <w:szCs w:val="32"/>
        </w:rPr>
      </w:pPr>
      <w:r>
        <w:rPr>
          <w:rFonts w:hint="eastAsia" w:ascii="黑体" w:hAnsi="黑体" w:eastAsia="黑体" w:cs="楷体"/>
          <w:bCs/>
          <w:sz w:val="32"/>
          <w:szCs w:val="32"/>
        </w:rPr>
        <w:t>七、国有资产情况的说明</w:t>
      </w:r>
    </w:p>
    <w:p>
      <w:pPr>
        <w:widowControl/>
        <w:spacing w:line="360" w:lineRule="auto"/>
        <w:ind w:left="412" w:leftChars="196" w:firstLine="640"/>
        <w:jc w:val="left"/>
        <w:rPr>
          <w:rFonts w:ascii="仿宋" w:hAnsi="仿宋" w:eastAsia="仿宋" w:cs="仿宋"/>
          <w:kern w:val="0"/>
          <w:sz w:val="32"/>
          <w:szCs w:val="32"/>
        </w:rPr>
      </w:pPr>
      <w:r>
        <w:rPr>
          <w:rFonts w:hint="eastAsia" w:ascii="仿宋" w:hAnsi="仿宋" w:eastAsia="仿宋" w:cs="仿宋"/>
          <w:color w:val="333333"/>
          <w:kern w:val="0"/>
          <w:sz w:val="32"/>
          <w:szCs w:val="32"/>
        </w:rPr>
        <w:t>截止上年</w:t>
      </w:r>
      <w:r>
        <w:rPr>
          <w:rFonts w:hint="eastAsia" w:ascii="仿宋" w:hAnsi="仿宋" w:eastAsia="仿宋" w:cs="仿宋"/>
          <w:kern w:val="0"/>
          <w:sz w:val="32"/>
          <w:szCs w:val="32"/>
        </w:rPr>
        <w:t>末固定资产帐面结余0万元。其中：房屋价值0万元，车辆价值13万元，其它资产办公用电脑、办公家具、专用设备等价值7万元。2017年我单位拟购置1.3万元。详见下表。</w:t>
      </w:r>
    </w:p>
    <w:tbl>
      <w:tblPr>
        <w:tblStyle w:val="6"/>
        <w:tblW w:w="10898" w:type="dxa"/>
        <w:jc w:val="center"/>
        <w:tblLayout w:type="fixed"/>
        <w:tblCellMar>
          <w:top w:w="0" w:type="dxa"/>
          <w:left w:w="108" w:type="dxa"/>
          <w:bottom w:w="0" w:type="dxa"/>
          <w:right w:w="108" w:type="dxa"/>
        </w:tblCellMar>
      </w:tblPr>
      <w:tblGrid>
        <w:gridCol w:w="5022"/>
        <w:gridCol w:w="1393"/>
        <w:gridCol w:w="4483"/>
      </w:tblGrid>
      <w:tr>
        <w:tblPrEx>
          <w:tblCellMar>
            <w:top w:w="0" w:type="dxa"/>
            <w:left w:w="108" w:type="dxa"/>
            <w:bottom w:w="0" w:type="dxa"/>
            <w:right w:w="108" w:type="dxa"/>
          </w:tblCellMar>
        </w:tblPrEx>
        <w:trPr>
          <w:trHeight w:val="705" w:hRule="atLeast"/>
          <w:jc w:val="center"/>
        </w:trPr>
        <w:tc>
          <w:tcPr>
            <w:tcW w:w="10898" w:type="dxa"/>
            <w:gridSpan w:val="3"/>
            <w:tcBorders>
              <w:top w:val="nil"/>
              <w:left w:val="nil"/>
              <w:bottom w:val="nil"/>
              <w:right w:val="nil"/>
            </w:tcBorders>
            <w:vAlign w:val="center"/>
          </w:tcPr>
          <w:p>
            <w:pPr>
              <w:widowControl/>
              <w:ind w:firstLine="2560" w:firstLineChars="800"/>
              <w:rPr>
                <w:rFonts w:ascii="仿宋" w:hAnsi="仿宋" w:eastAsia="仿宋" w:cs="仿宋"/>
                <w:kern w:val="0"/>
                <w:sz w:val="32"/>
                <w:szCs w:val="32"/>
              </w:rPr>
            </w:pPr>
          </w:p>
          <w:p>
            <w:pPr>
              <w:widowControl/>
              <w:ind w:firstLine="2560" w:firstLineChars="800"/>
              <w:rPr>
                <w:rFonts w:ascii="仿宋" w:hAnsi="仿宋" w:eastAsia="仿宋" w:cs="仿宋"/>
                <w:kern w:val="0"/>
                <w:sz w:val="32"/>
                <w:szCs w:val="32"/>
              </w:rPr>
            </w:pPr>
          </w:p>
          <w:p>
            <w:pPr>
              <w:widowControl/>
              <w:ind w:firstLine="2560" w:firstLineChars="800"/>
              <w:rPr>
                <w:rFonts w:ascii="仿宋" w:hAnsi="仿宋" w:eastAsia="仿宋" w:cs="仿宋"/>
                <w:kern w:val="0"/>
                <w:sz w:val="32"/>
                <w:szCs w:val="32"/>
              </w:rPr>
            </w:pPr>
          </w:p>
          <w:p>
            <w:pPr>
              <w:widowControl/>
              <w:ind w:firstLine="2560" w:firstLineChars="800"/>
              <w:rPr>
                <w:rFonts w:ascii="仿宋" w:hAnsi="仿宋" w:eastAsia="仿宋" w:cs="仿宋"/>
                <w:kern w:val="0"/>
                <w:sz w:val="32"/>
                <w:szCs w:val="32"/>
              </w:rPr>
            </w:pPr>
          </w:p>
          <w:p>
            <w:pPr>
              <w:widowControl/>
              <w:ind w:firstLine="2560" w:firstLineChars="800"/>
              <w:rPr>
                <w:rFonts w:ascii="仿宋" w:hAnsi="仿宋" w:eastAsia="仿宋" w:cs="仿宋"/>
                <w:kern w:val="0"/>
                <w:sz w:val="32"/>
                <w:szCs w:val="32"/>
              </w:rPr>
            </w:pPr>
          </w:p>
          <w:p>
            <w:pPr>
              <w:widowControl/>
              <w:ind w:firstLine="2560" w:firstLineChars="800"/>
              <w:rPr>
                <w:rFonts w:ascii="仿宋" w:hAnsi="仿宋" w:eastAsia="仿宋" w:cs="仿宋"/>
                <w:kern w:val="0"/>
                <w:sz w:val="32"/>
                <w:szCs w:val="32"/>
              </w:rPr>
            </w:pPr>
          </w:p>
          <w:p>
            <w:pPr>
              <w:widowControl/>
              <w:ind w:firstLine="2560" w:firstLineChars="800"/>
              <w:rPr>
                <w:rFonts w:ascii="宋体" w:hAnsi="宋体" w:eastAsia="宋体" w:cs="Times New Roman"/>
                <w:b/>
                <w:bCs/>
                <w:kern w:val="0"/>
                <w:sz w:val="32"/>
                <w:szCs w:val="32"/>
              </w:rPr>
            </w:pPr>
            <w:r>
              <w:rPr>
                <w:rFonts w:hint="eastAsia" w:ascii="仿宋" w:hAnsi="仿宋" w:eastAsia="仿宋" w:cs="仿宋"/>
                <w:kern w:val="0"/>
                <w:sz w:val="32"/>
                <w:szCs w:val="32"/>
              </w:rPr>
              <w:t>部门固定资产占用情况表</w:t>
            </w:r>
          </w:p>
        </w:tc>
      </w:tr>
      <w:tr>
        <w:tblPrEx>
          <w:tblCellMar>
            <w:top w:w="0" w:type="dxa"/>
            <w:left w:w="108" w:type="dxa"/>
            <w:bottom w:w="0" w:type="dxa"/>
            <w:right w:w="108" w:type="dxa"/>
          </w:tblCellMar>
        </w:tblPrEx>
        <w:trPr>
          <w:trHeight w:val="510" w:hRule="atLeast"/>
          <w:jc w:val="center"/>
        </w:trPr>
        <w:tc>
          <w:tcPr>
            <w:tcW w:w="6415" w:type="dxa"/>
            <w:gridSpan w:val="2"/>
            <w:tcBorders>
              <w:top w:val="nil"/>
              <w:left w:val="nil"/>
              <w:bottom w:val="nil"/>
              <w:right w:val="nil"/>
            </w:tcBorders>
            <w:vAlign w:val="center"/>
          </w:tcPr>
          <w:p>
            <w:pPr>
              <w:widowControl/>
              <w:jc w:val="left"/>
              <w:rPr>
                <w:rFonts w:ascii="宋体" w:hAnsi="宋体" w:eastAsia="宋体" w:cs="Times New Roman"/>
                <w:kern w:val="0"/>
                <w:sz w:val="22"/>
              </w:rPr>
            </w:pPr>
            <w:r>
              <w:rPr>
                <w:rFonts w:hint="eastAsia" w:ascii="宋体" w:hAnsi="宋体" w:eastAsia="宋体" w:cs="宋体"/>
                <w:kern w:val="0"/>
                <w:sz w:val="22"/>
              </w:rPr>
              <w:t>编制部门：成安县农业开发办公室</w:t>
            </w:r>
          </w:p>
        </w:tc>
        <w:tc>
          <w:tcPr>
            <w:tcW w:w="4483" w:type="dxa"/>
            <w:tcBorders>
              <w:top w:val="nil"/>
              <w:left w:val="nil"/>
              <w:bottom w:val="nil"/>
              <w:right w:val="nil"/>
            </w:tcBorders>
            <w:vAlign w:val="center"/>
          </w:tcPr>
          <w:p>
            <w:pPr>
              <w:widowControl/>
              <w:ind w:firstLine="550" w:firstLineChars="250"/>
              <w:jc w:val="left"/>
              <w:rPr>
                <w:rFonts w:ascii="宋体" w:hAnsi="宋体" w:eastAsia="宋体" w:cs="宋体"/>
                <w:kern w:val="0"/>
                <w:sz w:val="22"/>
              </w:rPr>
            </w:pPr>
            <w:r>
              <w:rPr>
                <w:rFonts w:hint="eastAsia" w:ascii="宋体" w:hAnsi="宋体" w:eastAsia="宋体" w:cs="宋体"/>
                <w:kern w:val="0"/>
                <w:sz w:val="22"/>
              </w:rPr>
              <w:t>截止时间：</w:t>
            </w:r>
            <w:r>
              <w:rPr>
                <w:rFonts w:ascii="宋体" w:hAnsi="宋体" w:eastAsia="宋体" w:cs="宋体"/>
                <w:kern w:val="0"/>
                <w:sz w:val="22"/>
              </w:rPr>
              <w:t>2016</w:t>
            </w:r>
            <w:r>
              <w:rPr>
                <w:rFonts w:hint="eastAsia" w:ascii="宋体" w:hAnsi="宋体" w:eastAsia="宋体" w:cs="宋体"/>
                <w:kern w:val="0"/>
                <w:sz w:val="22"/>
              </w:rPr>
              <w:t>年</w:t>
            </w:r>
            <w:r>
              <w:rPr>
                <w:rFonts w:ascii="宋体" w:hAnsi="宋体" w:eastAsia="宋体" w:cs="宋体"/>
                <w:kern w:val="0"/>
                <w:sz w:val="22"/>
              </w:rPr>
              <w:t>12</w:t>
            </w:r>
            <w:r>
              <w:rPr>
                <w:rFonts w:hint="eastAsia" w:ascii="宋体" w:hAnsi="宋体" w:eastAsia="宋体" w:cs="宋体"/>
                <w:kern w:val="0"/>
                <w:sz w:val="22"/>
              </w:rPr>
              <w:t>月</w:t>
            </w:r>
            <w:r>
              <w:rPr>
                <w:rFonts w:ascii="宋体" w:hAnsi="宋体" w:eastAsia="宋体" w:cs="宋体"/>
                <w:kern w:val="0"/>
                <w:sz w:val="22"/>
              </w:rPr>
              <w:t>31</w:t>
            </w:r>
            <w:r>
              <w:rPr>
                <w:rFonts w:hint="eastAsia" w:ascii="宋体" w:hAnsi="宋体" w:eastAsia="宋体" w:cs="宋体"/>
                <w:kern w:val="0"/>
                <w:sz w:val="22"/>
              </w:rPr>
              <w:t>日</w:t>
            </w:r>
            <w:r>
              <w:rPr>
                <w:rFonts w:ascii="宋体" w:hAnsi="宋体" w:eastAsia="宋体" w:cs="宋体"/>
                <w:kern w:val="0"/>
                <w:sz w:val="22"/>
              </w:rPr>
              <w:t xml:space="preserve">  </w:t>
            </w:r>
          </w:p>
        </w:tc>
      </w:tr>
      <w:tr>
        <w:tblPrEx>
          <w:tblCellMar>
            <w:top w:w="0" w:type="dxa"/>
            <w:left w:w="108" w:type="dxa"/>
            <w:bottom w:w="0" w:type="dxa"/>
            <w:right w:w="108" w:type="dxa"/>
          </w:tblCellMar>
        </w:tblPrEx>
        <w:trPr>
          <w:trHeight w:val="645" w:hRule="atLeast"/>
          <w:jc w:val="center"/>
        </w:trPr>
        <w:tc>
          <w:tcPr>
            <w:tcW w:w="50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b/>
                <w:bCs/>
                <w:kern w:val="0"/>
                <w:sz w:val="22"/>
              </w:rPr>
            </w:pPr>
            <w:r>
              <w:rPr>
                <w:rFonts w:hint="eastAsia" w:ascii="宋体" w:hAnsi="宋体" w:eastAsia="宋体" w:cs="宋体"/>
                <w:b/>
                <w:bCs/>
                <w:kern w:val="0"/>
                <w:sz w:val="22"/>
              </w:rPr>
              <w:t>项</w:t>
            </w:r>
            <w:r>
              <w:rPr>
                <w:rFonts w:ascii="宋体" w:hAnsi="宋体" w:eastAsia="宋体" w:cs="宋体"/>
                <w:b/>
                <w:bCs/>
                <w:kern w:val="0"/>
                <w:sz w:val="22"/>
              </w:rPr>
              <w:t xml:space="preserve">   </w:t>
            </w:r>
            <w:r>
              <w:rPr>
                <w:rFonts w:hint="eastAsia" w:ascii="宋体" w:hAnsi="宋体" w:eastAsia="宋体" w:cs="宋体"/>
                <w:b/>
                <w:bCs/>
                <w:kern w:val="0"/>
                <w:sz w:val="22"/>
              </w:rPr>
              <w:t>目</w:t>
            </w:r>
          </w:p>
        </w:tc>
        <w:tc>
          <w:tcPr>
            <w:tcW w:w="1393"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b/>
                <w:bCs/>
                <w:kern w:val="0"/>
                <w:sz w:val="22"/>
              </w:rPr>
            </w:pPr>
            <w:r>
              <w:rPr>
                <w:rFonts w:hint="eastAsia" w:ascii="宋体" w:hAnsi="宋体" w:eastAsia="宋体" w:cs="宋体"/>
                <w:b/>
                <w:bCs/>
                <w:kern w:val="0"/>
                <w:sz w:val="22"/>
              </w:rPr>
              <w:t>数量</w:t>
            </w:r>
          </w:p>
        </w:tc>
        <w:tc>
          <w:tcPr>
            <w:tcW w:w="4483"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b/>
                <w:bCs/>
                <w:kern w:val="0"/>
                <w:sz w:val="22"/>
              </w:rPr>
            </w:pPr>
            <w:r>
              <w:rPr>
                <w:rFonts w:hint="eastAsia" w:ascii="宋体" w:hAnsi="宋体" w:eastAsia="宋体" w:cs="宋体"/>
                <w:b/>
                <w:bCs/>
                <w:kern w:val="0"/>
                <w:sz w:val="22"/>
              </w:rPr>
              <w:t>价值（金额单位：万元）</w:t>
            </w:r>
          </w:p>
        </w:tc>
      </w:tr>
      <w:tr>
        <w:tblPrEx>
          <w:tblCellMar>
            <w:top w:w="0" w:type="dxa"/>
            <w:left w:w="108" w:type="dxa"/>
            <w:bottom w:w="0" w:type="dxa"/>
            <w:right w:w="108" w:type="dxa"/>
          </w:tblCellMar>
        </w:tblPrEx>
        <w:trPr>
          <w:trHeight w:val="645" w:hRule="atLeast"/>
          <w:jc w:val="center"/>
        </w:trPr>
        <w:tc>
          <w:tcPr>
            <w:tcW w:w="5022"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宋体"/>
                <w:kern w:val="0"/>
                <w:sz w:val="22"/>
              </w:rPr>
              <w:t>资产总额</w:t>
            </w:r>
          </w:p>
        </w:tc>
        <w:tc>
          <w:tcPr>
            <w:tcW w:w="139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ascii="宋体" w:hAnsi="宋体" w:eastAsia="宋体" w:cs="宋体"/>
                <w:kern w:val="0"/>
                <w:sz w:val="22"/>
              </w:rPr>
              <w:t>——</w:t>
            </w:r>
          </w:p>
        </w:tc>
        <w:tc>
          <w:tcPr>
            <w:tcW w:w="448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645" w:hRule="atLeast"/>
          <w:jc w:val="center"/>
        </w:trPr>
        <w:tc>
          <w:tcPr>
            <w:tcW w:w="5022"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ascii="宋体" w:hAnsi="宋体" w:eastAsia="宋体" w:cs="宋体"/>
                <w:kern w:val="0"/>
                <w:sz w:val="22"/>
              </w:rPr>
              <w:t>1</w:t>
            </w:r>
            <w:r>
              <w:rPr>
                <w:rFonts w:hint="eastAsia" w:ascii="宋体" w:hAnsi="宋体" w:eastAsia="宋体" w:cs="宋体"/>
                <w:kern w:val="0"/>
                <w:sz w:val="22"/>
              </w:rPr>
              <w:t>、房屋（平方米）</w:t>
            </w:r>
          </w:p>
        </w:tc>
        <w:tc>
          <w:tcPr>
            <w:tcW w:w="1393"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p>
        </w:tc>
        <w:tc>
          <w:tcPr>
            <w:tcW w:w="4483"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p>
        </w:tc>
      </w:tr>
      <w:tr>
        <w:tblPrEx>
          <w:tblCellMar>
            <w:top w:w="0" w:type="dxa"/>
            <w:left w:w="108" w:type="dxa"/>
            <w:bottom w:w="0" w:type="dxa"/>
            <w:right w:w="108" w:type="dxa"/>
          </w:tblCellMar>
        </w:tblPrEx>
        <w:trPr>
          <w:trHeight w:val="645" w:hRule="atLeast"/>
          <w:jc w:val="center"/>
        </w:trPr>
        <w:tc>
          <w:tcPr>
            <w:tcW w:w="5022"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ascii="宋体" w:hAnsi="宋体" w:eastAsia="宋体" w:cs="宋体"/>
                <w:kern w:val="0"/>
                <w:sz w:val="22"/>
              </w:rPr>
              <w:t xml:space="preserve">   </w:t>
            </w:r>
            <w:r>
              <w:rPr>
                <w:rFonts w:hint="eastAsia" w:ascii="宋体" w:hAnsi="宋体" w:eastAsia="宋体" w:cs="宋体"/>
                <w:kern w:val="0"/>
                <w:sz w:val="22"/>
              </w:rPr>
              <w:t>其中：办公用房（平方米）</w:t>
            </w:r>
          </w:p>
        </w:tc>
        <w:tc>
          <w:tcPr>
            <w:tcW w:w="1393"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p>
        </w:tc>
        <w:tc>
          <w:tcPr>
            <w:tcW w:w="4483"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p>
        </w:tc>
      </w:tr>
      <w:tr>
        <w:tblPrEx>
          <w:tblCellMar>
            <w:top w:w="0" w:type="dxa"/>
            <w:left w:w="108" w:type="dxa"/>
            <w:bottom w:w="0" w:type="dxa"/>
            <w:right w:w="108" w:type="dxa"/>
          </w:tblCellMar>
        </w:tblPrEx>
        <w:trPr>
          <w:trHeight w:val="645" w:hRule="atLeast"/>
          <w:jc w:val="center"/>
        </w:trPr>
        <w:tc>
          <w:tcPr>
            <w:tcW w:w="5022"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ascii="宋体" w:hAnsi="宋体" w:eastAsia="宋体" w:cs="宋体"/>
                <w:kern w:val="0"/>
                <w:sz w:val="22"/>
              </w:rPr>
              <w:t>2</w:t>
            </w:r>
            <w:r>
              <w:rPr>
                <w:rFonts w:hint="eastAsia" w:ascii="宋体" w:hAnsi="宋体" w:eastAsia="宋体" w:cs="宋体"/>
                <w:kern w:val="0"/>
                <w:sz w:val="22"/>
              </w:rPr>
              <w:t>、车辆（台、辆）</w:t>
            </w:r>
          </w:p>
        </w:tc>
        <w:tc>
          <w:tcPr>
            <w:tcW w:w="1393"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p>
        </w:tc>
        <w:tc>
          <w:tcPr>
            <w:tcW w:w="4483"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13</w:t>
            </w:r>
          </w:p>
        </w:tc>
      </w:tr>
      <w:tr>
        <w:tblPrEx>
          <w:tblCellMar>
            <w:top w:w="0" w:type="dxa"/>
            <w:left w:w="108" w:type="dxa"/>
            <w:bottom w:w="0" w:type="dxa"/>
            <w:right w:w="108" w:type="dxa"/>
          </w:tblCellMar>
        </w:tblPrEx>
        <w:trPr>
          <w:trHeight w:val="645" w:hRule="atLeast"/>
          <w:jc w:val="center"/>
        </w:trPr>
        <w:tc>
          <w:tcPr>
            <w:tcW w:w="5022"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ascii="宋体" w:hAnsi="宋体" w:eastAsia="宋体" w:cs="宋体"/>
                <w:kern w:val="0"/>
                <w:sz w:val="22"/>
              </w:rPr>
              <w:t>3</w:t>
            </w:r>
            <w:r>
              <w:rPr>
                <w:rFonts w:hint="eastAsia" w:ascii="宋体" w:hAnsi="宋体" w:eastAsia="宋体" w:cs="宋体"/>
                <w:kern w:val="0"/>
                <w:sz w:val="22"/>
              </w:rPr>
              <w:t>、单价在</w:t>
            </w:r>
            <w:r>
              <w:rPr>
                <w:rFonts w:ascii="宋体" w:hAnsi="宋体" w:eastAsia="宋体" w:cs="宋体"/>
                <w:kern w:val="0"/>
                <w:sz w:val="22"/>
              </w:rPr>
              <w:t>50</w:t>
            </w:r>
            <w:r>
              <w:rPr>
                <w:rFonts w:hint="eastAsia" w:ascii="宋体" w:hAnsi="宋体" w:eastAsia="宋体" w:cs="宋体"/>
                <w:kern w:val="0"/>
                <w:sz w:val="22"/>
              </w:rPr>
              <w:t>万元以上的设备</w:t>
            </w:r>
          </w:p>
        </w:tc>
        <w:tc>
          <w:tcPr>
            <w:tcW w:w="1393"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p>
        </w:tc>
        <w:tc>
          <w:tcPr>
            <w:tcW w:w="4483"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p>
        </w:tc>
      </w:tr>
      <w:tr>
        <w:tblPrEx>
          <w:tblCellMar>
            <w:top w:w="0" w:type="dxa"/>
            <w:left w:w="108" w:type="dxa"/>
            <w:bottom w:w="0" w:type="dxa"/>
            <w:right w:w="108" w:type="dxa"/>
          </w:tblCellMar>
        </w:tblPrEx>
        <w:trPr>
          <w:trHeight w:val="645" w:hRule="atLeast"/>
          <w:jc w:val="center"/>
        </w:trPr>
        <w:tc>
          <w:tcPr>
            <w:tcW w:w="5022"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ascii="宋体" w:hAnsi="宋体" w:eastAsia="宋体" w:cs="宋体"/>
                <w:kern w:val="0"/>
                <w:sz w:val="22"/>
              </w:rPr>
              <w:t>4</w:t>
            </w:r>
            <w:r>
              <w:rPr>
                <w:rFonts w:hint="eastAsia" w:ascii="宋体" w:hAnsi="宋体" w:eastAsia="宋体" w:cs="宋体"/>
                <w:kern w:val="0"/>
                <w:sz w:val="22"/>
              </w:rPr>
              <w:t>、其他固定资产</w:t>
            </w:r>
          </w:p>
        </w:tc>
        <w:tc>
          <w:tcPr>
            <w:tcW w:w="1393"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p>
        </w:tc>
        <w:tc>
          <w:tcPr>
            <w:tcW w:w="4483"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7</w:t>
            </w:r>
          </w:p>
        </w:tc>
      </w:tr>
    </w:tbl>
    <w:p>
      <w:pPr>
        <w:widowControl/>
        <w:spacing w:line="360" w:lineRule="auto"/>
        <w:ind w:firstLine="739" w:firstLineChars="231"/>
        <w:jc w:val="left"/>
        <w:rPr>
          <w:rFonts w:ascii="黑体" w:hAnsi="黑体" w:eastAsia="黑体" w:cs="楷体"/>
          <w:bCs/>
          <w:sz w:val="32"/>
          <w:szCs w:val="32"/>
        </w:rPr>
      </w:pPr>
      <w:r>
        <w:rPr>
          <w:rFonts w:hint="eastAsia" w:ascii="黑体" w:hAnsi="黑体" w:eastAsia="黑体" w:cs="楷体"/>
          <w:bCs/>
          <w:sz w:val="32"/>
          <w:szCs w:val="32"/>
        </w:rPr>
        <w:t xml:space="preserve">八、名词解释 </w:t>
      </w:r>
      <w:r>
        <w:rPr>
          <w:rFonts w:hint="eastAsia" w:ascii="宋体" w:hAnsi="宋体" w:eastAsia="宋体" w:cs="宋体"/>
          <w:bCs/>
          <w:sz w:val="32"/>
          <w:szCs w:val="32"/>
        </w:rPr>
        <w:t> </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bCs/>
          <w:kern w:val="0"/>
          <w:sz w:val="32"/>
          <w:szCs w:val="32"/>
        </w:rPr>
        <w:t>1、财政拨款收入：指</w:t>
      </w:r>
      <w:r>
        <w:rPr>
          <w:rFonts w:hint="eastAsia" w:ascii="仿宋" w:hAnsi="仿宋" w:eastAsia="仿宋" w:cs="仿宋"/>
          <w:kern w:val="0"/>
          <w:sz w:val="32"/>
          <w:szCs w:val="32"/>
        </w:rPr>
        <w:t>财政当年拨付的资金。</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三公”经费：包括因公出国（境）费、公务接待费和公务用车购置及运行费。因公出国（境）费，指单位工作人员公务出国（境）的住宿费、差旅费、伙食补助费、杂费、培训费等支出。公务接待费，指单位按规定开支的各类公务接待（含外宾接待）支出。公务用车购置及运行费，指单位公务用车购置费及租用费、燃料费、维修费、等支出，公务用车指用于履行公务的机动车辆，包括领导干部专车、一般公务用车和执法执勤等业务用车。</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 xml:space="preserve"> 3、年初结转和结余：指以前年度尚未完成，结转到本年仍按照原规定用途继续使用的资金，或项目已完成等产生的结余资金。  </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4、基本支出：指单位为了保障其正常运转、完成日常工作任务而发生的人员支出和公用支出。  </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5、项目支出：指单位为了特定的工作任务和事业发展目标，在基本支出之外所发生的支出。</w:t>
      </w:r>
    </w:p>
    <w:p>
      <w:pPr>
        <w:widowControl/>
        <w:spacing w:line="360" w:lineRule="auto"/>
        <w:ind w:firstLine="419" w:firstLineChars="131"/>
        <w:jc w:val="left"/>
        <w:rPr>
          <w:rFonts w:ascii="黑体" w:hAnsi="黑体" w:eastAsia="黑体" w:cs="楷体"/>
          <w:bCs/>
          <w:sz w:val="32"/>
          <w:szCs w:val="32"/>
        </w:rPr>
      </w:pPr>
      <w:r>
        <w:rPr>
          <w:rFonts w:hint="eastAsia" w:ascii="黑体" w:hAnsi="黑体" w:eastAsia="黑体" w:cs="楷体"/>
          <w:bCs/>
          <w:sz w:val="32"/>
          <w:szCs w:val="32"/>
        </w:rPr>
        <w:t>九、其他需要说明的事项</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无</w:t>
      </w:r>
      <w:r>
        <w:rPr>
          <w:rFonts w:hint="eastAsia" w:ascii="仿宋" w:hAnsi="仿宋" w:eastAsia="仿宋" w:cs="仿宋"/>
          <w:bCs/>
          <w:kern w:val="0"/>
          <w:sz w:val="32"/>
          <w:szCs w:val="32"/>
        </w:rPr>
        <w:t>其他需要说明的事项</w:t>
      </w:r>
      <w:r>
        <w:rPr>
          <w:rFonts w:hint="eastAsia" w:ascii="仿宋" w:hAnsi="仿宋" w:eastAsia="仿宋" w:cs="仿宋"/>
          <w:kern w:val="0"/>
          <w:sz w:val="32"/>
          <w:szCs w:val="32"/>
        </w:rPr>
        <w:t>。</w:t>
      </w:r>
    </w:p>
    <w:p>
      <w:pPr>
        <w:widowControl/>
        <w:spacing w:line="360" w:lineRule="auto"/>
        <w:ind w:firstLine="420" w:firstLineChars="200"/>
        <w:jc w:val="left"/>
      </w:pPr>
    </w:p>
    <w:sectPr>
      <w:pgSz w:w="16839" w:h="11907" w:orient="landscape"/>
      <w:pgMar w:top="1134" w:right="1021" w:bottom="1134" w:left="102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066BA9"/>
    <w:multiLevelType w:val="singleLevel"/>
    <w:tmpl w:val="5A066BA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jM2I2YzFkNThkYjJhZTQyNTk0MWE5NDM5YjJiNWIifQ=="/>
  </w:docVars>
  <w:rsids>
    <w:rsidRoot w:val="00E810D6"/>
    <w:rsid w:val="00042E27"/>
    <w:rsid w:val="001E70B5"/>
    <w:rsid w:val="002E3A95"/>
    <w:rsid w:val="002F39CD"/>
    <w:rsid w:val="003D754B"/>
    <w:rsid w:val="00464B59"/>
    <w:rsid w:val="004B7754"/>
    <w:rsid w:val="004E0692"/>
    <w:rsid w:val="004F30EB"/>
    <w:rsid w:val="005C2F20"/>
    <w:rsid w:val="005D136A"/>
    <w:rsid w:val="0062621A"/>
    <w:rsid w:val="00685811"/>
    <w:rsid w:val="00686676"/>
    <w:rsid w:val="006D1C5B"/>
    <w:rsid w:val="00712344"/>
    <w:rsid w:val="007A507B"/>
    <w:rsid w:val="007D6BF0"/>
    <w:rsid w:val="008058DC"/>
    <w:rsid w:val="00881491"/>
    <w:rsid w:val="008C7744"/>
    <w:rsid w:val="008E1F6D"/>
    <w:rsid w:val="008F6336"/>
    <w:rsid w:val="00943F18"/>
    <w:rsid w:val="009B685C"/>
    <w:rsid w:val="00A07D70"/>
    <w:rsid w:val="00B344D4"/>
    <w:rsid w:val="00BB3FD4"/>
    <w:rsid w:val="00C41A1D"/>
    <w:rsid w:val="00D376C0"/>
    <w:rsid w:val="00E810D6"/>
    <w:rsid w:val="013B67CD"/>
    <w:rsid w:val="01CA412B"/>
    <w:rsid w:val="02E105A4"/>
    <w:rsid w:val="03470FB6"/>
    <w:rsid w:val="037D399A"/>
    <w:rsid w:val="03B213E5"/>
    <w:rsid w:val="05294534"/>
    <w:rsid w:val="05551F42"/>
    <w:rsid w:val="06096D52"/>
    <w:rsid w:val="06550E5D"/>
    <w:rsid w:val="0726741C"/>
    <w:rsid w:val="08184F8E"/>
    <w:rsid w:val="08D34D69"/>
    <w:rsid w:val="09E50DB9"/>
    <w:rsid w:val="0BB759F9"/>
    <w:rsid w:val="0CBF7A43"/>
    <w:rsid w:val="0DD4180B"/>
    <w:rsid w:val="0FAC01D7"/>
    <w:rsid w:val="130B706D"/>
    <w:rsid w:val="139106CF"/>
    <w:rsid w:val="13DE0FA8"/>
    <w:rsid w:val="14435AA4"/>
    <w:rsid w:val="163506CD"/>
    <w:rsid w:val="17252863"/>
    <w:rsid w:val="175940C0"/>
    <w:rsid w:val="17C16AC9"/>
    <w:rsid w:val="180D78B9"/>
    <w:rsid w:val="18714684"/>
    <w:rsid w:val="1AC04A10"/>
    <w:rsid w:val="1AEF7278"/>
    <w:rsid w:val="1B2A5EA4"/>
    <w:rsid w:val="1CC97251"/>
    <w:rsid w:val="1CEB0A1C"/>
    <w:rsid w:val="1E8167C1"/>
    <w:rsid w:val="1E8E5343"/>
    <w:rsid w:val="1EA0654E"/>
    <w:rsid w:val="1EAA0AE1"/>
    <w:rsid w:val="20643E10"/>
    <w:rsid w:val="21B66276"/>
    <w:rsid w:val="223400CB"/>
    <w:rsid w:val="224B772B"/>
    <w:rsid w:val="228819EE"/>
    <w:rsid w:val="23251827"/>
    <w:rsid w:val="2716314B"/>
    <w:rsid w:val="287068C3"/>
    <w:rsid w:val="288A4B30"/>
    <w:rsid w:val="28B0025D"/>
    <w:rsid w:val="28E516DB"/>
    <w:rsid w:val="293F5498"/>
    <w:rsid w:val="299267B6"/>
    <w:rsid w:val="2AD57C75"/>
    <w:rsid w:val="2BAA47A7"/>
    <w:rsid w:val="2D03700E"/>
    <w:rsid w:val="2D177B76"/>
    <w:rsid w:val="2DCE40BA"/>
    <w:rsid w:val="2E066AE5"/>
    <w:rsid w:val="2E2777CE"/>
    <w:rsid w:val="2EE04A84"/>
    <w:rsid w:val="31D059F4"/>
    <w:rsid w:val="327E7E05"/>
    <w:rsid w:val="332A0BBD"/>
    <w:rsid w:val="3387759D"/>
    <w:rsid w:val="33E31C33"/>
    <w:rsid w:val="351C5D1D"/>
    <w:rsid w:val="36DF5EE5"/>
    <w:rsid w:val="38963AA1"/>
    <w:rsid w:val="39461E7C"/>
    <w:rsid w:val="39A75722"/>
    <w:rsid w:val="3B6E7B6E"/>
    <w:rsid w:val="3C712CD5"/>
    <w:rsid w:val="3C803D11"/>
    <w:rsid w:val="3CEC5D53"/>
    <w:rsid w:val="3D781B83"/>
    <w:rsid w:val="3E8F468B"/>
    <w:rsid w:val="43C23630"/>
    <w:rsid w:val="441C57E9"/>
    <w:rsid w:val="44240E6E"/>
    <w:rsid w:val="44986D47"/>
    <w:rsid w:val="456A5D0D"/>
    <w:rsid w:val="457C0C14"/>
    <w:rsid w:val="45B90BF3"/>
    <w:rsid w:val="460143F1"/>
    <w:rsid w:val="475B18CD"/>
    <w:rsid w:val="4A4F1F05"/>
    <w:rsid w:val="4B7040C7"/>
    <w:rsid w:val="4CA957E7"/>
    <w:rsid w:val="4D9730D4"/>
    <w:rsid w:val="4E4335D2"/>
    <w:rsid w:val="59AF56D7"/>
    <w:rsid w:val="5B2B3FCD"/>
    <w:rsid w:val="5BAE356C"/>
    <w:rsid w:val="5CB07A05"/>
    <w:rsid w:val="5ED17601"/>
    <w:rsid w:val="607E5707"/>
    <w:rsid w:val="612F2391"/>
    <w:rsid w:val="61897173"/>
    <w:rsid w:val="63F21B1B"/>
    <w:rsid w:val="64CD28F8"/>
    <w:rsid w:val="65493192"/>
    <w:rsid w:val="666C26EF"/>
    <w:rsid w:val="68541668"/>
    <w:rsid w:val="68C167A7"/>
    <w:rsid w:val="6B511389"/>
    <w:rsid w:val="6C3F6730"/>
    <w:rsid w:val="6D5763C1"/>
    <w:rsid w:val="6D81148F"/>
    <w:rsid w:val="6E8006EE"/>
    <w:rsid w:val="6ECC4D84"/>
    <w:rsid w:val="705A791D"/>
    <w:rsid w:val="70746973"/>
    <w:rsid w:val="70954FFE"/>
    <w:rsid w:val="70BA2DA1"/>
    <w:rsid w:val="71B87B2B"/>
    <w:rsid w:val="729B4F6A"/>
    <w:rsid w:val="731A1B81"/>
    <w:rsid w:val="733E01F4"/>
    <w:rsid w:val="7424079F"/>
    <w:rsid w:val="74D4598A"/>
    <w:rsid w:val="76FD3FC3"/>
    <w:rsid w:val="7803668D"/>
    <w:rsid w:val="7A680102"/>
    <w:rsid w:val="7AA5545A"/>
    <w:rsid w:val="7BAA5900"/>
    <w:rsid w:val="7BC40405"/>
    <w:rsid w:val="7C7F0C36"/>
    <w:rsid w:val="7D9A3104"/>
    <w:rsid w:val="7DB94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unhideWhenUsed/>
    <w:qFormat/>
    <w:uiPriority w:val="39"/>
  </w:style>
  <w:style w:type="paragraph" w:styleId="5">
    <w:name w:val="toc 2"/>
    <w:basedOn w:val="1"/>
    <w:next w:val="1"/>
    <w:unhideWhenUsed/>
    <w:qFormat/>
    <w:uiPriority w:val="39"/>
    <w:pPr>
      <w:ind w:left="420" w:leftChars="200"/>
    </w:p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574CA-3385-4950-830E-1953548C69E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3114</Words>
  <Characters>3284</Characters>
  <Lines>35</Lines>
  <Paragraphs>9</Paragraphs>
  <TotalTime>15</TotalTime>
  <ScaleCrop>false</ScaleCrop>
  <LinksUpToDate>false</LinksUpToDate>
  <CharactersWithSpaces>3327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2017-05-19T01:51:00Z</dcterms:created>
  <dc:creator>lenovo</dc:creator>
  <cp:lastModifiedBy>果子糖</cp:lastModifiedBy>
  <cp:lastPrinted>2016-04-01T02:44:00Z</cp:lastPrinted>
  <dcterms:modified xsi:type="dcterms:W3CDTF">2023-06-08T07:42:15Z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53DAEA5BC3BA4616A14B6AFC18E8BF36_12</vt:lpwstr>
  </property>
</Properties>
</file>