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D85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成安县供销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合作社联合</w:t>
      </w:r>
      <w:r>
        <w:rPr>
          <w:rFonts w:hint="eastAsia" w:ascii="宋体" w:hAnsi="宋体" w:eastAsia="宋体"/>
          <w:b/>
          <w:sz w:val="44"/>
          <w:szCs w:val="44"/>
        </w:rPr>
        <w:t>社</w:t>
      </w:r>
      <w:r>
        <w:rPr>
          <w:rFonts w:ascii="宋体" w:hAnsi="宋体" w:eastAsia="宋体"/>
          <w:b/>
          <w:sz w:val="44"/>
          <w:szCs w:val="44"/>
        </w:rPr>
        <w:t xml:space="preserve"> </w:t>
      </w:r>
    </w:p>
    <w:p w14:paraId="26264CD6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2017年部门预算公开情况说明</w:t>
      </w:r>
    </w:p>
    <w:p w14:paraId="772017CD">
      <w:pPr>
        <w:widowControl/>
        <w:spacing w:line="360" w:lineRule="auto"/>
        <w:ind w:left="640"/>
        <w:jc w:val="left"/>
        <w:rPr>
          <w:rFonts w:ascii="仿宋_GB2312" w:hAnsi="Calibri" w:eastAsia="仿宋_GB2312" w:cs="仿宋_GB2312"/>
          <w:sz w:val="32"/>
          <w:szCs w:val="32"/>
        </w:rPr>
      </w:pPr>
    </w:p>
    <w:p w14:paraId="1D637509"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现将供销社2017年部门预算公开如下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：</w:t>
      </w:r>
    </w:p>
    <w:p w14:paraId="5FF23D90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部门职责及机构设置情况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634378D7">
      <w:pPr>
        <w:spacing w:line="360" w:lineRule="auto"/>
        <w:ind w:left="210" w:left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部门职责1、成安县供销社是全县供销合作社的联合组织，为县政府领导的事业机构，负责制定全县供销合作社的发展战略和规划，指导全县供销合作社的改革与发展。</w:t>
      </w:r>
    </w:p>
    <w:p w14:paraId="570A3BD2">
      <w:pPr>
        <w:spacing w:line="360" w:lineRule="auto"/>
        <w:ind w:left="105" w:leftChars="50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2、负责维护供销合作社章程赋予的合法权益，协调与政府部门、社会组织的关系，参与和推动有关地方性法规和规章的制定，促进合作经济的发展。</w:t>
      </w:r>
    </w:p>
    <w:p w14:paraId="039A39C1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按照上级政府授权，对重要农业生产资料、农副产品和再生资源经营进行组织、协调、管理；负责管理棉花、化肥、农药、羊毛、救灾物资等国家、省级、市级和县级重要物资储备。按照政府授权，做好烟花爆竹专营工作，配合有关部门打击违法经营，保证购销安全，维护流通秩序。</w:t>
      </w:r>
    </w:p>
    <w:p w14:paraId="35F12174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4、负责指导全县供销合作社社属企业改革，建立现代企业制度，管理运营本及社社有资产，对直属单位行使出资人职能。</w:t>
      </w:r>
    </w:p>
    <w:p w14:paraId="257E81B5">
      <w:pPr>
        <w:autoSpaceDE w:val="0"/>
        <w:autoSpaceDN w:val="0"/>
        <w:adjustRightInd w:val="0"/>
        <w:ind w:firstLine="643" w:firstLineChars="200"/>
        <w:jc w:val="left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b/>
          <w:bCs/>
          <w:sz w:val="32"/>
          <w:szCs w:val="32"/>
        </w:rPr>
        <w:t>机构设置：</w:t>
      </w:r>
    </w:p>
    <w:p w14:paraId="2F22568F">
      <w:pPr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W w:w="101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1528"/>
        <w:gridCol w:w="1528"/>
        <w:gridCol w:w="3581"/>
      </w:tblGrid>
      <w:tr w14:paraId="4562B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52" w:type="dxa"/>
            <w:vMerge w:val="restart"/>
            <w:vAlign w:val="center"/>
          </w:tcPr>
          <w:p w14:paraId="6F45BFD0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528" w:type="dxa"/>
            <w:vMerge w:val="restart"/>
            <w:vAlign w:val="center"/>
          </w:tcPr>
          <w:p w14:paraId="5CFC3239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单位性质</w:t>
            </w:r>
          </w:p>
        </w:tc>
        <w:tc>
          <w:tcPr>
            <w:tcW w:w="1528" w:type="dxa"/>
            <w:vMerge w:val="restart"/>
            <w:vAlign w:val="center"/>
          </w:tcPr>
          <w:p w14:paraId="1ADD1BE4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单位规格</w:t>
            </w:r>
          </w:p>
        </w:tc>
        <w:tc>
          <w:tcPr>
            <w:tcW w:w="3581" w:type="dxa"/>
            <w:vMerge w:val="restart"/>
            <w:vAlign w:val="center"/>
          </w:tcPr>
          <w:p w14:paraId="109FAFE7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经费保障形式</w:t>
            </w:r>
          </w:p>
        </w:tc>
      </w:tr>
      <w:tr w14:paraId="4598B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52" w:type="dxa"/>
            <w:vMerge w:val="continue"/>
            <w:vAlign w:val="center"/>
          </w:tcPr>
          <w:p w14:paraId="30F05158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72127BC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A5AC23B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581" w:type="dxa"/>
            <w:vMerge w:val="continue"/>
            <w:vAlign w:val="center"/>
          </w:tcPr>
          <w:p w14:paraId="7FF415D8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 w14:paraId="7FEA8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552" w:type="dxa"/>
            <w:vAlign w:val="center"/>
          </w:tcPr>
          <w:p w14:paraId="2B6DAED2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成安县供销合作社联合社</w:t>
            </w:r>
          </w:p>
        </w:tc>
        <w:tc>
          <w:tcPr>
            <w:tcW w:w="1528" w:type="dxa"/>
            <w:vAlign w:val="center"/>
          </w:tcPr>
          <w:p w14:paraId="4231666A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事业</w:t>
            </w:r>
          </w:p>
        </w:tc>
        <w:tc>
          <w:tcPr>
            <w:tcW w:w="1528" w:type="dxa"/>
            <w:vAlign w:val="center"/>
          </w:tcPr>
          <w:p w14:paraId="7E8BD4E1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正科级</w:t>
            </w:r>
          </w:p>
        </w:tc>
        <w:tc>
          <w:tcPr>
            <w:tcW w:w="3581" w:type="dxa"/>
            <w:vAlign w:val="center"/>
          </w:tcPr>
          <w:p w14:paraId="0E98427B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财政性资金定额或定向补助（差额事业）</w:t>
            </w:r>
          </w:p>
        </w:tc>
      </w:tr>
    </w:tbl>
    <w:p w14:paraId="1E0A7E7D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</w:p>
    <w:p w14:paraId="1EEB1AAF">
      <w:pPr>
        <w:spacing w:line="360" w:lineRule="auto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内设机构及职责</w:t>
      </w:r>
    </w:p>
    <w:p w14:paraId="7310AD53">
      <w:pPr>
        <w:spacing w:line="360" w:lineRule="auto"/>
        <w:ind w:firstLine="899" w:firstLineChars="281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成安县供销社，预算编码是817，内设8个内部机构。</w:t>
      </w:r>
    </w:p>
    <w:p w14:paraId="393E4909">
      <w:pPr>
        <w:widowControl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1、办公室主要负责：</w:t>
      </w:r>
      <w:r>
        <w:rPr>
          <w:rFonts w:hint="eastAsia" w:ascii="仿宋_GB2312" w:eastAsia="仿宋_GB2312"/>
          <w:sz w:val="32"/>
          <w:szCs w:val="32"/>
        </w:rPr>
        <w:t>认真贯彻执行党和国家的路线、方针、政策，遵守国家的各项法律、法律和单位的各项规章制度，为领导出主意、当参谋，调查研究，处理信息，参与政务，为领导服务，为机关服务，为基层服务；负责机关考勤及上传下达、文件收发、呈示、传阅、整理、归档工作；负责系统会议、主任办公会议和机关其他会议的会务安排、通知、记录、纪要工作。按照保密工作要求，做好有关文件和会议内容的保密工作；</w:t>
      </w:r>
      <w:r>
        <w:rPr>
          <w:rFonts w:hint="eastAsia" w:ascii="仿宋_GB2312" w:hAnsi="ˎ̥" w:eastAsia="仿宋_GB2312"/>
          <w:color w:val="222222"/>
          <w:sz w:val="32"/>
          <w:szCs w:val="32"/>
        </w:rPr>
        <w:t>负责协调科室和基层单位关系，</w:t>
      </w:r>
      <w:r>
        <w:rPr>
          <w:rFonts w:hint="eastAsia" w:ascii="仿宋_GB2312" w:eastAsia="仿宋_GB2312"/>
          <w:sz w:val="32"/>
          <w:szCs w:val="32"/>
        </w:rPr>
        <w:t>协助领导对重大决策、会议决议、重要工作部署以及领导批办的执行情况进行督办，抓好落实，保证系统政令畅通；</w:t>
      </w:r>
      <w:r>
        <w:rPr>
          <w:rFonts w:hint="eastAsia" w:ascii="仿宋_GB2312" w:hAnsi="ˎ̥" w:eastAsia="仿宋_GB2312"/>
          <w:color w:val="222222"/>
          <w:sz w:val="32"/>
          <w:szCs w:val="32"/>
        </w:rPr>
        <w:t>负责草拟系统工作计划、总结、报告、请示、决议及其他综合性文件和领导交办的文件，落实有关规章制度和工作职责；负责机关文印、办公用品和家具用具的采购、登记、分配和管理工作；负责各类信息、资料的收集和整理；负责公章的保管和使用；负责机关车辆的调度和管理；负责来客、来访的接待；负责机关环境卫生的监督管理、机关门卫和水、电管理，</w:t>
      </w:r>
      <w:r>
        <w:rPr>
          <w:rFonts w:hint="eastAsia" w:ascii="仿宋_GB2312" w:eastAsia="仿宋_GB2312"/>
          <w:sz w:val="32"/>
          <w:szCs w:val="32"/>
        </w:rPr>
        <w:t>做好节假日值班安排工作。</w:t>
      </w:r>
    </w:p>
    <w:p w14:paraId="59D92C6B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2、财务科主要负责：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贯</w:t>
      </w:r>
      <w:r>
        <w:rPr>
          <w:rFonts w:hint="eastAsia" w:ascii="仿宋_GB2312" w:hAnsi="仿宋_GB2312" w:eastAsia="仿宋_GB2312"/>
          <w:sz w:val="32"/>
        </w:rPr>
        <w:t>彻国家财经方针和各项政策，遵守财经纪律、法规、规章和各项财务制度，加强财务管理；结合本单位情况，制定财务管理制度和会计核算制度，建立健全核算程序和报销手续，如实反映本单位的财务状况及定期开展财务分析；认真审核费用开支手续，严格执行费用开支范围和标准；负责会计报表编制、机关经费预算决算。协调有关职能部门业务关系；面向基层、服务基层，监督基层单位各项资金的使用，确保社有资金完整；负责各种票据的管理及会计资料的归档工作。</w:t>
      </w:r>
    </w:p>
    <w:p w14:paraId="5FDB7F9C"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3、信访人事科：</w:t>
      </w:r>
      <w:r>
        <w:rPr>
          <w:rFonts w:hint="eastAsia" w:ascii="仿宋_GB2312" w:hAnsi="仿宋_GB2312" w:eastAsia="仿宋_GB2312"/>
          <w:sz w:val="32"/>
        </w:rPr>
        <w:t>受理系统信访职工提出的信访事项；承办上级和单位领导交办的信访事项；主动排查系统各种信访隐患，把矛盾解决在基层，消灭在萌芽状态；深入基层调查研究，及时了解分析信访动态，为领导决策提供科学依据；负责系统企业劳动、人事管理工作；完成系统职工工资调整和工资报表填报工作；负责系统职工的退休申报和离退人员的管理工作；负责协调管理系统各单位劳动用工、养老、医疗、失业、工伤、女工生育保险等社会保障工作；负责系统干部职工考核、人才开发和教育培训工作。</w:t>
      </w:r>
    </w:p>
    <w:p w14:paraId="731A1C1F"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4、党建计生科：</w:t>
      </w:r>
      <w:r>
        <w:rPr>
          <w:rFonts w:hint="eastAsia" w:ascii="仿宋_GB2312" w:hAnsi="仿宋_GB2312" w:eastAsia="仿宋_GB2312"/>
          <w:sz w:val="32"/>
          <w:szCs w:val="32"/>
        </w:rPr>
        <w:t>传达贯彻上级党委、政府的指示和决定，熟悉和掌握系统组织工作基本情况，拟定组织工作的具体规划和方案，指导、检查县直单位组织建设；拟定系统党员队伍建设规划，做好党员学习、教育和培训发展工作，指导基层党组织抓好思想、组织、作风建设；搞好调查研究，指导系统民主政治建设并做好相关工作；负责党费收缴、管理和党内统计工作；承办县社党代表大会、党代表会议有关工作；负责县社系统组织和党员队伍建设，起草组织工作方面的文件；制定《系统人口与计划生育发展规划》和《年度计划》建立健全计划生育工作目标责任制，并具体组织实施，负责督促检查落实；协调各方面力量，开展计划生育的宣传教育，深入调查研究，掌握计划生育工作动态，提出工作建议，总结交流经验，当好领导的参谋；指导督促系统的计划生育工作，负责计划生育工作队伍的思想教育管理和业务培训，加强计生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统计台账</w:t>
      </w:r>
      <w:r>
        <w:rPr>
          <w:rFonts w:hint="eastAsia" w:ascii="仿宋_GB2312" w:hAnsi="仿宋_GB2312" w:eastAsia="仿宋_GB2312"/>
          <w:sz w:val="32"/>
          <w:szCs w:val="32"/>
        </w:rPr>
        <w:t>管理，做好计划生育统计报表工作；负责生育证、独生子女证的审核、发放和管理；杜绝政策外生育，完成上级下达的计划生育工作指标；严格按照计划生育条例等有关规定，协助征收社会抚养费，及时处理群众的来信来访，把计生隐患消灭在基层和萌芽状态；认真贯彻执行有关工会工作的法律、法规、规章和政策；坚持工会职能，积极参与公司的民主管理；加强工会组织建设，搞好工会积极分子的培训教育工作；积极开展群众性的劳动竞赛、合理化建议、职工文化教育；调查了解干部职工家庭生活，帮助干部职工解决后顾之忧，协调家庭纠纷，监督干部职工福利待遇工作的落实；维护职工的合法权益，维护职工的切身利益；协调干部职工与行政的关系，协调处理劳动纠纷；组织开展职工文化体育活动，负责工会经费的解交和内部审计工作。</w:t>
      </w:r>
    </w:p>
    <w:p w14:paraId="4F6DA9E4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5、业务基层科：</w:t>
      </w:r>
      <w:r>
        <w:rPr>
          <w:rFonts w:hint="eastAsia" w:ascii="仿宋_GB2312" w:hAnsi="仿宋_GB2312" w:eastAsia="仿宋_GB2312"/>
          <w:sz w:val="32"/>
        </w:rPr>
        <w:t>结合农时社情，开展市场调研，掌握现时动态及发展趋势，为领导决策和企业经营提供科学依据和信息支持；搞好数表、材料的上报下达工作，做到数字准确，来源有据、逻辑合理、反馈及时；开展统计执法检查，健全</w:t>
      </w:r>
      <w:r>
        <w:rPr>
          <w:rFonts w:hint="eastAsia" w:ascii="仿宋_GB2312" w:hAnsi="仿宋_GB2312" w:eastAsia="仿宋_GB2312"/>
          <w:sz w:val="32"/>
          <w:lang w:val="en-US" w:eastAsia="zh-CN"/>
        </w:rPr>
        <w:t>档</w:t>
      </w:r>
      <w:r>
        <w:rPr>
          <w:rFonts w:hint="eastAsia" w:ascii="仿宋_GB2312" w:hAnsi="仿宋_GB2312" w:eastAsia="仿宋_GB2312"/>
          <w:sz w:val="32"/>
        </w:rPr>
        <w:t>案管理机制，以</w:t>
      </w:r>
      <w:r>
        <w:rPr>
          <w:rFonts w:hint="eastAsia" w:ascii="仿宋_GB2312" w:hAnsi="仿宋_GB2312" w:eastAsia="仿宋_GB2312"/>
          <w:sz w:val="32"/>
          <w:lang w:eastAsia="zh-CN"/>
        </w:rPr>
        <w:t>《中华人民共和国统计法》</w:t>
      </w:r>
      <w:r>
        <w:rPr>
          <w:rFonts w:hint="eastAsia" w:ascii="仿宋_GB2312" w:hAnsi="仿宋_GB2312" w:eastAsia="仿宋_GB2312"/>
          <w:sz w:val="32"/>
        </w:rPr>
        <w:t>规范企业经营行为；搞活商品经营，组织两总、双联，做到不脱销断档，保障供应；做好科技基层工作，组织岗位练兵和技能培训，为专业协会、村级综合服务站，农村超市、龙头企业及专业合作社兴建提供人才资源和技能保证；强力推进“1+7”模式的社区综合服务中心建设，为健全“一个中心两个体系”经营管理机制奠定基础；完善和加强“四大网络”构建工程，为龙头企业经营筑渠导流，事项传统营销方式向连锁经营现代流通方式的过渡。</w:t>
      </w:r>
    </w:p>
    <w:p w14:paraId="5B6E5762"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6、资产管理科：</w:t>
      </w:r>
      <w:r>
        <w:rPr>
          <w:rFonts w:hint="eastAsia" w:ascii="仿宋_GB2312" w:hAnsi="仿宋_GB2312" w:eastAsia="仿宋_GB2312"/>
          <w:sz w:val="32"/>
        </w:rPr>
        <w:t>对系统资产进行登记管理；对系统企业进行必要的审计；对系统的违规、违纪事件、人物进行纪律查处；对招租、承包企业进行资产审核，履行租赁，承包手续完善，并监督其运营情况；对系统企业提供法律援助，对企业合同、协议进行审核，处理企业终结的相关事宜；对系统企业租赁、承包，企业的终结的档案进行管理。</w:t>
      </w:r>
    </w:p>
    <w:p w14:paraId="691B3008"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7、综治办：</w:t>
      </w:r>
      <w:r>
        <w:rPr>
          <w:rFonts w:hint="eastAsia" w:ascii="仿宋_GB2312" w:hAnsi="仿宋_GB2312" w:eastAsia="仿宋_GB2312"/>
          <w:sz w:val="32"/>
        </w:rPr>
        <w:t>履行安全保卫职责，随时处于工作状态，迅速应对突发事件；加强安全保卫定期检查和督导，消除系统安全隐患；严格岗位责任和追究制度，做好日常和重大节日值班工作；加强安全保卫工作排查，切实搞好重点岗位及单位的安保工作，配合相关部门搞好安全执法检查；做好系统招商引资，争上项目工作，为牵头项目企业做好协调服务和排忧解困工作；帮助系统基层企业做好证照的年审工作。认真学习研究各项政策和法律法规，极限维护企业的合法权益，为系统企业生产经营保驾护航；协调各职能部门的关系，为企业经营创造宽松的环境；</w:t>
      </w:r>
      <w:r>
        <w:rPr>
          <w:rFonts w:hint="eastAsia" w:ascii="仿宋_GB2312" w:hAnsi="仿宋_GB2312" w:eastAsia="仿宋_GB2312"/>
          <w:sz w:val="32"/>
          <w:shd w:val="solid" w:color="FFFFFF" w:fill="auto"/>
        </w:rPr>
        <w:t>做好盐业市场管理、</w:t>
      </w:r>
      <w:r>
        <w:rPr>
          <w:rFonts w:hint="eastAsia" w:ascii="仿宋_GB2312" w:hAnsi="仿宋_GB2312" w:eastAsia="仿宋_GB2312"/>
          <w:color w:val="333333"/>
          <w:sz w:val="32"/>
          <w:shd w:val="solid" w:color="FFFFFF" w:fill="auto"/>
        </w:rPr>
        <w:t>盐业稽查和盐政执法工作，依法查处盐业重大案件和盐业经营单位和个人的违规行为，</w:t>
      </w:r>
      <w:r>
        <w:rPr>
          <w:rFonts w:hint="eastAsia" w:ascii="仿宋_GB2312" w:hAnsi="仿宋_GB2312" w:eastAsia="仿宋_GB2312"/>
          <w:sz w:val="32"/>
          <w:shd w:val="solid" w:color="FFFFFF" w:fill="auto"/>
        </w:rPr>
        <w:t>保证全县人民食用合格放心碘盐；按程序实施盐业行政许可，依法行政、不徇私情、不出差错；严格遵守盐业行业禁令和盐政人员道德规范，文明执法，深化服务，严厉打击食盐违法行为，净化盐业市场。</w:t>
      </w:r>
    </w:p>
    <w:p w14:paraId="05107824">
      <w:pPr>
        <w:ind w:firstLine="640" w:firstLineChars="200"/>
        <w:rPr>
          <w:rFonts w:ascii="仿宋_GB2312" w:hAnsi="仿宋_GB2312" w:eastAsia="仿宋_GB2312"/>
          <w:sz w:val="32"/>
          <w:shd w:val="solid" w:color="FFFFFF" w:fill="auto"/>
        </w:rPr>
      </w:pPr>
      <w:r>
        <w:rPr>
          <w:rFonts w:hint="eastAsia" w:ascii="黑体" w:hAnsi="黑体" w:eastAsia="黑体" w:cs="黑体"/>
          <w:sz w:val="32"/>
          <w:shd w:val="solid" w:color="FFFFFF" w:fill="auto"/>
        </w:rPr>
        <w:t>8、网络服务中心：</w:t>
      </w:r>
      <w:r>
        <w:rPr>
          <w:rFonts w:hint="eastAsia" w:ascii="仿宋_GB2312" w:hAnsi="仿宋_GB2312" w:eastAsia="仿宋_GB2312"/>
          <w:sz w:val="32"/>
        </w:rPr>
        <w:t>负责建设、维护和管理机关网络，及时排除机关网络故障，保障机关互联网正常使用；充分利用网络优势加大企业工作信息的采集，为系统企业的经营提供有利、可靠的保障；及时上报可靠有利的业务信息，为领导决策提供科学的决策依据。</w:t>
      </w:r>
    </w:p>
    <w:p w14:paraId="126F597B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 w14:paraId="0C7BD645">
      <w:pPr>
        <w:widowControl/>
        <w:spacing w:line="360" w:lineRule="auto"/>
        <w:ind w:left="640" w:firstLine="161" w:firstLineChars="5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人员编制和领导职</w:t>
      </w:r>
    </w:p>
    <w:p w14:paraId="7ADB98BF">
      <w:pPr>
        <w:widowControl/>
        <w:spacing w:line="360" w:lineRule="auto"/>
        <w:ind w:left="640" w:firstLine="160" w:firstLineChars="5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成安县供销社，人员编制25名，其中领导职数3个。</w:t>
      </w:r>
    </w:p>
    <w:p w14:paraId="46C7320D">
      <w:pPr>
        <w:outlineLvl w:val="0"/>
        <w:rPr>
          <w:rFonts w:ascii="仿宋_GB2312" w:hAnsi="Calibri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二、部门预算安排总体情况</w:t>
      </w:r>
    </w:p>
    <w:p w14:paraId="6DD9233B"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2017年部门收入预算总额为135.04万元，部门支出预算总额为135.04万元（其中基本支出70.96万元，项目经费64.08万元）。</w:t>
      </w:r>
      <w:r>
        <w:rPr>
          <w:rFonts w:hint="eastAsia" w:ascii="仿宋" w:hAnsi="仿宋" w:eastAsia="仿宋" w:cs="仿宋"/>
          <w:kern w:val="0"/>
          <w:sz w:val="32"/>
          <w:szCs w:val="32"/>
        </w:rPr>
        <w:t>2016年财政拨款收入983.14万元，总支出983.14万元。</w:t>
      </w:r>
    </w:p>
    <w:p w14:paraId="0CB35A0B">
      <w:pPr>
        <w:widowControl/>
        <w:spacing w:line="360" w:lineRule="auto"/>
        <w:ind w:firstLine="480" w:firstLineChars="15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三、机关运行经费情况</w:t>
      </w:r>
    </w:p>
    <w:p w14:paraId="71D91F40"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日常公用经费安排5万元，包括：办公费、差旅费、水费、电费、会议费、招待费、转移支付，其他支出等。</w:t>
      </w:r>
      <w:r>
        <w:rPr>
          <w:rFonts w:ascii="Calibri" w:hAnsi="Calibri" w:eastAsia="仿宋_GB2312" w:cs="Calibri"/>
          <w:kern w:val="0"/>
          <w:sz w:val="32"/>
          <w:szCs w:val="32"/>
        </w:rPr>
        <w:t>人员经费支出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65.96</w:t>
      </w:r>
      <w:r>
        <w:rPr>
          <w:rFonts w:ascii="Calibri" w:hAnsi="Calibri" w:eastAsia="仿宋_GB2312" w:cs="Calibri"/>
          <w:kern w:val="0"/>
          <w:sz w:val="32"/>
          <w:szCs w:val="32"/>
        </w:rPr>
        <w:t>万元，同比去年增长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10</w:t>
      </w:r>
      <w:r>
        <w:rPr>
          <w:rFonts w:ascii="Calibri" w:hAnsi="Calibri" w:eastAsia="仿宋_GB2312" w:cs="Calibri"/>
          <w:kern w:val="0"/>
          <w:sz w:val="32"/>
          <w:szCs w:val="32"/>
        </w:rPr>
        <w:t>%。增长原因是201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6</w:t>
      </w:r>
      <w:r>
        <w:rPr>
          <w:rFonts w:ascii="Calibri" w:hAnsi="Calibri" w:eastAsia="仿宋_GB2312" w:cs="Calibri"/>
          <w:kern w:val="0"/>
          <w:sz w:val="32"/>
          <w:szCs w:val="32"/>
        </w:rPr>
        <w:t>年机关事业单位统一调高了工资标准。其中，工资福利支出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52.3</w:t>
      </w:r>
      <w:r>
        <w:rPr>
          <w:rFonts w:ascii="Calibri" w:hAnsi="Calibri" w:eastAsia="仿宋_GB2312" w:cs="Calibri"/>
          <w:kern w:val="0"/>
          <w:sz w:val="32"/>
          <w:szCs w:val="32"/>
        </w:rPr>
        <w:t>万元，对个人和家庭的补助支出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13.66</w:t>
      </w:r>
      <w:r>
        <w:rPr>
          <w:rFonts w:ascii="Calibri" w:hAnsi="Calibri" w:eastAsia="仿宋_GB2312" w:cs="Calibri"/>
          <w:kern w:val="0"/>
          <w:sz w:val="32"/>
          <w:szCs w:val="32"/>
        </w:rPr>
        <w:t>万元。</w:t>
      </w:r>
    </w:p>
    <w:p w14:paraId="63E0A0D8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四、“三公”经费预算情况</w:t>
      </w:r>
    </w:p>
    <w:p w14:paraId="6E3AFB8F"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2017年度“三公”预算支出0万元，其中，因公出国（境）费0元，安排公务用车维护费0元，（其中公务用车购置费0元，公务用车运行维护费0万元），公务接等费0万元，2017年“三公”经费预算减少了0%。“三公”经费增减原因：由于2016年公车拍卖，2017年实行车补，油修费用预算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>安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排减少。</w:t>
      </w:r>
    </w:p>
    <w:p w14:paraId="55FE1DD8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五、绩效预算情况</w:t>
      </w:r>
    </w:p>
    <w:p w14:paraId="270D7CE0">
      <w:pPr>
        <w:outlineLvl w:val="0"/>
        <w:rPr>
          <w:rFonts w:ascii="方正小标宋_GBK" w:eastAsia="方正小标宋_GBK"/>
          <w:sz w:val="32"/>
        </w:rPr>
        <w:sectPr>
          <w:headerReference r:id="rId3" w:type="default"/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533D9D4F">
      <w:pPr>
        <w:jc w:val="center"/>
        <w:outlineLvl w:val="0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部门职责-工作活动绩效目标</w:t>
      </w:r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2564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DE8BE86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817</w:t>
            </w:r>
            <w:r>
              <w:rPr>
                <w:rFonts w:hint="eastAsia" w:ascii="方正小标宋_GBK" w:eastAsia="方正小标宋_GBK"/>
                <w:sz w:val="24"/>
              </w:rPr>
              <w:t>成安县供销社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16F9291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32E0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6FAC3CA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C369E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94EA70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E0F63F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6D158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45ACD5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2DDB5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4CCB96C3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883BAB3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63974B0D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5A509A4E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4806247F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FADA7A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C905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00A66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F995F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60B74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147F16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供销流通管理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C53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64.08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EC60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贯彻上级方针政策，管理运营县级社有资产、行使出资人职能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4DA5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确保供销社事业改革、发展和壮大、发挥供销社为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三农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服务的作用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F2CEA8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2638C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E8EA6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AA0D7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E457E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64B0E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0334EE8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发展现代流通网络建设及管理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AC2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64.08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7E92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指导系统流通网络建设、发挥供销社连接城乡、农村的桥梁作用，建设商流、物流、信息流相统一的城乡双向流通网络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E934A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成为农村现代流通的主导力量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3D8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农村物流网络体系建设完成率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15DD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93C6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3F41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818F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28AE3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366B231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物资储备管理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3D8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C9C2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负责重要物资的储备工作。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014D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充分发挥供销社在流通领域的应急调控作用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BF8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BB2C6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59087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10BFED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55BAB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3A756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8E6F0C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重要商品物资储备及监管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CF9C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D95B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调节商品供求关系，稳定物价、保障市场供应、保证防汛救灾的需要、增强政府对市场的宏观调控能力。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AEE2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安排、组织代储企业依据储备计划及时足额、保质保量做好储备商品的收储、轮换等工作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475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商品收储轮换计划完成率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CB73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3FCB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9940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3089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</w:t>
            </w:r>
          </w:p>
        </w:tc>
      </w:tr>
    </w:tbl>
    <w:p w14:paraId="1F402306">
      <w:pPr>
        <w:widowControl/>
        <w:spacing w:line="360" w:lineRule="auto"/>
        <w:jc w:val="left"/>
        <w:rPr>
          <w:rFonts w:ascii="Calibri" w:hAnsi="Calibri" w:eastAsia="仿宋_GB2312" w:cs="Calibri"/>
          <w:b/>
          <w:kern w:val="0"/>
          <w:sz w:val="32"/>
          <w:szCs w:val="32"/>
        </w:rPr>
        <w:sectPr>
          <w:pgSz w:w="16839" w:h="11907" w:orient="landscape"/>
          <w:pgMar w:top="1134" w:right="1020" w:bottom="1134" w:left="1020" w:header="851" w:footer="992" w:gutter="0"/>
          <w:cols w:space="0" w:num="1"/>
          <w:docGrid w:type="lines" w:linePitch="321" w:charSpace="0"/>
        </w:sectPr>
      </w:pPr>
    </w:p>
    <w:p w14:paraId="6E212A4A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六、政府采购预算情况</w:t>
      </w:r>
    </w:p>
    <w:p w14:paraId="21234669">
      <w:pPr>
        <w:widowControl/>
        <w:spacing w:line="360" w:lineRule="auto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 xml:space="preserve">   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按照政府采购相关法律法规要求，结合我局实际，201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7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年我局政府采购事项为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0万元，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本年拟用于政府采购微机等办公设备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0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万元。</w:t>
      </w:r>
    </w:p>
    <w:p w14:paraId="12E790C2"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国有资产情况的说明</w:t>
      </w:r>
      <w:bookmarkStart w:id="0" w:name="_GoBack"/>
      <w:bookmarkEnd w:id="0"/>
    </w:p>
    <w:p w14:paraId="432F10A4">
      <w:pPr>
        <w:widowControl/>
        <w:spacing w:line="360" w:lineRule="auto"/>
        <w:ind w:left="412" w:leftChars="196" w:firstLine="64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截止上年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>账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面结余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512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万元。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其中：房屋价值415万元，车辆价值20万元，其它资产办公用电脑、办公家具、专用设备等价值57万元。2017年我单位拟购置20万元。</w:t>
      </w:r>
    </w:p>
    <w:p w14:paraId="7F981D7B">
      <w:pPr>
        <w:widowControl/>
        <w:spacing w:line="360" w:lineRule="auto"/>
        <w:ind w:left="420" w:left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2017年度“三公”预算支出0万元，其中，因公出国（境）费0元，安排公务用车维护费0元，（其中公务用车购置费0元，公务用车运行维护费0万元），公务接等费0万元，2017年“三公”经费预算减少了0%。由于2016年公车拍卖，2017年实行车补，油修费用预算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>安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排减少。</w:t>
      </w:r>
    </w:p>
    <w:p w14:paraId="6132EEAD">
      <w:pPr>
        <w:widowControl/>
        <w:numPr>
          <w:ilvl w:val="0"/>
          <w:numId w:val="3"/>
        </w:numPr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名词解释</w:t>
      </w:r>
      <w:r>
        <w:rPr>
          <w:rFonts w:hint="eastAsia" w:ascii="黑体" w:hAnsi="黑体" w:eastAsia="黑体" w:cs="黑体"/>
          <w:bCs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 </w:t>
      </w:r>
    </w:p>
    <w:p w14:paraId="683E423D">
      <w:pPr>
        <w:widowControl/>
        <w:spacing w:line="360" w:lineRule="auto"/>
        <w:ind w:left="319" w:leftChars="152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1、财政拨款收入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1D8A8601">
      <w:pPr>
        <w:widowControl/>
        <w:spacing w:line="360" w:lineRule="auto"/>
        <w:ind w:left="319" w:leftChars="152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2、“三公”经费：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</w:p>
    <w:p w14:paraId="0966EA49">
      <w:pPr>
        <w:widowControl/>
        <w:numPr>
          <w:ilvl w:val="0"/>
          <w:numId w:val="4"/>
        </w:numPr>
        <w:spacing w:line="360" w:lineRule="auto"/>
        <w:ind w:left="319" w:leftChars="152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年初结转和结余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：指以前年度尚未完成，结转到本年仍按照原规定用途继续使用的资金，或项目已完成等产生的结余资金。</w:t>
      </w:r>
    </w:p>
    <w:p w14:paraId="54E2DC52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 4、基本支出：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指单位为了保障其正常运转、完成日常工作任务而发生的人员支出和公用支出。</w:t>
      </w:r>
    </w:p>
    <w:p w14:paraId="2F90CAF6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 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5、项目支出：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指单位为了特定的工作任务和事业发展目标，在基本支出之外所发生的支出。</w:t>
      </w:r>
    </w:p>
    <w:p w14:paraId="7262BA65"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 w14:paraId="4A042A20">
      <w:pPr>
        <w:tabs>
          <w:tab w:val="left" w:pos="11490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无其它需要说明的事项。</w:t>
      </w:r>
    </w:p>
    <w:p w14:paraId="1AD28690">
      <w:pPr>
        <w:widowControl/>
        <w:spacing w:line="360" w:lineRule="auto"/>
        <w:ind w:firstLine="420" w:firstLineChars="200"/>
        <w:jc w:val="left"/>
      </w:pPr>
    </w:p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BB58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76745"/>
    <w:multiLevelType w:val="multilevel"/>
    <w:tmpl w:val="4E276745"/>
    <w:lvl w:ilvl="0" w:tentative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06FE07"/>
    <w:multiLevelType w:val="singleLevel"/>
    <w:tmpl w:val="5A06FE07"/>
    <w:lvl w:ilvl="0" w:tentative="0">
      <w:start w:val="8"/>
      <w:numFmt w:val="chineseCounting"/>
      <w:suff w:val="nothing"/>
      <w:lvlText w:val="%1、"/>
      <w:lvlJc w:val="left"/>
    </w:lvl>
  </w:abstractNum>
  <w:abstractNum w:abstractNumId="2">
    <w:nsid w:val="5A070153"/>
    <w:multiLevelType w:val="singleLevel"/>
    <w:tmpl w:val="5A070153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779556B5"/>
    <w:multiLevelType w:val="multilevel"/>
    <w:tmpl w:val="779556B5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 w:ascii="Calibri" w:hAnsi="Calibri" w:cs="Calibri"/>
        <w:b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DI5MTViYTZmZjhmYzE0YjVhMTQzMjhjOGJhNTkifQ=="/>
  </w:docVars>
  <w:rsids>
    <w:rsidRoot w:val="00E810D6"/>
    <w:rsid w:val="000E0363"/>
    <w:rsid w:val="00125176"/>
    <w:rsid w:val="001C4375"/>
    <w:rsid w:val="001D3C10"/>
    <w:rsid w:val="002457AF"/>
    <w:rsid w:val="0025019C"/>
    <w:rsid w:val="002E3A95"/>
    <w:rsid w:val="003574B6"/>
    <w:rsid w:val="003F0CB8"/>
    <w:rsid w:val="00405B83"/>
    <w:rsid w:val="004A6848"/>
    <w:rsid w:val="004B7146"/>
    <w:rsid w:val="004D488A"/>
    <w:rsid w:val="005B700B"/>
    <w:rsid w:val="005D136A"/>
    <w:rsid w:val="0062621A"/>
    <w:rsid w:val="00652661"/>
    <w:rsid w:val="00683EE9"/>
    <w:rsid w:val="00684C7B"/>
    <w:rsid w:val="00685811"/>
    <w:rsid w:val="006D1C5B"/>
    <w:rsid w:val="007919E2"/>
    <w:rsid w:val="007A507B"/>
    <w:rsid w:val="007D6BF0"/>
    <w:rsid w:val="008058DC"/>
    <w:rsid w:val="00862B08"/>
    <w:rsid w:val="008C7744"/>
    <w:rsid w:val="008F52F3"/>
    <w:rsid w:val="00960342"/>
    <w:rsid w:val="009E737F"/>
    <w:rsid w:val="00A07D70"/>
    <w:rsid w:val="00BE3556"/>
    <w:rsid w:val="00C53CFD"/>
    <w:rsid w:val="00C77732"/>
    <w:rsid w:val="00CB200F"/>
    <w:rsid w:val="00CC4E3B"/>
    <w:rsid w:val="00DB2582"/>
    <w:rsid w:val="00E4300D"/>
    <w:rsid w:val="00E810D6"/>
    <w:rsid w:val="00EB498C"/>
    <w:rsid w:val="00EC4A30"/>
    <w:rsid w:val="00F1158C"/>
    <w:rsid w:val="013B67CD"/>
    <w:rsid w:val="01CA412B"/>
    <w:rsid w:val="030604E0"/>
    <w:rsid w:val="037D399A"/>
    <w:rsid w:val="03B213E5"/>
    <w:rsid w:val="03DB2E74"/>
    <w:rsid w:val="044560C7"/>
    <w:rsid w:val="06096D52"/>
    <w:rsid w:val="06550E5D"/>
    <w:rsid w:val="0726741C"/>
    <w:rsid w:val="08D34D69"/>
    <w:rsid w:val="09E50DB9"/>
    <w:rsid w:val="0BB759F9"/>
    <w:rsid w:val="0CBF7A43"/>
    <w:rsid w:val="0DD4180B"/>
    <w:rsid w:val="130B706D"/>
    <w:rsid w:val="139106CF"/>
    <w:rsid w:val="13DE0FA8"/>
    <w:rsid w:val="14D37DB8"/>
    <w:rsid w:val="14E06073"/>
    <w:rsid w:val="163506CD"/>
    <w:rsid w:val="17252863"/>
    <w:rsid w:val="175940C0"/>
    <w:rsid w:val="17C16AC9"/>
    <w:rsid w:val="180D78B9"/>
    <w:rsid w:val="19676057"/>
    <w:rsid w:val="1AEF7278"/>
    <w:rsid w:val="1B2A5EA4"/>
    <w:rsid w:val="1B4A66A6"/>
    <w:rsid w:val="1CC97251"/>
    <w:rsid w:val="1CEB0A1C"/>
    <w:rsid w:val="1D5C3938"/>
    <w:rsid w:val="1DE14C41"/>
    <w:rsid w:val="1E8167C1"/>
    <w:rsid w:val="1EAA0AE1"/>
    <w:rsid w:val="21B66276"/>
    <w:rsid w:val="228819EE"/>
    <w:rsid w:val="243C2058"/>
    <w:rsid w:val="24946550"/>
    <w:rsid w:val="268E0934"/>
    <w:rsid w:val="2716314B"/>
    <w:rsid w:val="288A4B30"/>
    <w:rsid w:val="28E516DB"/>
    <w:rsid w:val="299267B6"/>
    <w:rsid w:val="29A63CCE"/>
    <w:rsid w:val="2AD57C75"/>
    <w:rsid w:val="2BAA47A7"/>
    <w:rsid w:val="2CB177FA"/>
    <w:rsid w:val="2DCE40BA"/>
    <w:rsid w:val="2E066AE5"/>
    <w:rsid w:val="2E2777CE"/>
    <w:rsid w:val="2EE04A84"/>
    <w:rsid w:val="31D059F4"/>
    <w:rsid w:val="332A0BBD"/>
    <w:rsid w:val="3387759D"/>
    <w:rsid w:val="351C5D1D"/>
    <w:rsid w:val="36DF5EE5"/>
    <w:rsid w:val="38963AA1"/>
    <w:rsid w:val="39461E7C"/>
    <w:rsid w:val="39A75722"/>
    <w:rsid w:val="3B6E7B6E"/>
    <w:rsid w:val="3B846C65"/>
    <w:rsid w:val="3C712CD5"/>
    <w:rsid w:val="3CEC5D53"/>
    <w:rsid w:val="3DB07F97"/>
    <w:rsid w:val="41404812"/>
    <w:rsid w:val="441C57E9"/>
    <w:rsid w:val="44240E6E"/>
    <w:rsid w:val="448E5339"/>
    <w:rsid w:val="44986D47"/>
    <w:rsid w:val="456A5D0D"/>
    <w:rsid w:val="457C0C14"/>
    <w:rsid w:val="45B90BF3"/>
    <w:rsid w:val="460143F1"/>
    <w:rsid w:val="475B18CD"/>
    <w:rsid w:val="4A4F1F05"/>
    <w:rsid w:val="4B7040C7"/>
    <w:rsid w:val="4CA957E7"/>
    <w:rsid w:val="4D9730D4"/>
    <w:rsid w:val="4E4335D2"/>
    <w:rsid w:val="4EEA071F"/>
    <w:rsid w:val="4F0E6C18"/>
    <w:rsid w:val="51457EE2"/>
    <w:rsid w:val="56617CCE"/>
    <w:rsid w:val="59AF56D7"/>
    <w:rsid w:val="5AFA5519"/>
    <w:rsid w:val="5B2B3FCD"/>
    <w:rsid w:val="5BAE356C"/>
    <w:rsid w:val="5BF47A2A"/>
    <w:rsid w:val="5CB07A05"/>
    <w:rsid w:val="5ED17601"/>
    <w:rsid w:val="5FA0576E"/>
    <w:rsid w:val="612F2391"/>
    <w:rsid w:val="61897173"/>
    <w:rsid w:val="62A659EB"/>
    <w:rsid w:val="63F21B1B"/>
    <w:rsid w:val="65493192"/>
    <w:rsid w:val="666C26EF"/>
    <w:rsid w:val="68417EDC"/>
    <w:rsid w:val="6879370D"/>
    <w:rsid w:val="68B343E5"/>
    <w:rsid w:val="6B511389"/>
    <w:rsid w:val="6D5763C1"/>
    <w:rsid w:val="6D81148F"/>
    <w:rsid w:val="6E8006EE"/>
    <w:rsid w:val="6ECC4D84"/>
    <w:rsid w:val="70BA2DA1"/>
    <w:rsid w:val="71B87B2B"/>
    <w:rsid w:val="729B4F6A"/>
    <w:rsid w:val="72AE42B2"/>
    <w:rsid w:val="72C773DB"/>
    <w:rsid w:val="733E01F4"/>
    <w:rsid w:val="7424079F"/>
    <w:rsid w:val="74D4598A"/>
    <w:rsid w:val="76FD3FC3"/>
    <w:rsid w:val="79CE206D"/>
    <w:rsid w:val="7AA5545A"/>
    <w:rsid w:val="7BAA5900"/>
    <w:rsid w:val="7BE05224"/>
    <w:rsid w:val="7D9A3104"/>
    <w:rsid w:val="7DB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4619</Words>
  <Characters>4746</Characters>
  <Lines>34</Lines>
  <Paragraphs>9</Paragraphs>
  <TotalTime>14</TotalTime>
  <ScaleCrop>false</ScaleCrop>
  <LinksUpToDate>false</LinksUpToDate>
  <CharactersWithSpaces>4767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2016-04-01T02:15:00Z</dcterms:created>
  <dc:creator>lenovo</dc:creator>
  <cp:lastModifiedBy>云朵</cp:lastModifiedBy>
  <cp:lastPrinted>2016-04-01T02:44:00Z</cp:lastPrinted>
  <dcterms:modified xsi:type="dcterms:W3CDTF">2025-09-19T01:35:37Z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47C81A2EA851423A9D06286575A41766</vt:lpwstr>
  </property>
  <property fmtid="{D5CDD505-2E9C-101B-9397-08002B2CF9AE}" pid="4" name="KSOTemplateDocerSaveRecord">
    <vt:lpwstr>eyJoZGlkIjoiMmNiZDI5MTViYTZmZjhmYzE0YjVhMTQzMjhjOGJhNTkiLCJ1c2VySWQiOiIzOTcxMTU2NDUifQ==</vt:lpwstr>
  </property>
</Properties>
</file>