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A8243"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成安县道东堡乡人民政府</w:t>
      </w:r>
      <w:r>
        <w:rPr>
          <w:rFonts w:ascii="宋体" w:hAnsi="宋体" w:eastAsia="宋体"/>
          <w:b/>
          <w:sz w:val="44"/>
          <w:szCs w:val="44"/>
        </w:rPr>
        <w:t xml:space="preserve"> </w:t>
      </w:r>
      <w:r>
        <w:rPr>
          <w:rFonts w:hint="eastAsia" w:ascii="宋体" w:hAnsi="宋体" w:eastAsia="宋体"/>
          <w:b/>
          <w:sz w:val="44"/>
          <w:szCs w:val="44"/>
        </w:rPr>
        <w:t>2017年部门预算</w:t>
      </w:r>
    </w:p>
    <w:p w14:paraId="351C96B4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公开情况说明</w:t>
      </w:r>
    </w:p>
    <w:p w14:paraId="687F6912">
      <w:pPr>
        <w:jc w:val="center"/>
        <w:rPr>
          <w:rFonts w:ascii="黑体" w:hAnsi="黑体" w:eastAsia="黑体"/>
          <w:sz w:val="44"/>
          <w:szCs w:val="44"/>
        </w:rPr>
      </w:pPr>
    </w:p>
    <w:p w14:paraId="53F649EC"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按照《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中华人民共和国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预算法》、《地方预决算公开操作规程》现将成安县道东堡乡人民政府2017年部门预算公开如下：</w:t>
      </w:r>
    </w:p>
    <w:p w14:paraId="4D0AE320">
      <w:pPr>
        <w:widowControl/>
        <w:spacing w:line="360" w:lineRule="auto"/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一、部门职责及机构设置情况</w:t>
      </w:r>
    </w:p>
    <w:p w14:paraId="6115ED7D">
      <w:pPr>
        <w:widowControl/>
        <w:spacing w:line="360" w:lineRule="auto"/>
        <w:ind w:left="640"/>
        <w:jc w:val="left"/>
        <w:rPr>
          <w:rFonts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 xml:space="preserve">   部门职责：</w:t>
      </w:r>
    </w:p>
    <w:p w14:paraId="1CD9139B">
      <w:pPr>
        <w:ind w:firstLine="800" w:firstLineChars="25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（一）、宣传、贯彻党的路线、方针、政策和上级党组织的指示、决定，执行镇党员代表大会决议，讨论决定本镇的重大问题。</w:t>
      </w:r>
    </w:p>
    <w:p w14:paraId="56071149">
      <w:pPr>
        <w:ind w:firstLine="800" w:firstLineChars="25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（二）、抓好自身和所属党组织的思想、组织和作风建设。</w:t>
      </w:r>
    </w:p>
    <w:p w14:paraId="6634E773">
      <w:pPr>
        <w:ind w:firstLine="800" w:firstLineChars="25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（三）、领导镇经济建设，制定本镇经济和社会发展规划并组织实施。</w:t>
      </w:r>
    </w:p>
    <w:p w14:paraId="6B8129D6">
      <w:pPr>
        <w:ind w:firstLine="800" w:firstLineChars="25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（四）、领导镇社会主义精神文明和民主法制建设。加强农村社会治安综合治理，贯彻执行党和国家的计划生育政策。</w:t>
      </w:r>
    </w:p>
    <w:p w14:paraId="61B0FBCE">
      <w:pPr>
        <w:ind w:firstLine="800" w:firstLineChars="25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（五）、领导并支持镇政府依法行使各项行政管理职权。</w:t>
      </w:r>
    </w:p>
    <w:p w14:paraId="07AE4653">
      <w:pPr>
        <w:ind w:firstLine="800" w:firstLineChars="25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（六）、领导人大主席团及经济组织、人民武装和共青团、妇联等人民团体的工作。</w:t>
      </w:r>
    </w:p>
    <w:p w14:paraId="7C0EC9CE">
      <w:pPr>
        <w:ind w:firstLine="800" w:firstLineChars="25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（七）、领导上级有关部门派驻镇单位的党的建设，领导、支持　协调上级有关部门派驻镇单位的工作。</w:t>
      </w:r>
    </w:p>
    <w:p w14:paraId="22872B1E">
      <w:pPr>
        <w:ind w:firstLine="800" w:firstLineChars="2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八）、完成上级党组织交办的其他任务。</w:t>
      </w:r>
    </w:p>
    <w:p w14:paraId="14609AB5">
      <w:pPr>
        <w:ind w:firstLine="800" w:firstLineChars="2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（九）、促进经济发展，增加农民收入</w:t>
      </w:r>
    </w:p>
    <w:p w14:paraId="01E82516">
      <w:pPr>
        <w:ind w:firstLine="800" w:firstLineChars="2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（十）、强化公共服务，着力改善民生。</w:t>
      </w:r>
    </w:p>
    <w:p w14:paraId="6029409C">
      <w:pPr>
        <w:ind w:firstLine="800" w:firstLineChars="2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（十一）、加强社会管理，维护农村稳定。</w:t>
      </w:r>
    </w:p>
    <w:p w14:paraId="5F3BFC14">
      <w:pPr>
        <w:widowControl/>
        <w:spacing w:line="360" w:lineRule="auto"/>
        <w:ind w:firstLine="838" w:firstLineChars="262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（十二）、推进基层民主，促进农村</w:t>
      </w:r>
    </w:p>
    <w:p w14:paraId="785154D0">
      <w:pPr>
        <w:widowControl/>
        <w:spacing w:line="360" w:lineRule="auto"/>
        <w:jc w:val="left"/>
        <w:rPr>
          <w:rFonts w:ascii="Calibri" w:hAnsi="Calibri" w:eastAsia="仿宋_GB2312" w:cs="Calibri"/>
          <w:b/>
          <w:kern w:val="0"/>
          <w:sz w:val="32"/>
          <w:szCs w:val="32"/>
        </w:rPr>
      </w:pPr>
      <w:r>
        <w:rPr>
          <w:rFonts w:hint="eastAsia" w:ascii="Calibri" w:hAnsi="Calibri" w:eastAsia="仿宋_GB2312" w:cs="Calibri"/>
          <w:b/>
          <w:kern w:val="0"/>
          <w:sz w:val="32"/>
          <w:szCs w:val="32"/>
        </w:rPr>
        <w:t xml:space="preserve">     </w:t>
      </w:r>
      <w:r>
        <w:rPr>
          <w:rFonts w:hint="eastAsia" w:ascii="楷体" w:hAnsi="楷体" w:eastAsia="楷体" w:cs="楷体"/>
          <w:b/>
          <w:kern w:val="0"/>
          <w:sz w:val="32"/>
          <w:szCs w:val="32"/>
        </w:rPr>
        <w:t>内设机构及职责</w:t>
      </w:r>
    </w:p>
    <w:p w14:paraId="146E3A6E">
      <w:pPr>
        <w:widowControl/>
        <w:spacing w:line="360" w:lineRule="auto"/>
        <w:ind w:left="628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成安县道东堡乡人民政府，预算编码是806002，内设6个内部机构。</w:t>
      </w:r>
    </w:p>
    <w:p w14:paraId="1D2D6DFD">
      <w:pPr>
        <w:widowControl/>
        <w:spacing w:line="360" w:lineRule="auto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1、党政综合办公室</w:t>
      </w:r>
    </w:p>
    <w:p w14:paraId="229F956D">
      <w:pPr>
        <w:widowControl/>
        <w:spacing w:line="360" w:lineRule="auto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主要负责：负责承办党委、人大、纪检、组织、宣传、统战、政法、共青团、妇联、武装、农村工作；承办党委交办的其它事项，协调各办公室的工作关系；负责农业生产的指导、管理、协调、服务及社会主义新农村的规划和建设工作；负责政府日常事务和机关后勤工作；承办党委、政府交办的其它事项。</w:t>
      </w:r>
    </w:p>
    <w:p w14:paraId="7B44EFAE">
      <w:pPr>
        <w:widowControl/>
        <w:spacing w:line="360" w:lineRule="auto"/>
        <w:ind w:firstLine="64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2、经济发展办公室</w:t>
      </w:r>
    </w:p>
    <w:p w14:paraId="47215084">
      <w:pPr>
        <w:widowControl/>
        <w:spacing w:line="360" w:lineRule="auto"/>
        <w:ind w:firstLine="64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主要负责：负责规划、指导、协调和服务乡村企业及个体企业的发展；指导和管理农业综合服务中心工作；协调与经济发展相关的工作；贯彻执行党和国家有关城镇乡村建设、规划工作的方针、政策及法规；研究制定本乡镇辖区内建设各行业的发展规划；起草乡镇建设资金使用计划安排和资金举措、管理工作，负责查处乡镇各类违法占地和违法建设行为。</w:t>
      </w:r>
    </w:p>
    <w:p w14:paraId="3928EEB7">
      <w:pPr>
        <w:widowControl/>
        <w:spacing w:line="360" w:lineRule="auto"/>
        <w:ind w:firstLine="64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3、社会事务办公室</w:t>
      </w:r>
    </w:p>
    <w:p w14:paraId="1B378CC5">
      <w:pPr>
        <w:widowControl/>
        <w:spacing w:line="360" w:lineRule="auto"/>
        <w:ind w:firstLine="64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主要负责：协调本辖区法庭、公安派出所等执法部门工作；负责司法调解、法律宣传教育、社会治安综合治理、民族宗教、民政、环境保护工作；负责乡村文化广播、卫生院、中小学等事业单位的协调服务工作。</w:t>
      </w:r>
    </w:p>
    <w:p w14:paraId="3EB72082">
      <w:pPr>
        <w:widowControl/>
        <w:spacing w:line="360" w:lineRule="auto"/>
        <w:ind w:firstLine="64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4、计划生育办公室</w:t>
      </w:r>
    </w:p>
    <w:p w14:paraId="73E3F20B">
      <w:pPr>
        <w:widowControl/>
        <w:spacing w:line="360" w:lineRule="auto"/>
        <w:ind w:firstLine="64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主要负责：认真贯彻党和国家人口和计划生育方针、政策，贯彻落实《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中华人民共和国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人口与计划生育法》、《河北省人口与计划生育条例》等法律法规。贯彻执行党和国家的计划生育政策，落实人口计划，制定本乡镇的计划生育工作规划。</w:t>
      </w:r>
    </w:p>
    <w:p w14:paraId="2CC27CA4">
      <w:pPr>
        <w:pStyle w:val="8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综合治理办公室</w:t>
      </w:r>
    </w:p>
    <w:p w14:paraId="45F78C38">
      <w:pPr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主要负责：负责贯彻执行上级社会治安综合治理机构的工作部署，制定本辖区社会治安综合治理措施的落实，接受群众来访，解决本辖区内存在的影响社会安定的重大隐患。控制避免集体访、越级访及重大恶性案件发生，协调督促有关部门开展综合工作。及时向乡镇党委、政府和县综治办报告工作、提出工作建议、反馈有关信息和经验</w:t>
      </w:r>
    </w:p>
    <w:p w14:paraId="1638264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6、城镇乡村建设办公室（编制2名，其中：股级职数1名）</w:t>
      </w:r>
    </w:p>
    <w:p w14:paraId="414F0BAE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职责：贯彻执行党和国家有关城镇乡村建设、规划工作的方针、政策及法规、研究制定本乡镇辖区内建设各行业的发展规划；起草乡镇有关建设、规划方面的地方性政策并组织实施、编制城镇及乡村建设资金使用计划安排和资金筹措、管理工作，负责查处乡镇各类违法占地和违法建设行为。</w:t>
      </w:r>
    </w:p>
    <w:p w14:paraId="0AC18957">
      <w:pPr>
        <w:pStyle w:val="8"/>
        <w:widowControl/>
        <w:spacing w:line="360" w:lineRule="auto"/>
        <w:ind w:left="160" w:firstLine="0" w:firstLineChars="0"/>
        <w:jc w:val="left"/>
        <w:rPr>
          <w:rFonts w:ascii="Calibri" w:hAnsi="Calibri" w:eastAsia="仿宋_GB2312" w:cs="Calibri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</w:t>
      </w:r>
    </w:p>
    <w:p w14:paraId="7AD58499">
      <w:pPr>
        <w:widowControl/>
        <w:spacing w:line="360" w:lineRule="auto"/>
        <w:ind w:left="640"/>
        <w:jc w:val="left"/>
        <w:rPr>
          <w:rFonts w:ascii="Calibri" w:hAnsi="Calibri" w:eastAsia="仿宋_GB2312" w:cs="Calibri"/>
          <w:b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人员编制和领导职数</w:t>
      </w:r>
    </w:p>
    <w:p w14:paraId="585FF4EE">
      <w:pPr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成安县道东堡乡为一类乡镇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，人员编制76名，行政编制33名。其中书记1名、副书记2名（包括乡长）、纪委书记1名、乡长1名、副乡长2名、人大主席1名、人大副主席1名、武装部长1名、组织委员1名、宣传委员1名，机关工勤人员2名</w:t>
      </w:r>
    </w:p>
    <w:p w14:paraId="48BCD4DC">
      <w:pPr>
        <w:rPr>
          <w:rFonts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事业单位和编制</w:t>
      </w:r>
    </w:p>
    <w:p w14:paraId="2614615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道东堡乡党委、政府下设4个事业编制：</w:t>
      </w:r>
    </w:p>
    <w:p w14:paraId="44914695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1财政所（编制4名，其中股级职数2名）</w:t>
      </w:r>
    </w:p>
    <w:p w14:paraId="63D1AB2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职责：负责编制乡乡财政收支计划，统管乡村财务；负责乡村两级财政性资金使用的监督管理；契税、耕地占用税等财政收入的征收，以及各类涉农财政性补贴资金的发放和管理工作；负责乡分税制和统收统支加激励办法的实施。</w:t>
      </w:r>
    </w:p>
    <w:p w14:paraId="3A1824F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2农村综合服务中心（编制18名，其中股级职3数）</w:t>
      </w:r>
    </w:p>
    <w:p w14:paraId="1B5F4057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职责：负责农业技术推广及病虫害防治、畜牧业发展和防疫工作，抗旱防涝、打井配套及农田水利基本建设工作；编制、等级、填报各种统计报表，制定村集体财政管理制度，负责村集体资产的清查、登记，农村财务管理及审计，农民负担监督管理，农业承包合同的签订及农业服务工作，负责本乡劳动市场的管理，组织好劳务输出工作；开发农村社区就业岗位，组织实施农村社区就业项目；负责退休人员及农村养老保险的社会化管理和服务</w:t>
      </w:r>
    </w:p>
    <w:p w14:paraId="52D9971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3计划生育服务中心（编制16名，其中：股级职数3）</w:t>
      </w:r>
    </w:p>
    <w:p w14:paraId="233084B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主要职责：加强培训，提高乡村计生人员的政治和业务素质；负责育龄妇女的普查、妇女病防治、计生服务、四术及协会等项工作。</w:t>
      </w:r>
    </w:p>
    <w:p w14:paraId="4BF12A7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4文化宣传服务中心（编制3名，其中：股级职数1名)</w:t>
      </w:r>
    </w:p>
    <w:p w14:paraId="066A5A35">
      <w:pPr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主要职责:贯彻执行党和国家关于文化、广播宣传等工作的方针、政策、法规；综合管理文化艺术事业，组织、协调重大文化艺术活动；负责文化市场的监督管理工作</w:t>
      </w:r>
    </w:p>
    <w:p w14:paraId="6ED127E4">
      <w:pPr>
        <w:autoSpaceDE w:val="0"/>
        <w:autoSpaceDN w:val="0"/>
        <w:adjustRightInd w:val="0"/>
        <w:jc w:val="left"/>
        <w:rPr>
          <w:rFonts w:ascii="方正仿宋_GBK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方正仿宋_GBK" w:hAnsi="Times New Roman" w:eastAsia="方正仿宋_GBK" w:cs="方正仿宋_GBK"/>
          <w:b/>
          <w:bCs/>
          <w:sz w:val="32"/>
          <w:szCs w:val="32"/>
        </w:rPr>
        <w:t xml:space="preserve">  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机构设置：</w:t>
      </w:r>
    </w:p>
    <w:p w14:paraId="19D08739">
      <w:pPr>
        <w:jc w:val="center"/>
        <w:outlineLvl w:val="0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</w:rPr>
        <w:t>部门机构设置情况</w:t>
      </w:r>
    </w:p>
    <w:tbl>
      <w:tblPr>
        <w:tblStyle w:val="4"/>
        <w:tblW w:w="862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7"/>
        <w:gridCol w:w="1134"/>
        <w:gridCol w:w="1276"/>
        <w:gridCol w:w="2902"/>
      </w:tblGrid>
      <w:tr w14:paraId="360E1B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317" w:type="dxa"/>
            <w:vMerge w:val="restart"/>
            <w:vAlign w:val="center"/>
          </w:tcPr>
          <w:p w14:paraId="039EFB58">
            <w:pPr>
              <w:spacing w:line="300" w:lineRule="exact"/>
              <w:jc w:val="center"/>
              <w:rPr>
                <w:rFonts w:ascii="Times New Roman" w:hAnsi="Times New Roman" w:eastAsia="方正书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117B2BE5">
            <w:pPr>
              <w:spacing w:line="300" w:lineRule="exact"/>
              <w:jc w:val="center"/>
              <w:rPr>
                <w:rFonts w:ascii="Times New Roman" w:hAnsi="Times New Roman" w:eastAsia="方正书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单位性质</w:t>
            </w:r>
          </w:p>
        </w:tc>
        <w:tc>
          <w:tcPr>
            <w:tcW w:w="1276" w:type="dxa"/>
            <w:vMerge w:val="restart"/>
            <w:vAlign w:val="center"/>
          </w:tcPr>
          <w:p w14:paraId="20831A7F">
            <w:pPr>
              <w:spacing w:line="300" w:lineRule="exact"/>
              <w:jc w:val="center"/>
              <w:rPr>
                <w:rFonts w:ascii="Times New Roman" w:hAnsi="Times New Roman" w:eastAsia="方正书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单位规格</w:t>
            </w:r>
          </w:p>
        </w:tc>
        <w:tc>
          <w:tcPr>
            <w:tcW w:w="2902" w:type="dxa"/>
            <w:vMerge w:val="restart"/>
            <w:vAlign w:val="center"/>
          </w:tcPr>
          <w:p w14:paraId="7758A544">
            <w:pPr>
              <w:spacing w:line="300" w:lineRule="exact"/>
              <w:jc w:val="center"/>
              <w:rPr>
                <w:rFonts w:ascii="Times New Roman" w:hAnsi="Times New Roman" w:eastAsia="方正书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经费保障形式</w:t>
            </w:r>
          </w:p>
        </w:tc>
      </w:tr>
      <w:tr w14:paraId="7FC87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317" w:type="dxa"/>
            <w:vMerge w:val="continue"/>
            <w:vAlign w:val="center"/>
          </w:tcPr>
          <w:p w14:paraId="1B81F06A"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870274B"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52ED3DA"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02" w:type="dxa"/>
            <w:vMerge w:val="continue"/>
            <w:vAlign w:val="center"/>
          </w:tcPr>
          <w:p w14:paraId="1BA1F09B"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</w:rPr>
            </w:pPr>
          </w:p>
        </w:tc>
      </w:tr>
      <w:tr w14:paraId="6C3584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17" w:type="dxa"/>
            <w:vAlign w:val="center"/>
          </w:tcPr>
          <w:p w14:paraId="6A0DD2FD">
            <w:pPr>
              <w:spacing w:line="300" w:lineRule="exact"/>
              <w:jc w:val="center"/>
              <w:rPr>
                <w:rFonts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</w:rPr>
              <w:t>道东堡乡人民政府</w:t>
            </w:r>
          </w:p>
        </w:tc>
        <w:tc>
          <w:tcPr>
            <w:tcW w:w="1134" w:type="dxa"/>
            <w:vAlign w:val="center"/>
          </w:tcPr>
          <w:p w14:paraId="0045B2AC">
            <w:pPr>
              <w:spacing w:line="300" w:lineRule="exact"/>
              <w:jc w:val="center"/>
              <w:rPr>
                <w:rFonts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</w:rPr>
              <w:t>行政事业</w:t>
            </w:r>
          </w:p>
        </w:tc>
        <w:tc>
          <w:tcPr>
            <w:tcW w:w="1276" w:type="dxa"/>
            <w:vAlign w:val="center"/>
          </w:tcPr>
          <w:p w14:paraId="3BC41B55">
            <w:pPr>
              <w:spacing w:line="300" w:lineRule="exact"/>
              <w:jc w:val="center"/>
              <w:rPr>
                <w:rFonts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</w:rPr>
              <w:t>正科</w:t>
            </w:r>
          </w:p>
        </w:tc>
        <w:tc>
          <w:tcPr>
            <w:tcW w:w="2902" w:type="dxa"/>
            <w:vAlign w:val="center"/>
          </w:tcPr>
          <w:p w14:paraId="17EFCE21">
            <w:pPr>
              <w:spacing w:line="300" w:lineRule="exact"/>
              <w:jc w:val="center"/>
              <w:rPr>
                <w:rFonts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</w:rPr>
              <w:t>财政拨款</w:t>
            </w:r>
          </w:p>
        </w:tc>
      </w:tr>
      <w:tr w14:paraId="29B2E1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17" w:type="dxa"/>
            <w:vAlign w:val="center"/>
          </w:tcPr>
          <w:p w14:paraId="6B61DD2F">
            <w:pPr>
              <w:spacing w:line="300" w:lineRule="exact"/>
              <w:jc w:val="left"/>
              <w:rPr>
                <w:rFonts w:ascii="Times New Roman" w:hAnsi="Times New Roman" w:eastAsia="方正书宋_GBK" w:cs="Times New Roman"/>
              </w:rPr>
            </w:pPr>
          </w:p>
        </w:tc>
        <w:tc>
          <w:tcPr>
            <w:tcW w:w="1134" w:type="dxa"/>
            <w:vAlign w:val="center"/>
          </w:tcPr>
          <w:p w14:paraId="06F86240">
            <w:pPr>
              <w:spacing w:line="300" w:lineRule="exact"/>
              <w:jc w:val="left"/>
              <w:rPr>
                <w:rFonts w:ascii="Times New Roman" w:hAnsi="Times New Roman" w:eastAsia="方正书宋_GBK" w:cs="Times New Roman"/>
              </w:rPr>
            </w:pPr>
          </w:p>
        </w:tc>
        <w:tc>
          <w:tcPr>
            <w:tcW w:w="1276" w:type="dxa"/>
            <w:vAlign w:val="center"/>
          </w:tcPr>
          <w:p w14:paraId="282C2B3C">
            <w:pPr>
              <w:spacing w:line="300" w:lineRule="exact"/>
              <w:jc w:val="left"/>
              <w:rPr>
                <w:rFonts w:ascii="Times New Roman" w:hAnsi="Times New Roman" w:eastAsia="方正书宋_GBK" w:cs="Times New Roman"/>
              </w:rPr>
            </w:pPr>
          </w:p>
        </w:tc>
        <w:tc>
          <w:tcPr>
            <w:tcW w:w="2902" w:type="dxa"/>
            <w:vAlign w:val="center"/>
          </w:tcPr>
          <w:p w14:paraId="5504B817">
            <w:pPr>
              <w:spacing w:line="300" w:lineRule="exact"/>
              <w:jc w:val="left"/>
              <w:rPr>
                <w:rFonts w:ascii="Times New Roman" w:hAnsi="Times New Roman" w:eastAsia="方正书宋_GBK" w:cs="Times New Roman"/>
              </w:rPr>
            </w:pPr>
          </w:p>
        </w:tc>
      </w:tr>
    </w:tbl>
    <w:p w14:paraId="64DDB152">
      <w:pPr>
        <w:spacing w:line="560" w:lineRule="exact"/>
        <w:ind w:firstLine="64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二、部门预算安排的总体情况</w:t>
      </w:r>
    </w:p>
    <w:p w14:paraId="76EADDEF">
      <w:pPr>
        <w:spacing w:line="560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宋体" w:hAnsi="宋体" w:eastAsia="宋体" w:cs="方正仿宋_GBK"/>
          <w:sz w:val="32"/>
          <w:szCs w:val="32"/>
        </w:rPr>
        <w:t>按照预算管理有关规定，目前我部门预算的编制实行综合预算制度，即全部收入和支出都反映在预算中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 w14:paraId="6D4DD8A0">
      <w:pPr>
        <w:spacing w:line="560" w:lineRule="exact"/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、收入说明</w:t>
      </w:r>
    </w:p>
    <w:p w14:paraId="32462711">
      <w:pPr>
        <w:spacing w:line="560" w:lineRule="exact"/>
        <w:ind w:firstLine="640"/>
        <w:rPr>
          <w:rFonts w:ascii="宋体" w:hAnsi="宋体" w:eastAsia="宋体" w:cs="Times New Roman"/>
          <w:sz w:val="32"/>
          <w:szCs w:val="32"/>
        </w:rPr>
      </w:pPr>
      <w:r>
        <w:rPr>
          <w:rFonts w:ascii="宋体" w:hAnsi="宋体" w:eastAsia="宋体" w:cs="Times New Roman"/>
          <w:sz w:val="32"/>
          <w:szCs w:val="32"/>
        </w:rPr>
        <w:t>2017</w:t>
      </w:r>
      <w:r>
        <w:rPr>
          <w:rFonts w:hint="eastAsia" w:ascii="宋体" w:hAnsi="宋体" w:eastAsia="宋体" w:cs="方正仿宋_GBK"/>
          <w:sz w:val="32"/>
          <w:szCs w:val="32"/>
        </w:rPr>
        <w:t>年预算收入348.93万元，其中：一般公共预算收入348.93万元，政府性基金收入0万元，国有资本经营收入0万元，事业收入0万元，其他收入0万元。</w:t>
      </w:r>
    </w:p>
    <w:p w14:paraId="6203BD48">
      <w:pPr>
        <w:spacing w:line="560" w:lineRule="exact"/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、支出说明</w:t>
      </w:r>
    </w:p>
    <w:p w14:paraId="2F37A584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Times New Roman"/>
          <w:sz w:val="32"/>
          <w:szCs w:val="32"/>
        </w:rPr>
        <w:t>2017</w:t>
      </w:r>
      <w:r>
        <w:rPr>
          <w:rFonts w:hint="eastAsia" w:ascii="宋体" w:hAnsi="宋体" w:eastAsia="宋体" w:cs="方正仿宋_GBK"/>
          <w:sz w:val="32"/>
          <w:szCs w:val="32"/>
        </w:rPr>
        <w:t>年支出预算348.92万元，其中基本支出230.88万元，包括人员经费和日常公用经费；项目支出116.39</w:t>
      </w:r>
      <w:r>
        <w:rPr>
          <w:rFonts w:hint="eastAsia" w:ascii="仿宋" w:hAnsi="仿宋" w:eastAsia="仿宋" w:cs="仿宋"/>
          <w:sz w:val="32"/>
          <w:szCs w:val="32"/>
        </w:rPr>
        <w:t>万元，主要为项目经费的增加。</w:t>
      </w:r>
    </w:p>
    <w:p w14:paraId="60AD4B0E">
      <w:pPr>
        <w:spacing w:line="560" w:lineRule="exact"/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3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、比上年增减变化情况</w:t>
      </w:r>
    </w:p>
    <w:p w14:paraId="443FAAD0">
      <w:pPr>
        <w:spacing w:line="560" w:lineRule="exact"/>
        <w:ind w:firstLine="640"/>
        <w:rPr>
          <w:rFonts w:ascii="宋体" w:hAnsi="宋体" w:eastAsia="宋体" w:cs="Times New Roman"/>
          <w:sz w:val="32"/>
          <w:szCs w:val="32"/>
        </w:rPr>
      </w:pPr>
      <w:r>
        <w:rPr>
          <w:rFonts w:ascii="宋体" w:hAnsi="宋体" w:eastAsia="宋体" w:cs="Times New Roman"/>
          <w:sz w:val="32"/>
          <w:szCs w:val="32"/>
        </w:rPr>
        <w:t>2017</w:t>
      </w:r>
      <w:r>
        <w:rPr>
          <w:rFonts w:hint="eastAsia" w:ascii="宋体" w:hAnsi="宋体" w:eastAsia="宋体" w:cs="方正仿宋_GBK"/>
          <w:sz w:val="32"/>
          <w:szCs w:val="32"/>
        </w:rPr>
        <w:t>年预算收支安排348.93万元，较</w:t>
      </w:r>
      <w:r>
        <w:rPr>
          <w:rFonts w:ascii="宋体" w:hAnsi="宋体" w:eastAsia="宋体" w:cs="Times New Roman"/>
          <w:sz w:val="32"/>
          <w:szCs w:val="32"/>
        </w:rPr>
        <w:t>2016</w:t>
      </w:r>
      <w:r>
        <w:rPr>
          <w:rFonts w:hint="eastAsia" w:ascii="宋体" w:hAnsi="宋体" w:eastAsia="宋体" w:cs="方正仿宋_GBK"/>
          <w:sz w:val="32"/>
          <w:szCs w:val="32"/>
        </w:rPr>
        <w:t>年预算增加117.93万元其中：基本支出增加48.31万元，主要为增加人员经费支出；项目支出增加69.12万元，主要为项目经费支出。</w:t>
      </w:r>
    </w:p>
    <w:p w14:paraId="56B9871B">
      <w:pPr>
        <w:autoSpaceDE w:val="0"/>
        <w:autoSpaceDN w:val="0"/>
        <w:adjustRightInd w:val="0"/>
        <w:spacing w:line="560" w:lineRule="exact"/>
        <w:ind w:left="198" w:firstLine="643" w:firstLineChars="200"/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三、机关运行经费安排情况</w:t>
      </w:r>
    </w:p>
    <w:p w14:paraId="44D7E237"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方正仿宋_GBK"/>
          <w:sz w:val="32"/>
          <w:szCs w:val="32"/>
        </w:rPr>
        <w:t>机关运行经费共计安排5万元，主要用于办公区的日常维修、办公用房水电费、邮电费、办公用房取暖费、办公用房物业管理费等日常运行支出。</w:t>
      </w:r>
    </w:p>
    <w:p w14:paraId="435E6BDD">
      <w:pPr>
        <w:autoSpaceDE w:val="0"/>
        <w:autoSpaceDN w:val="0"/>
        <w:adjustRightInd w:val="0"/>
        <w:spacing w:line="560" w:lineRule="exact"/>
        <w:ind w:left="198" w:firstLine="643" w:firstLineChars="200"/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四、财政拨款“三公”经费预算情况及增减变化原因</w:t>
      </w:r>
    </w:p>
    <w:p w14:paraId="601218E6">
      <w:pPr>
        <w:autoSpaceDE w:val="0"/>
        <w:autoSpaceDN w:val="0"/>
        <w:adjustRightInd w:val="0"/>
        <w:spacing w:line="560" w:lineRule="exact"/>
        <w:ind w:left="198" w:firstLine="640" w:firstLineChars="200"/>
        <w:rPr>
          <w:rFonts w:ascii="宋体" w:hAnsi="宋体" w:eastAsia="宋体" w:cs="Times New Roman"/>
          <w:sz w:val="32"/>
          <w:szCs w:val="32"/>
        </w:rPr>
      </w:pPr>
      <w:r>
        <w:rPr>
          <w:rFonts w:ascii="宋体" w:hAnsi="宋体" w:eastAsia="宋体" w:cs="Times New Roman"/>
          <w:sz w:val="32"/>
          <w:szCs w:val="32"/>
        </w:rPr>
        <w:t>2017</w:t>
      </w:r>
      <w:r>
        <w:rPr>
          <w:rFonts w:hint="eastAsia" w:ascii="宋体" w:hAnsi="宋体" w:eastAsia="宋体" w:cs="方正仿宋_GBK"/>
          <w:sz w:val="32"/>
          <w:szCs w:val="32"/>
        </w:rPr>
        <w:t>年，我单位</w:t>
      </w:r>
      <w:r>
        <w:rPr>
          <w:rFonts w:hint="eastAsia" w:ascii="宋体" w:hAnsi="宋体" w:eastAsia="宋体" w:cs="Times New Roman"/>
          <w:sz w:val="32"/>
          <w:szCs w:val="32"/>
        </w:rPr>
        <w:t>“</w:t>
      </w:r>
      <w:r>
        <w:rPr>
          <w:rFonts w:hint="eastAsia" w:ascii="宋体" w:hAnsi="宋体" w:eastAsia="宋体" w:cs="方正仿宋_GBK"/>
          <w:sz w:val="32"/>
          <w:szCs w:val="32"/>
        </w:rPr>
        <w:t>三公</w:t>
      </w:r>
      <w:r>
        <w:rPr>
          <w:rFonts w:hint="eastAsia" w:ascii="宋体" w:hAnsi="宋体" w:eastAsia="宋体" w:cs="Times New Roman"/>
          <w:sz w:val="32"/>
          <w:szCs w:val="32"/>
        </w:rPr>
        <w:t>”</w:t>
      </w:r>
      <w:r>
        <w:rPr>
          <w:rFonts w:hint="eastAsia" w:ascii="宋体" w:hAnsi="宋体" w:eastAsia="宋体" w:cs="方正仿宋_GBK"/>
          <w:sz w:val="32"/>
          <w:szCs w:val="32"/>
        </w:rPr>
        <w:t>经费预算安排14万元，其中因公出国（境）费0万元；公务用车购置及运维费14万元（其中：公务用车购置费为0万元，公务用车运行费14万元</w:t>
      </w:r>
      <w:r>
        <w:rPr>
          <w:rFonts w:ascii="宋体" w:hAnsi="宋体" w:eastAsia="宋体" w:cs="Times New Roman"/>
          <w:sz w:val="32"/>
          <w:szCs w:val="32"/>
        </w:rPr>
        <w:t>)</w:t>
      </w:r>
      <w:r>
        <w:rPr>
          <w:rFonts w:hint="eastAsia" w:ascii="宋体" w:hAnsi="宋体" w:eastAsia="宋体" w:cs="方正仿宋_GBK"/>
          <w:sz w:val="32"/>
          <w:szCs w:val="32"/>
        </w:rPr>
        <w:t>；公务接待费0万元。与</w:t>
      </w:r>
      <w:r>
        <w:rPr>
          <w:rFonts w:ascii="宋体" w:hAnsi="宋体" w:eastAsia="宋体" w:cs="Times New Roman"/>
          <w:sz w:val="32"/>
          <w:szCs w:val="32"/>
        </w:rPr>
        <w:t>2016</w:t>
      </w:r>
      <w:r>
        <w:rPr>
          <w:rFonts w:hint="eastAsia" w:ascii="宋体" w:hAnsi="宋体" w:eastAsia="宋体" w:cs="方正仿宋_GBK"/>
          <w:sz w:val="32"/>
          <w:szCs w:val="32"/>
        </w:rPr>
        <w:t>年持平，无增减变化。</w:t>
      </w:r>
    </w:p>
    <w:p w14:paraId="68244225">
      <w:pPr>
        <w:spacing w:line="560" w:lineRule="exact"/>
        <w:ind w:firstLine="640"/>
        <w:rPr>
          <w:rFonts w:ascii="黑体" w:hAnsi="黑体" w:eastAsia="黑体" w:cs="黑体"/>
          <w:b/>
          <w:bCs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0" w:num="1"/>
          <w:docGrid w:type="lines" w:linePitch="315" w:charSpace="0"/>
        </w:sectPr>
      </w:pPr>
    </w:p>
    <w:p w14:paraId="2AB33D24">
      <w:pPr>
        <w:spacing w:line="560" w:lineRule="exact"/>
        <w:ind w:firstLine="64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五、绩效预算信息</w:t>
      </w:r>
    </w:p>
    <w:tbl>
      <w:tblPr>
        <w:tblStyle w:val="4"/>
        <w:tblW w:w="1393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276"/>
        <w:gridCol w:w="2976"/>
        <w:gridCol w:w="2976"/>
        <w:gridCol w:w="1417"/>
        <w:gridCol w:w="737"/>
        <w:gridCol w:w="737"/>
        <w:gridCol w:w="737"/>
        <w:gridCol w:w="737"/>
      </w:tblGrid>
      <w:tr w14:paraId="23B156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986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707BFFA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806</w:t>
            </w:r>
            <w:r>
              <w:rPr>
                <w:rFonts w:hint="eastAsia" w:ascii="方正小标宋_GBK" w:eastAsia="方正小标宋_GBK"/>
                <w:sz w:val="24"/>
              </w:rPr>
              <w:t>成安县道东堡乡政府</w:t>
            </w:r>
          </w:p>
        </w:tc>
        <w:tc>
          <w:tcPr>
            <w:tcW w:w="294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140AFF3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 w14:paraId="3106E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 w14:paraId="7A1E138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职责活动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FE91DE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年度预算数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173F9AF9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内容描述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012E3A5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F3A9510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</w:t>
            </w:r>
          </w:p>
        </w:tc>
        <w:tc>
          <w:tcPr>
            <w:tcW w:w="2948" w:type="dxa"/>
            <w:gridSpan w:val="4"/>
            <w:shd w:val="clear" w:color="auto" w:fill="auto"/>
            <w:vAlign w:val="center"/>
          </w:tcPr>
          <w:p w14:paraId="0B3E6C48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评价标准</w:t>
            </w:r>
          </w:p>
        </w:tc>
      </w:tr>
      <w:tr w14:paraId="1A445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 w14:paraId="25CE1FA4">
            <w:pPr>
              <w:spacing w:line="300" w:lineRule="exact"/>
              <w:jc w:val="left"/>
              <w:outlineLvl w:val="0"/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6690D98">
            <w:pPr>
              <w:spacing w:line="300" w:lineRule="exact"/>
              <w:jc w:val="left"/>
              <w:outlineLvl w:val="0"/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 w14:paraId="03D7FE0B">
            <w:pPr>
              <w:spacing w:line="300" w:lineRule="exact"/>
              <w:jc w:val="left"/>
              <w:outlineLvl w:val="0"/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 w14:paraId="242444F3">
            <w:pPr>
              <w:spacing w:line="300" w:lineRule="exact"/>
              <w:jc w:val="left"/>
              <w:outlineLvl w:val="0"/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 w14:paraId="3A4B1A33">
            <w:pPr>
              <w:spacing w:line="300" w:lineRule="exact"/>
              <w:jc w:val="left"/>
              <w:outlineLvl w:val="0"/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0F0807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优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C292AC0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良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623B794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中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AFF78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差</w:t>
            </w:r>
          </w:p>
        </w:tc>
      </w:tr>
      <w:tr w14:paraId="6C266B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15C69FB0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村级财务管理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35D4A9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02E275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财政所对各村的支出进行审核、拨付并及时入账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1B169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规范村级财务管理。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B799F6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954BE9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1D5F80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896688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7F182B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 w14:paraId="09B1E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0DFE04F3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村财乡管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82592A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B7A874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财政所对各村的支出进行审核、拨付并及时入账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E7DF8E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村帐规范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8B730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规范村级财务管理，杜绝白条下账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29005B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100%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D34A82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80%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B49EB1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70%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DDDDF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60%</w:t>
            </w:r>
          </w:p>
        </w:tc>
      </w:tr>
      <w:tr w14:paraId="4C43B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2557575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防灾减灾赈灾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8154F9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DE32C9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组织协调乡镇防灾减灾救灾工作。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5C356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建设完善全乡自然灾害救助。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339502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802906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D78D34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9CD15C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BB1415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 w14:paraId="03BFE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12091342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灾民救助及危房改造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7ABA81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1F5905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统计、汇总、核查灾情，统一发布灾情，组织协调紧急转移安置灾民，承办救灾款物分配和监管，物资调匀，组织民房恢复重建及灾民生活救助。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23F08A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及时防灾救灾赈灾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40DBB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组织协调紧急转移安置灾民，确保受灾群众妥善得到转移安置。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F2810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100%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E803C2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90%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272CCA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80%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8970DA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70%</w:t>
            </w:r>
          </w:p>
        </w:tc>
      </w:tr>
      <w:tr w14:paraId="2C64C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75C0F4B0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农村居民最低生活保障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42DFA0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5745A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负责符合条件农村居民最低生活。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3EA3AD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实行动态管理做到应保尽保。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23E21E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A1E8E8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39F1CF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7E9A23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2E5E9B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 w14:paraId="745B5C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1BEDC60A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农村居民最低生活保障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E9AE7D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F2F546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负责符合条件的农村居民的最低生活保障工作。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4D9EB1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做到应保尽保应退尽退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2DA74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实行动态管理做到应保尽保，应退尽退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7766D8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100%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34B37F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80%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9CEAF1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70%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1917F4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60%</w:t>
            </w:r>
          </w:p>
        </w:tc>
      </w:tr>
      <w:tr w14:paraId="30ABCF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21D1995F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农村环境综合治理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8C2E13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21BB3D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改善农村居住环境，发展环境相结合。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C3CF4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加强乡村建设，改善农村人居环境。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AB4BD3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A2FE8B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398ED1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9E053D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7350DA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 w14:paraId="57F02D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1FC19E29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农村环境综合治理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D3143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0C529E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清理垃圾杂物、整修路面、美化、绿化。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11B47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改善村容村貌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ABC2D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村容村貌整洁，环境优美，乡村特色鲜明，公共服务设施配套。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92BB8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100%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29A990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80%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9B48E0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70%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758BE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60%</w:t>
            </w:r>
          </w:p>
        </w:tc>
      </w:tr>
      <w:tr w14:paraId="5EDFBB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34AA67A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加强农村社会管理、维护农村稳定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5791D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118.05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FBEEA8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抓好农村思想政治建设和精神文明建设，加强农村教育、卫生、文化、体育、环境保护等社会事业的管理，促进农村经济社会的健康、和谐、可持续发展；加强计划生育管理，确保基本国策各项工作落到实处；加强安全生产管理，做好各项安全生产的监督检查、隐患排查，落实安全生产责任制；加强社会治安综合治理，综合发挥人民调解、行政调解和司法调解的作用，及时化解农村社会矛盾，消除社会不稳定因素；协助司法机关打击各类刑事犯罪活动，妥善处理突发性、群体性事件，确保人民群众生命财产安全；切实解决好农村征地、集体资产管理等方面损坏农民利益的突出问题，确保社会稳定；指导村民自治，积极稳妥有序推进农村新民居建设，促进社会组织健康发展，增强社会自治功能，完善村规民约，深化农村平安创建工作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16974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加强农村社会管理、维护农村稳定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C12A36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05A1F9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7135EE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540D8F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64B96E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 w14:paraId="547012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7214CDDE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加强农村社会管理、维护农村稳定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EB101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118.05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F6413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抓好农村思想政治建设和精神文明建设，加强农村教育、卫生、文化、体育、环境保护等社会事业的管理，促进农村经济社会的健康、和谐、可持续发展；加强计划生育管理，确保基本国策各项工作落到实处；加强安全生产管理，做好各项安全生产的监督检查、隐患排查，落实安全生产责任制；加强社会治安综合治理，综合发挥人民调解、行政调解和司法调解的作用，及时化解农村社会矛盾，消除社会不稳定因素；协助司法机关打击各类刑事犯罪活动，妥善处理突发性、群体性事件，确保人民群众生命财产安全；切实解决好农村征地、集体资产管理等方面损坏农民利益的突出问题，确保社会稳定；指导村民自治，积极稳妥有序推进农村新民居建设，促进社会组织健康发展，增强社会自治功能，完善村规民约，深化农村平安创建工作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54ACC1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加强农村社会管理、维护农村稳定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DF18B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加强农村社会管理、维护农村稳定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FA98D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60C521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480092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95137F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 w14:paraId="3A3891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490A6939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党员和党组织建设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7985FB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607986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负责全乡党组织建设。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DFF7D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加强基层领导班子建设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1E5715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3B8791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7CF5AB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84B385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64CA1E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 w14:paraId="2857F9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7C9D71CC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党员和党组织建设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1D19E2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7860CE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负责全乡党组织建设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2AD737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加强党组织建设和党员管理不断提高党员素质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EBDD1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加强党组织建设和党员管理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4F2536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100%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1EE13B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80%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87674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700%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05B1BF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60%</w:t>
            </w:r>
          </w:p>
        </w:tc>
      </w:tr>
      <w:tr w14:paraId="04E809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583F3E2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安全生产综合监督管理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6D9093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A49E14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承担全乡安全生产综合监督管理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F887E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定期组织在全乡开展安全生产督导检查。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45E76B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2606DD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4B4D2E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2618FB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C0CFA4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</w:tbl>
    <w:p w14:paraId="52814566">
      <w:pPr>
        <w:spacing w:line="560" w:lineRule="exact"/>
        <w:ind w:firstLine="640"/>
        <w:rPr>
          <w:rFonts w:ascii="黑体" w:hAnsi="黑体" w:eastAsia="黑体" w:cs="Times New Roman"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cols w:space="0" w:num="1"/>
          <w:docGrid w:type="lines" w:linePitch="315" w:charSpace="0"/>
        </w:sectPr>
      </w:pPr>
    </w:p>
    <w:p w14:paraId="7572495C"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六、政府采购预算情况</w:t>
      </w:r>
    </w:p>
    <w:p w14:paraId="61F2832A">
      <w:pPr>
        <w:spacing w:line="560" w:lineRule="exact"/>
        <w:outlineLvl w:val="0"/>
        <w:rPr>
          <w:rFonts w:ascii="宋体" w:hAnsi="宋体" w:eastAsia="宋体" w:cs="Times New Roman"/>
          <w:sz w:val="32"/>
          <w:szCs w:val="32"/>
        </w:rPr>
      </w:pPr>
      <w:bookmarkStart w:id="0" w:name="_Toc471398468"/>
      <w:r>
        <w:rPr>
          <w:rFonts w:ascii="Times New Roman" w:hAnsi="Times New Roman" w:eastAsia="方正仿宋_GBK" w:cs="Times New Roman"/>
          <w:sz w:val="32"/>
          <w:szCs w:val="32"/>
        </w:rPr>
        <w:t xml:space="preserve">   </w:t>
      </w:r>
      <w:r>
        <w:rPr>
          <w:rFonts w:ascii="宋体" w:hAnsi="宋体" w:eastAsia="宋体" w:cs="Times New Roman"/>
          <w:sz w:val="32"/>
          <w:szCs w:val="32"/>
        </w:rPr>
        <w:t>2017</w:t>
      </w:r>
      <w:r>
        <w:rPr>
          <w:rFonts w:hint="eastAsia" w:ascii="宋体" w:hAnsi="宋体" w:eastAsia="宋体" w:cs="方正仿宋_GBK"/>
          <w:sz w:val="32"/>
          <w:szCs w:val="32"/>
        </w:rPr>
        <w:t>年，我单位安排政府采购预算3万元。具体内容见下表。</w:t>
      </w:r>
    </w:p>
    <w:p w14:paraId="37D957F1">
      <w:pPr>
        <w:spacing w:line="560" w:lineRule="exact"/>
        <w:jc w:val="center"/>
        <w:outlineLvl w:val="0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方正小标宋_GBK"/>
          <w:sz w:val="32"/>
          <w:szCs w:val="32"/>
        </w:rPr>
        <w:t>部门政府采购预算</w:t>
      </w:r>
      <w:bookmarkEnd w:id="0"/>
    </w:p>
    <w:tbl>
      <w:tblPr>
        <w:tblStyle w:val="4"/>
        <w:tblW w:w="90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667"/>
        <w:gridCol w:w="431"/>
        <w:gridCol w:w="355"/>
        <w:gridCol w:w="436"/>
        <w:gridCol w:w="832"/>
        <w:gridCol w:w="900"/>
        <w:gridCol w:w="692"/>
        <w:gridCol w:w="562"/>
        <w:gridCol w:w="562"/>
        <w:gridCol w:w="511"/>
        <w:gridCol w:w="551"/>
        <w:gridCol w:w="551"/>
        <w:gridCol w:w="516"/>
      </w:tblGrid>
      <w:tr w14:paraId="09E75D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115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3CBFC38">
            <w:pPr>
              <w:spacing w:line="56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方正小标宋_GBK" w:eastAsia="方正小标宋_GBK"/>
                <w:sz w:val="24"/>
              </w:rPr>
              <w:t>806</w:t>
            </w:r>
            <w:r>
              <w:rPr>
                <w:rFonts w:hint="eastAsia" w:ascii="方正小标宋_GBK" w:eastAsia="方正小标宋_GBK"/>
                <w:sz w:val="24"/>
              </w:rPr>
              <w:t>成安县道东堡乡政府</w:t>
            </w:r>
          </w:p>
        </w:tc>
        <w:tc>
          <w:tcPr>
            <w:tcW w:w="3945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24A13D3">
            <w:pPr>
              <w:spacing w:line="560" w:lineRule="exact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方正书宋_GBK"/>
                <w:sz w:val="24"/>
                <w:szCs w:val="24"/>
              </w:rPr>
              <w:t>单位：万元</w:t>
            </w:r>
          </w:p>
        </w:tc>
      </w:tr>
      <w:tr w14:paraId="282011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161" w:type="dxa"/>
            <w:gridSpan w:val="2"/>
            <w:vAlign w:val="center"/>
          </w:tcPr>
          <w:p w14:paraId="393DB149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政府采购项目来源</w:t>
            </w:r>
          </w:p>
        </w:tc>
        <w:tc>
          <w:tcPr>
            <w:tcW w:w="431" w:type="dxa"/>
            <w:vMerge w:val="restart"/>
            <w:vAlign w:val="center"/>
          </w:tcPr>
          <w:p w14:paraId="36121972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采购物品名称</w:t>
            </w:r>
          </w:p>
        </w:tc>
        <w:tc>
          <w:tcPr>
            <w:tcW w:w="355" w:type="dxa"/>
            <w:vMerge w:val="restart"/>
            <w:vAlign w:val="center"/>
          </w:tcPr>
          <w:p w14:paraId="11FCFE2E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政府采购目录序号</w:t>
            </w:r>
          </w:p>
        </w:tc>
        <w:tc>
          <w:tcPr>
            <w:tcW w:w="436" w:type="dxa"/>
            <w:vMerge w:val="restart"/>
            <w:vAlign w:val="center"/>
          </w:tcPr>
          <w:p w14:paraId="0362F36C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数量</w:t>
            </w:r>
            <w:r>
              <w:rPr>
                <w:rFonts w:ascii="宋体" w:hAnsi="宋体" w:eastAsia="宋体" w:cs="方正书宋_GBK"/>
                <w:b/>
                <w:bCs/>
              </w:rPr>
              <w:t xml:space="preserve">  </w:t>
            </w:r>
            <w:r>
              <w:rPr>
                <w:rFonts w:hint="eastAsia" w:ascii="宋体" w:hAnsi="宋体" w:eastAsia="宋体" w:cs="方正书宋_GBK"/>
                <w:b/>
                <w:bCs/>
              </w:rPr>
              <w:t>单位</w:t>
            </w:r>
          </w:p>
        </w:tc>
        <w:tc>
          <w:tcPr>
            <w:tcW w:w="832" w:type="dxa"/>
            <w:vMerge w:val="restart"/>
            <w:vAlign w:val="center"/>
          </w:tcPr>
          <w:p w14:paraId="32DAF433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数量</w:t>
            </w:r>
          </w:p>
        </w:tc>
        <w:tc>
          <w:tcPr>
            <w:tcW w:w="900" w:type="dxa"/>
            <w:vMerge w:val="restart"/>
            <w:vAlign w:val="center"/>
          </w:tcPr>
          <w:p w14:paraId="608A114D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单价</w:t>
            </w:r>
          </w:p>
        </w:tc>
        <w:tc>
          <w:tcPr>
            <w:tcW w:w="3945" w:type="dxa"/>
            <w:gridSpan w:val="7"/>
            <w:vAlign w:val="center"/>
          </w:tcPr>
          <w:p w14:paraId="4A6533EC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政府采购金额</w:t>
            </w:r>
          </w:p>
        </w:tc>
      </w:tr>
      <w:tr w14:paraId="250BED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94" w:type="dxa"/>
            <w:vMerge w:val="restart"/>
            <w:vAlign w:val="center"/>
          </w:tcPr>
          <w:p w14:paraId="2C9E9C63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项目名称</w:t>
            </w:r>
          </w:p>
        </w:tc>
        <w:tc>
          <w:tcPr>
            <w:tcW w:w="667" w:type="dxa"/>
            <w:vMerge w:val="restart"/>
            <w:vAlign w:val="center"/>
          </w:tcPr>
          <w:p w14:paraId="13130318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预算资金</w:t>
            </w:r>
          </w:p>
        </w:tc>
        <w:tc>
          <w:tcPr>
            <w:tcW w:w="431" w:type="dxa"/>
            <w:vMerge w:val="continue"/>
            <w:vAlign w:val="center"/>
          </w:tcPr>
          <w:p w14:paraId="7F35F8A8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55" w:type="dxa"/>
            <w:vMerge w:val="continue"/>
            <w:vAlign w:val="center"/>
          </w:tcPr>
          <w:p w14:paraId="6E294498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436" w:type="dxa"/>
            <w:vMerge w:val="continue"/>
            <w:vAlign w:val="center"/>
          </w:tcPr>
          <w:p w14:paraId="7B449630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832" w:type="dxa"/>
            <w:vMerge w:val="continue"/>
            <w:vAlign w:val="center"/>
          </w:tcPr>
          <w:p w14:paraId="4F7A176E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084108DA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692" w:type="dxa"/>
            <w:vMerge w:val="restart"/>
            <w:vAlign w:val="center"/>
          </w:tcPr>
          <w:p w14:paraId="63C6FF7F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总计</w:t>
            </w:r>
          </w:p>
        </w:tc>
        <w:tc>
          <w:tcPr>
            <w:tcW w:w="2737" w:type="dxa"/>
            <w:gridSpan w:val="5"/>
            <w:vAlign w:val="center"/>
          </w:tcPr>
          <w:p w14:paraId="2E3016BB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当年部门预算安排资金</w:t>
            </w:r>
          </w:p>
        </w:tc>
        <w:tc>
          <w:tcPr>
            <w:tcW w:w="516" w:type="dxa"/>
            <w:vMerge w:val="restart"/>
            <w:vAlign w:val="center"/>
          </w:tcPr>
          <w:p w14:paraId="4B3AC1FB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其他渠道资金</w:t>
            </w:r>
          </w:p>
        </w:tc>
      </w:tr>
      <w:tr w14:paraId="574785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94" w:type="dxa"/>
            <w:vMerge w:val="continue"/>
            <w:vAlign w:val="center"/>
          </w:tcPr>
          <w:p w14:paraId="4817B838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667" w:type="dxa"/>
            <w:vMerge w:val="continue"/>
            <w:vAlign w:val="center"/>
          </w:tcPr>
          <w:p w14:paraId="28CA2217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431" w:type="dxa"/>
            <w:vMerge w:val="continue"/>
            <w:vAlign w:val="center"/>
          </w:tcPr>
          <w:p w14:paraId="04BA3F18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55" w:type="dxa"/>
            <w:vMerge w:val="continue"/>
            <w:vAlign w:val="center"/>
          </w:tcPr>
          <w:p w14:paraId="7BF3FC46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436" w:type="dxa"/>
            <w:vMerge w:val="continue"/>
            <w:vAlign w:val="center"/>
          </w:tcPr>
          <w:p w14:paraId="6B220FA0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832" w:type="dxa"/>
            <w:vMerge w:val="continue"/>
            <w:vAlign w:val="center"/>
          </w:tcPr>
          <w:p w14:paraId="622DF685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38A5BAA0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692" w:type="dxa"/>
            <w:vMerge w:val="continue"/>
            <w:vAlign w:val="center"/>
          </w:tcPr>
          <w:p w14:paraId="4A02BFEE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562" w:type="dxa"/>
            <w:vAlign w:val="center"/>
          </w:tcPr>
          <w:p w14:paraId="4D05675F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合计</w:t>
            </w:r>
          </w:p>
        </w:tc>
        <w:tc>
          <w:tcPr>
            <w:tcW w:w="562" w:type="dxa"/>
            <w:vAlign w:val="center"/>
          </w:tcPr>
          <w:p w14:paraId="5852E791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一般公共预算拨款</w:t>
            </w:r>
          </w:p>
        </w:tc>
        <w:tc>
          <w:tcPr>
            <w:tcW w:w="511" w:type="dxa"/>
            <w:vAlign w:val="center"/>
          </w:tcPr>
          <w:p w14:paraId="117666CB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基金预算拨款</w:t>
            </w:r>
          </w:p>
        </w:tc>
        <w:tc>
          <w:tcPr>
            <w:tcW w:w="551" w:type="dxa"/>
            <w:vAlign w:val="center"/>
          </w:tcPr>
          <w:p w14:paraId="16B22A4D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财政专户核拨</w:t>
            </w:r>
          </w:p>
        </w:tc>
        <w:tc>
          <w:tcPr>
            <w:tcW w:w="551" w:type="dxa"/>
            <w:vAlign w:val="center"/>
          </w:tcPr>
          <w:p w14:paraId="019B3B17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其他来源收入</w:t>
            </w:r>
          </w:p>
        </w:tc>
        <w:tc>
          <w:tcPr>
            <w:tcW w:w="516" w:type="dxa"/>
            <w:vMerge w:val="continue"/>
            <w:vAlign w:val="center"/>
          </w:tcPr>
          <w:p w14:paraId="732CAB9D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</w:tr>
      <w:tr w14:paraId="4C044B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vAlign w:val="center"/>
          </w:tcPr>
          <w:p w14:paraId="3EED33E9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合　计</w:t>
            </w:r>
          </w:p>
        </w:tc>
        <w:tc>
          <w:tcPr>
            <w:tcW w:w="667" w:type="dxa"/>
            <w:vAlign w:val="center"/>
          </w:tcPr>
          <w:p w14:paraId="3B3BD5FF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ascii="宋体" w:hAnsi="宋体" w:eastAsia="宋体" w:cs="Times New Roman"/>
                <w:b/>
                <w:bCs/>
              </w:rPr>
              <w:fldChar w:fldCharType="begin"/>
            </w:r>
            <w:r>
              <w:rPr>
                <w:rFonts w:ascii="宋体" w:hAnsi="宋体" w:eastAsia="宋体" w:cs="Times New Roman"/>
                <w:b/>
                <w:bCs/>
              </w:rPr>
              <w:instrText xml:space="preserve"> = sum(B6:B10) \* MERGEFORMAT </w:instrText>
            </w:r>
            <w:r>
              <w:rPr>
                <w:rFonts w:ascii="宋体" w:hAnsi="宋体" w:eastAsia="宋体" w:cs="Times New Roman"/>
                <w:b/>
                <w:bCs/>
              </w:rPr>
              <w:fldChar w:fldCharType="separate"/>
            </w:r>
            <w:r>
              <w:rPr>
                <w:rFonts w:ascii="宋体" w:hAnsi="宋体" w:eastAsia="宋体" w:cs="Times New Roman"/>
                <w:b/>
                <w:bCs/>
              </w:rPr>
              <w:t>3</w:t>
            </w:r>
            <w:r>
              <w:rPr>
                <w:rFonts w:ascii="宋体" w:hAnsi="宋体" w:eastAsia="宋体" w:cs="Times New Roman"/>
                <w:b/>
                <w:bCs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7000FDF6"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55" w:type="dxa"/>
            <w:vAlign w:val="center"/>
          </w:tcPr>
          <w:p w14:paraId="747A97C4"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436" w:type="dxa"/>
            <w:vAlign w:val="center"/>
          </w:tcPr>
          <w:p w14:paraId="365BA76F"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35F6D1A2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07613AE7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692" w:type="dxa"/>
            <w:vAlign w:val="center"/>
          </w:tcPr>
          <w:p w14:paraId="1F914F42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ascii="宋体" w:hAnsi="宋体" w:eastAsia="宋体" w:cs="Times New Roman"/>
                <w:b/>
                <w:bCs/>
              </w:rPr>
              <w:fldChar w:fldCharType="begin"/>
            </w:r>
            <w:r>
              <w:rPr>
                <w:rFonts w:ascii="宋体" w:hAnsi="宋体" w:eastAsia="宋体" w:cs="Times New Roman"/>
                <w:b/>
                <w:bCs/>
              </w:rPr>
              <w:instrText xml:space="preserve"> = sum(H6:H10) \* MERGEFORMAT </w:instrText>
            </w:r>
            <w:r>
              <w:rPr>
                <w:rFonts w:ascii="宋体" w:hAnsi="宋体" w:eastAsia="宋体" w:cs="Times New Roman"/>
                <w:b/>
                <w:bCs/>
              </w:rPr>
              <w:fldChar w:fldCharType="separate"/>
            </w:r>
            <w:r>
              <w:rPr>
                <w:rFonts w:ascii="宋体" w:hAnsi="宋体" w:eastAsia="宋体" w:cs="Times New Roman"/>
                <w:b/>
                <w:bCs/>
              </w:rPr>
              <w:t>3</w:t>
            </w:r>
            <w:r>
              <w:rPr>
                <w:rFonts w:ascii="宋体" w:hAnsi="宋体" w:eastAsia="宋体" w:cs="Times New Roman"/>
                <w:b/>
                <w:bCs/>
              </w:rPr>
              <w:fldChar w:fldCharType="end"/>
            </w:r>
          </w:p>
        </w:tc>
        <w:tc>
          <w:tcPr>
            <w:tcW w:w="562" w:type="dxa"/>
            <w:vAlign w:val="center"/>
          </w:tcPr>
          <w:p w14:paraId="397633A6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62" w:type="dxa"/>
            <w:vAlign w:val="center"/>
          </w:tcPr>
          <w:p w14:paraId="457628B5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11" w:type="dxa"/>
            <w:vAlign w:val="center"/>
          </w:tcPr>
          <w:p w14:paraId="76885949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14:paraId="570ACC92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14:paraId="20561A43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1F8DC209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 w14:paraId="2B0708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vAlign w:val="center"/>
          </w:tcPr>
          <w:p w14:paraId="2FD329FB">
            <w:pPr>
              <w:spacing w:line="560" w:lineRule="exact"/>
              <w:jc w:val="center"/>
              <w:rPr>
                <w:rFonts w:ascii="宋体" w:hAnsi="宋体" w:eastAsia="宋体" w:cs="方正书宋_GBK"/>
              </w:rPr>
            </w:pPr>
            <w:r>
              <w:rPr>
                <w:rFonts w:hint="eastAsia" w:ascii="宋体" w:hAnsi="宋体" w:eastAsia="宋体" w:cs="方正书宋_GBK"/>
              </w:rPr>
              <w:t>电脑</w:t>
            </w:r>
          </w:p>
        </w:tc>
        <w:tc>
          <w:tcPr>
            <w:tcW w:w="667" w:type="dxa"/>
            <w:vAlign w:val="center"/>
          </w:tcPr>
          <w:p w14:paraId="7A6BB0FC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1.5</w:t>
            </w:r>
          </w:p>
        </w:tc>
        <w:tc>
          <w:tcPr>
            <w:tcW w:w="431" w:type="dxa"/>
            <w:vAlign w:val="center"/>
          </w:tcPr>
          <w:p w14:paraId="5B17E985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355" w:type="dxa"/>
            <w:vAlign w:val="center"/>
          </w:tcPr>
          <w:p w14:paraId="313A6C5A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36" w:type="dxa"/>
            <w:vAlign w:val="center"/>
          </w:tcPr>
          <w:p w14:paraId="21786724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台</w:t>
            </w:r>
          </w:p>
        </w:tc>
        <w:tc>
          <w:tcPr>
            <w:tcW w:w="832" w:type="dxa"/>
            <w:vAlign w:val="center"/>
          </w:tcPr>
          <w:p w14:paraId="2A53E006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4A525B4D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0.5</w:t>
            </w:r>
          </w:p>
        </w:tc>
        <w:tc>
          <w:tcPr>
            <w:tcW w:w="692" w:type="dxa"/>
            <w:vAlign w:val="center"/>
          </w:tcPr>
          <w:p w14:paraId="0C67C2E8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1.5</w:t>
            </w:r>
          </w:p>
        </w:tc>
        <w:tc>
          <w:tcPr>
            <w:tcW w:w="562" w:type="dxa"/>
            <w:vAlign w:val="center"/>
          </w:tcPr>
          <w:p w14:paraId="14234285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62" w:type="dxa"/>
            <w:vAlign w:val="center"/>
          </w:tcPr>
          <w:p w14:paraId="27B7BB54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11" w:type="dxa"/>
            <w:vAlign w:val="center"/>
          </w:tcPr>
          <w:p w14:paraId="19A0F9C9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14:paraId="376D16B6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14:paraId="289ED3A7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729972CE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 w14:paraId="280181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vAlign w:val="center"/>
          </w:tcPr>
          <w:p w14:paraId="4627C4C4">
            <w:pPr>
              <w:spacing w:line="560" w:lineRule="exact"/>
              <w:jc w:val="center"/>
              <w:rPr>
                <w:rFonts w:ascii="宋体" w:hAnsi="宋体" w:eastAsia="宋体" w:cs="方正书宋_GBK"/>
              </w:rPr>
            </w:pPr>
            <w:r>
              <w:rPr>
                <w:rFonts w:hint="eastAsia" w:ascii="宋体" w:hAnsi="宋体" w:eastAsia="宋体" w:cs="方正书宋_GBK"/>
              </w:rPr>
              <w:t>空调</w:t>
            </w:r>
          </w:p>
        </w:tc>
        <w:tc>
          <w:tcPr>
            <w:tcW w:w="667" w:type="dxa"/>
            <w:vAlign w:val="center"/>
          </w:tcPr>
          <w:p w14:paraId="1752C8CC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0.5</w:t>
            </w:r>
          </w:p>
        </w:tc>
        <w:tc>
          <w:tcPr>
            <w:tcW w:w="431" w:type="dxa"/>
            <w:vAlign w:val="center"/>
          </w:tcPr>
          <w:p w14:paraId="6ECAAC2C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355" w:type="dxa"/>
            <w:vAlign w:val="center"/>
          </w:tcPr>
          <w:p w14:paraId="0B976113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36" w:type="dxa"/>
            <w:vAlign w:val="center"/>
          </w:tcPr>
          <w:p w14:paraId="15DE1C99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台</w:t>
            </w:r>
          </w:p>
        </w:tc>
        <w:tc>
          <w:tcPr>
            <w:tcW w:w="832" w:type="dxa"/>
            <w:vAlign w:val="center"/>
          </w:tcPr>
          <w:p w14:paraId="56D16371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52FC1588">
            <w:pPr>
              <w:tabs>
                <w:tab w:val="left" w:pos="206"/>
                <w:tab w:val="right" w:pos="936"/>
              </w:tabs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0.25</w:t>
            </w:r>
          </w:p>
        </w:tc>
        <w:tc>
          <w:tcPr>
            <w:tcW w:w="692" w:type="dxa"/>
            <w:vAlign w:val="center"/>
          </w:tcPr>
          <w:p w14:paraId="4414D661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0.5</w:t>
            </w:r>
          </w:p>
        </w:tc>
        <w:tc>
          <w:tcPr>
            <w:tcW w:w="562" w:type="dxa"/>
            <w:vAlign w:val="center"/>
          </w:tcPr>
          <w:p w14:paraId="461E5F97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62" w:type="dxa"/>
            <w:vAlign w:val="center"/>
          </w:tcPr>
          <w:p w14:paraId="7B3C99C1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11" w:type="dxa"/>
            <w:vAlign w:val="center"/>
          </w:tcPr>
          <w:p w14:paraId="460DC08C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14:paraId="3A04D802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14:paraId="20CAB7DF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251FE5C0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 w14:paraId="5190CB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vAlign w:val="center"/>
          </w:tcPr>
          <w:p w14:paraId="27B3F4BD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打印机</w:t>
            </w:r>
          </w:p>
        </w:tc>
        <w:tc>
          <w:tcPr>
            <w:tcW w:w="667" w:type="dxa"/>
            <w:vAlign w:val="center"/>
          </w:tcPr>
          <w:p w14:paraId="790FF274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0.48</w:t>
            </w:r>
          </w:p>
        </w:tc>
        <w:tc>
          <w:tcPr>
            <w:tcW w:w="431" w:type="dxa"/>
            <w:vAlign w:val="center"/>
          </w:tcPr>
          <w:p w14:paraId="68D221B6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355" w:type="dxa"/>
            <w:vAlign w:val="center"/>
          </w:tcPr>
          <w:p w14:paraId="1CF3D5F5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36" w:type="dxa"/>
            <w:vAlign w:val="center"/>
          </w:tcPr>
          <w:p w14:paraId="5E14E88D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台</w:t>
            </w:r>
          </w:p>
        </w:tc>
        <w:tc>
          <w:tcPr>
            <w:tcW w:w="832" w:type="dxa"/>
            <w:vAlign w:val="center"/>
          </w:tcPr>
          <w:p w14:paraId="11FF0FB7">
            <w:pPr>
              <w:tabs>
                <w:tab w:val="center" w:pos="227"/>
                <w:tab w:val="right" w:pos="576"/>
              </w:tabs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198F88C1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0.16</w:t>
            </w:r>
          </w:p>
        </w:tc>
        <w:tc>
          <w:tcPr>
            <w:tcW w:w="692" w:type="dxa"/>
            <w:vAlign w:val="center"/>
          </w:tcPr>
          <w:p w14:paraId="06452132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0.48</w:t>
            </w:r>
          </w:p>
        </w:tc>
        <w:tc>
          <w:tcPr>
            <w:tcW w:w="562" w:type="dxa"/>
            <w:vAlign w:val="center"/>
          </w:tcPr>
          <w:p w14:paraId="02EE3062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62" w:type="dxa"/>
            <w:vAlign w:val="center"/>
          </w:tcPr>
          <w:p w14:paraId="199AD749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11" w:type="dxa"/>
            <w:vAlign w:val="center"/>
          </w:tcPr>
          <w:p w14:paraId="0E8D44E8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14:paraId="00F73489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14:paraId="3A337CA7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14:paraId="0F2404FA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 w14:paraId="20387A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vAlign w:val="center"/>
          </w:tcPr>
          <w:p w14:paraId="7CE79137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办公桌</w:t>
            </w:r>
          </w:p>
        </w:tc>
        <w:tc>
          <w:tcPr>
            <w:tcW w:w="667" w:type="dxa"/>
            <w:vAlign w:val="center"/>
          </w:tcPr>
          <w:p w14:paraId="157F75D0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0.27</w:t>
            </w:r>
          </w:p>
        </w:tc>
        <w:tc>
          <w:tcPr>
            <w:tcW w:w="431" w:type="dxa"/>
            <w:vAlign w:val="center"/>
          </w:tcPr>
          <w:p w14:paraId="7902DEAA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355" w:type="dxa"/>
            <w:vAlign w:val="center"/>
          </w:tcPr>
          <w:p w14:paraId="31391A9B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36" w:type="dxa"/>
            <w:vAlign w:val="center"/>
          </w:tcPr>
          <w:p w14:paraId="4B4DE83A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套</w:t>
            </w:r>
          </w:p>
        </w:tc>
        <w:tc>
          <w:tcPr>
            <w:tcW w:w="832" w:type="dxa"/>
            <w:vAlign w:val="center"/>
          </w:tcPr>
          <w:p w14:paraId="49ADAA9C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1B302B1D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0.09</w:t>
            </w:r>
          </w:p>
        </w:tc>
        <w:tc>
          <w:tcPr>
            <w:tcW w:w="692" w:type="dxa"/>
            <w:vAlign w:val="center"/>
          </w:tcPr>
          <w:p w14:paraId="55B6FE1D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0.27</w:t>
            </w:r>
          </w:p>
        </w:tc>
        <w:tc>
          <w:tcPr>
            <w:tcW w:w="562" w:type="dxa"/>
            <w:vAlign w:val="center"/>
          </w:tcPr>
          <w:p w14:paraId="0238385C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62" w:type="dxa"/>
            <w:vAlign w:val="center"/>
          </w:tcPr>
          <w:p w14:paraId="41E00005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11" w:type="dxa"/>
            <w:vAlign w:val="center"/>
          </w:tcPr>
          <w:p w14:paraId="312E7B20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51" w:type="dxa"/>
            <w:vAlign w:val="center"/>
          </w:tcPr>
          <w:p w14:paraId="5660BDBA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51" w:type="dxa"/>
            <w:vAlign w:val="center"/>
          </w:tcPr>
          <w:p w14:paraId="1C784AFD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16" w:type="dxa"/>
            <w:vAlign w:val="center"/>
          </w:tcPr>
          <w:p w14:paraId="6758AC08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</w:tr>
      <w:tr w14:paraId="160BF8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vAlign w:val="center"/>
          </w:tcPr>
          <w:p w14:paraId="61D7B6CA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装订机</w:t>
            </w:r>
          </w:p>
        </w:tc>
        <w:tc>
          <w:tcPr>
            <w:tcW w:w="667" w:type="dxa"/>
            <w:vAlign w:val="center"/>
          </w:tcPr>
          <w:p w14:paraId="50E64FC0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0.25</w:t>
            </w:r>
          </w:p>
        </w:tc>
        <w:tc>
          <w:tcPr>
            <w:tcW w:w="431" w:type="dxa"/>
            <w:vAlign w:val="center"/>
          </w:tcPr>
          <w:p w14:paraId="66C2141D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355" w:type="dxa"/>
            <w:vAlign w:val="center"/>
          </w:tcPr>
          <w:p w14:paraId="597D109B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36" w:type="dxa"/>
            <w:vAlign w:val="center"/>
          </w:tcPr>
          <w:p w14:paraId="1325C333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台</w:t>
            </w:r>
          </w:p>
        </w:tc>
        <w:tc>
          <w:tcPr>
            <w:tcW w:w="832" w:type="dxa"/>
            <w:vAlign w:val="center"/>
          </w:tcPr>
          <w:p w14:paraId="665560DA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</w:p>
        </w:tc>
        <w:tc>
          <w:tcPr>
            <w:tcW w:w="900" w:type="dxa"/>
            <w:vAlign w:val="center"/>
          </w:tcPr>
          <w:p w14:paraId="669C6FBB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0.25</w:t>
            </w:r>
          </w:p>
        </w:tc>
        <w:tc>
          <w:tcPr>
            <w:tcW w:w="692" w:type="dxa"/>
            <w:vAlign w:val="center"/>
          </w:tcPr>
          <w:p w14:paraId="73FD0F60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0.25</w:t>
            </w:r>
          </w:p>
        </w:tc>
        <w:tc>
          <w:tcPr>
            <w:tcW w:w="562" w:type="dxa"/>
            <w:vAlign w:val="center"/>
          </w:tcPr>
          <w:p w14:paraId="596550AF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62" w:type="dxa"/>
            <w:vAlign w:val="center"/>
          </w:tcPr>
          <w:p w14:paraId="68083292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11" w:type="dxa"/>
            <w:vAlign w:val="center"/>
          </w:tcPr>
          <w:p w14:paraId="534525AE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51" w:type="dxa"/>
            <w:vAlign w:val="center"/>
          </w:tcPr>
          <w:p w14:paraId="1A7D9595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51" w:type="dxa"/>
            <w:vAlign w:val="center"/>
          </w:tcPr>
          <w:p w14:paraId="3D40F03F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16" w:type="dxa"/>
            <w:vAlign w:val="center"/>
          </w:tcPr>
          <w:p w14:paraId="6FD13E58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</w:tr>
    </w:tbl>
    <w:p w14:paraId="40E69A3D"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宋体" w:hAnsi="宋体" w:eastAsia="宋体" w:cs="Times New Roman"/>
          <w:sz w:val="32"/>
          <w:szCs w:val="32"/>
        </w:rPr>
      </w:pPr>
    </w:p>
    <w:p w14:paraId="4C3964EF">
      <w:pPr>
        <w:autoSpaceDE w:val="0"/>
        <w:autoSpaceDN w:val="0"/>
        <w:adjustRightInd w:val="0"/>
        <w:spacing w:line="560" w:lineRule="exact"/>
        <w:ind w:left="198" w:firstLine="643" w:firstLineChars="200"/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七、国有资产信息</w:t>
      </w:r>
    </w:p>
    <w:p w14:paraId="23545C6F">
      <w:pPr>
        <w:spacing w:line="560" w:lineRule="exact"/>
        <w:ind w:firstLine="64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06成安县道东堡乡政府</w:t>
      </w:r>
      <w:r>
        <w:rPr>
          <w:rFonts w:hint="eastAsia" w:ascii="仿宋_GB2312" w:hAnsi="黑体" w:eastAsia="仿宋_GB2312" w:cs="仿宋_GB2312"/>
          <w:sz w:val="32"/>
          <w:szCs w:val="32"/>
        </w:rPr>
        <w:t>上年末固定资产金额为185万元，本年度拟购置固定资产主要为计房屋、车辆、算机设备、打印设备、空调、办公家具等，已列入政府采购预算。详见下表。</w:t>
      </w:r>
    </w:p>
    <w:tbl>
      <w:tblPr>
        <w:tblStyle w:val="4"/>
        <w:tblW w:w="906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9"/>
        <w:gridCol w:w="855"/>
        <w:gridCol w:w="4066"/>
      </w:tblGrid>
      <w:tr w14:paraId="4D9A2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E1E03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32"/>
                <w:szCs w:val="32"/>
              </w:rPr>
            </w:pPr>
          </w:p>
          <w:p w14:paraId="49B6A2BE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32"/>
                <w:szCs w:val="32"/>
              </w:rPr>
            </w:pPr>
          </w:p>
          <w:p w14:paraId="260DC190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32"/>
                <w:szCs w:val="32"/>
              </w:rPr>
            </w:pPr>
          </w:p>
          <w:p w14:paraId="776BD3CD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32"/>
                <w:szCs w:val="32"/>
              </w:rPr>
            </w:pPr>
          </w:p>
          <w:p w14:paraId="2C26C1BE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部门固定资产占用情况表</w:t>
            </w:r>
          </w:p>
        </w:tc>
      </w:tr>
      <w:tr w14:paraId="00E74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8BC2C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编制部门：</w:t>
            </w:r>
            <w:r>
              <w:rPr>
                <w:rFonts w:ascii="方正小标宋_GBK" w:eastAsia="方正小标宋_GBK"/>
                <w:sz w:val="24"/>
              </w:rPr>
              <w:t>806</w:t>
            </w:r>
            <w:r>
              <w:rPr>
                <w:rFonts w:hint="eastAsia" w:ascii="方正小标宋_GBK" w:eastAsia="方正小标宋_GBK"/>
                <w:sz w:val="24"/>
              </w:rPr>
              <w:t>成安县道东堡乡政府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EA4CB">
            <w:pPr>
              <w:widowControl/>
              <w:ind w:firstLine="550" w:firstLineChars="25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截止时间：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2016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 xml:space="preserve">  </w:t>
            </w:r>
          </w:p>
        </w:tc>
      </w:tr>
      <w:tr w14:paraId="5889E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68F0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项</w:t>
            </w: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目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1E0F2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4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73DB5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价值（金额单位：万元）</w:t>
            </w:r>
          </w:p>
        </w:tc>
      </w:tr>
      <w:tr w14:paraId="77BF6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0D0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资产总额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0BFE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——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A14A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185</w:t>
            </w:r>
          </w:p>
        </w:tc>
      </w:tr>
      <w:tr w14:paraId="1F6E6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2418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、房屋（平方米）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7313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45AD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120</w:t>
            </w:r>
          </w:p>
        </w:tc>
      </w:tr>
      <w:tr w14:paraId="55BBC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3061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其中：办公用房（平方米）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3878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DA25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 w14:paraId="7F76D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D76C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、车辆（台、辆）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D729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F11B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12</w:t>
            </w:r>
          </w:p>
        </w:tc>
      </w:tr>
      <w:tr w14:paraId="3BC36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3277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、单价在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万元以上的设备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0AD9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EFAB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 w14:paraId="3CB15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0085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、其他固定资产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8FEB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C41C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53</w:t>
            </w:r>
          </w:p>
        </w:tc>
      </w:tr>
    </w:tbl>
    <w:p w14:paraId="7E540E6C">
      <w:pPr>
        <w:autoSpaceDE w:val="0"/>
        <w:autoSpaceDN w:val="0"/>
        <w:adjustRightInd w:val="0"/>
        <w:ind w:left="198"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</w:p>
    <w:p w14:paraId="620AF522">
      <w:pPr>
        <w:widowControl/>
        <w:spacing w:line="360" w:lineRule="auto"/>
        <w:ind w:firstLine="643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八、名词解释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财政拨款收入：指</w:t>
      </w:r>
      <w:r>
        <w:rPr>
          <w:rFonts w:hint="eastAsia" w:ascii="仿宋" w:hAnsi="仿宋" w:eastAsia="仿宋" w:cs="仿宋"/>
          <w:kern w:val="0"/>
          <w:sz w:val="32"/>
          <w:szCs w:val="32"/>
        </w:rPr>
        <w:t>财政当年拨付的资金。2、“三公”经费：包括因公出国（境）费、公务接待费和公务用车购置及运行费。因公出国（境）费，指单位工作人员公务出国（境）的住宿费、差旅费、伙食补助费、杂费、培训费等支出。公务接待费，指单位按规定开支的各类公务接待（含外宾接待）支出。公务用车购置及运行费，指单位公务用车购置费及租用费、燃料费、维修费、等支出，公务用车指用于履行公务的机动车辆，包括领导干部专车、一般公务用车和执法执勤等业务用车。 3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、年初结转和结余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：指以前年度尚未完成，结转到本年仍按照原规定用途继续使用的资金，或项目已完成等产生的结余资金。 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 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4、基本支出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：指单位为了保障其正常运转、完成日常工作任务而发生的人员支出和公用支出。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 5、项目支出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指单位为了特定的工作任务和事业发展目标，在基本支出之外所发生的支出。</w:t>
      </w:r>
    </w:p>
    <w:p w14:paraId="5D31490E">
      <w:pPr>
        <w:autoSpaceDE w:val="0"/>
        <w:autoSpaceDN w:val="0"/>
        <w:adjustRightInd w:val="0"/>
        <w:ind w:left="198"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</w:p>
    <w:p w14:paraId="7E3C25FF">
      <w:pPr>
        <w:tabs>
          <w:tab w:val="left" w:pos="11490"/>
        </w:tabs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九、其它需要说明的事项</w:t>
      </w:r>
    </w:p>
    <w:p w14:paraId="57C39515">
      <w:pPr>
        <w:tabs>
          <w:tab w:val="left" w:pos="11490"/>
        </w:tabs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无其它需要说明的事项。</w:t>
      </w:r>
    </w:p>
    <w:p w14:paraId="3FF3004B">
      <w:pPr>
        <w:spacing w:line="560" w:lineRule="exact"/>
        <w:rPr>
          <w:rFonts w:ascii="仿宋" w:hAnsi="仿宋" w:eastAsia="仿宋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14334">
    <w:pPr>
      <w:pStyle w:val="2"/>
      <w:jc w:val="center"/>
      <w:rPr>
        <w:rFonts w:ascii="仿宋" w:hAnsi="仿宋" w:eastAsia="仿宋" w:cs="Times New Roman"/>
        <w:sz w:val="32"/>
        <w:szCs w:val="32"/>
      </w:rPr>
    </w:pPr>
    <w:r>
      <w:rPr>
        <w:rFonts w:ascii="仿宋" w:hAnsi="仿宋" w:eastAsia="仿宋" w:cs="仿宋"/>
        <w:sz w:val="32"/>
        <w:szCs w:val="32"/>
      </w:rPr>
      <w:fldChar w:fldCharType="begin"/>
    </w:r>
    <w:r>
      <w:rPr>
        <w:rFonts w:ascii="仿宋" w:hAnsi="仿宋" w:eastAsia="仿宋" w:cs="仿宋"/>
        <w:sz w:val="32"/>
        <w:szCs w:val="32"/>
      </w:rPr>
      <w:instrText xml:space="preserve">PAGE   \* MERGEFORMAT</w:instrText>
    </w:r>
    <w:r>
      <w:rPr>
        <w:rFonts w:ascii="仿宋" w:hAnsi="仿宋" w:eastAsia="仿宋" w:cs="仿宋"/>
        <w:sz w:val="32"/>
        <w:szCs w:val="32"/>
      </w:rPr>
      <w:fldChar w:fldCharType="separate"/>
    </w:r>
    <w:r>
      <w:rPr>
        <w:rFonts w:ascii="仿宋" w:hAnsi="仿宋" w:eastAsia="仿宋" w:cs="仿宋"/>
        <w:sz w:val="32"/>
        <w:szCs w:val="32"/>
        <w:lang w:val="zh-CN"/>
      </w:rPr>
      <w:t>1</w:t>
    </w:r>
    <w:r>
      <w:rPr>
        <w:rFonts w:ascii="仿宋" w:hAnsi="仿宋" w:eastAsia="仿宋" w:cs="仿宋"/>
        <w:sz w:val="32"/>
        <w:szCs w:val="32"/>
      </w:rPr>
      <w:fldChar w:fldCharType="end"/>
    </w:r>
  </w:p>
  <w:p w14:paraId="27EBE368">
    <w:pPr>
      <w:pStyle w:val="2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12EC9"/>
    <w:multiLevelType w:val="multilevel"/>
    <w:tmpl w:val="4C912EC9"/>
    <w:lvl w:ilvl="0" w:tentative="0">
      <w:start w:val="5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AAA"/>
    <w:rsid w:val="000A796E"/>
    <w:rsid w:val="00101C7A"/>
    <w:rsid w:val="00131928"/>
    <w:rsid w:val="001A3CB4"/>
    <w:rsid w:val="001E0232"/>
    <w:rsid w:val="00206B22"/>
    <w:rsid w:val="002307B5"/>
    <w:rsid w:val="00251404"/>
    <w:rsid w:val="002C0317"/>
    <w:rsid w:val="00325594"/>
    <w:rsid w:val="0037750D"/>
    <w:rsid w:val="003C4C5D"/>
    <w:rsid w:val="003D1126"/>
    <w:rsid w:val="003D1369"/>
    <w:rsid w:val="003D22B1"/>
    <w:rsid w:val="00453A06"/>
    <w:rsid w:val="00461FE1"/>
    <w:rsid w:val="00524AAA"/>
    <w:rsid w:val="005412A2"/>
    <w:rsid w:val="005730D6"/>
    <w:rsid w:val="005F4345"/>
    <w:rsid w:val="0068144F"/>
    <w:rsid w:val="006861F9"/>
    <w:rsid w:val="00747D9E"/>
    <w:rsid w:val="007775CB"/>
    <w:rsid w:val="007B4EB3"/>
    <w:rsid w:val="007C484E"/>
    <w:rsid w:val="007F0D2E"/>
    <w:rsid w:val="00825F97"/>
    <w:rsid w:val="008327A0"/>
    <w:rsid w:val="00933068"/>
    <w:rsid w:val="00973104"/>
    <w:rsid w:val="00990CB9"/>
    <w:rsid w:val="009B2D48"/>
    <w:rsid w:val="009C264C"/>
    <w:rsid w:val="009F0612"/>
    <w:rsid w:val="00A12AE7"/>
    <w:rsid w:val="00A15ADE"/>
    <w:rsid w:val="00A6455D"/>
    <w:rsid w:val="00A95F51"/>
    <w:rsid w:val="00AC6968"/>
    <w:rsid w:val="00B13EFE"/>
    <w:rsid w:val="00B50088"/>
    <w:rsid w:val="00B500A4"/>
    <w:rsid w:val="00B73D8A"/>
    <w:rsid w:val="00B76C8B"/>
    <w:rsid w:val="00BA40C6"/>
    <w:rsid w:val="00BA6B82"/>
    <w:rsid w:val="00CD0F72"/>
    <w:rsid w:val="00D27A25"/>
    <w:rsid w:val="00D312BA"/>
    <w:rsid w:val="00D73351"/>
    <w:rsid w:val="00E000C9"/>
    <w:rsid w:val="00E24B37"/>
    <w:rsid w:val="00E37F2A"/>
    <w:rsid w:val="00E474B2"/>
    <w:rsid w:val="00E73A93"/>
    <w:rsid w:val="00E87B0C"/>
    <w:rsid w:val="00E91C36"/>
    <w:rsid w:val="00F14752"/>
    <w:rsid w:val="00F311AF"/>
    <w:rsid w:val="00F66032"/>
    <w:rsid w:val="00FB5EA2"/>
    <w:rsid w:val="07133909"/>
    <w:rsid w:val="12675299"/>
    <w:rsid w:val="144174A9"/>
    <w:rsid w:val="15020460"/>
    <w:rsid w:val="160F6540"/>
    <w:rsid w:val="1AC960DE"/>
    <w:rsid w:val="1B366712"/>
    <w:rsid w:val="267A139F"/>
    <w:rsid w:val="274A4314"/>
    <w:rsid w:val="2DCF69C8"/>
    <w:rsid w:val="335F3439"/>
    <w:rsid w:val="375C1BBA"/>
    <w:rsid w:val="3E253BE3"/>
    <w:rsid w:val="40C253A5"/>
    <w:rsid w:val="419432A2"/>
    <w:rsid w:val="42E34125"/>
    <w:rsid w:val="4901112D"/>
    <w:rsid w:val="4B6B7588"/>
    <w:rsid w:val="4D484776"/>
    <w:rsid w:val="5D622EA1"/>
    <w:rsid w:val="61872D80"/>
    <w:rsid w:val="6B862451"/>
    <w:rsid w:val="6C4F2214"/>
    <w:rsid w:val="72B97446"/>
    <w:rsid w:val="73327DD6"/>
    <w:rsid w:val="78BD2504"/>
    <w:rsid w:val="7B17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4602</Words>
  <Characters>4802</Characters>
  <Lines>37</Lines>
  <Paragraphs>10</Paragraphs>
  <TotalTime>11</TotalTime>
  <ScaleCrop>false</ScaleCrop>
  <LinksUpToDate>false</LinksUpToDate>
  <CharactersWithSpaces>4880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2017-11-10T09:22:00Z</dcterms:created>
  <dc:creator>旭东</dc:creator>
  <cp:lastModifiedBy>过客</cp:lastModifiedBy>
  <dcterms:modified xsi:type="dcterms:W3CDTF">2025-10-27T09:22:40Z</dcterms:modified>
  <dc:title>2017年部门预算公开督导整改要求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eyJoZGlkIjoiNjIwNGUwMTkxZWNhOTgzMmFhZGZhODQ0ZmI5NzE2ZDQiLCJ1c2VySWQiOiI2MzM0NDU5NjcifQ==</vt:lpwstr>
  </property>
  <property fmtid="{D5CDD505-2E9C-101B-9397-08002B2CF9AE}" pid="4" name="ICV">
    <vt:lpwstr>9364E37C4F95404EB960169D01B3572F_12</vt:lpwstr>
  </property>
</Properties>
</file>