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1" w:name="_GoBack"/>
      <w:bookmarkEnd w:id="1"/>
      <w:r>
        <w:rPr>
          <w:rFonts w:hint="eastAsia" w:ascii="宋体" w:hAnsi="宋体" w:eastAsia="宋体"/>
          <w:b/>
          <w:sz w:val="44"/>
          <w:szCs w:val="44"/>
        </w:rPr>
        <w:t>成安县漳河店镇人民政府2017年部门预算公开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情况说明</w:t>
      </w:r>
    </w:p>
    <w:p>
      <w:pPr>
        <w:ind w:firstLine="560" w:firstLineChars="175"/>
        <w:rPr>
          <w:rFonts w:ascii="黑体" w:hAnsi="黑体" w:eastAsia="黑体" w:cs="Times New Roman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按照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《中华人民共和国预算法》</w:t>
      </w:r>
      <w:r>
        <w:rPr>
          <w:rFonts w:ascii="仿宋" w:hAnsi="仿宋" w:eastAsia="仿宋" w:cs="仿宋_GB2312"/>
          <w:sz w:val="32"/>
          <w:szCs w:val="32"/>
        </w:rPr>
        <w:t>有关规定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楷体_GB2312"/>
          <w:sz w:val="32"/>
          <w:szCs w:val="32"/>
        </w:rPr>
        <w:t>财政部关于印发《地方预决算公开操作规程》的通知，</w:t>
      </w:r>
      <w:r>
        <w:rPr>
          <w:rFonts w:ascii="仿宋" w:hAnsi="仿宋" w:eastAsia="仿宋" w:cs="仿宋_GB2312"/>
          <w:kern w:val="0"/>
          <w:sz w:val="32"/>
          <w:szCs w:val="32"/>
        </w:rPr>
        <w:t>现将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成安县</w:t>
      </w:r>
      <w:r>
        <w:rPr>
          <w:rFonts w:hint="eastAsia" w:ascii="仿宋" w:hAnsi="仿宋" w:eastAsia="仿宋" w:cs="黑体"/>
          <w:sz w:val="32"/>
          <w:szCs w:val="32"/>
        </w:rPr>
        <w:t>漳河店镇人民政府</w:t>
      </w:r>
      <w:r>
        <w:rPr>
          <w:rFonts w:ascii="仿宋" w:hAnsi="仿宋" w:eastAsia="仿宋" w:cs="仿宋_GB2312"/>
          <w:kern w:val="0"/>
          <w:sz w:val="32"/>
          <w:szCs w:val="32"/>
        </w:rPr>
        <w:t>201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7</w:t>
      </w:r>
      <w:r>
        <w:rPr>
          <w:rFonts w:ascii="仿宋" w:hAnsi="仿宋" w:eastAsia="仿宋" w:cs="仿宋_GB2312"/>
          <w:kern w:val="0"/>
          <w:sz w:val="32"/>
          <w:szCs w:val="32"/>
        </w:rPr>
        <w:t>年部门预算公开如下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</w:p>
    <w:p>
      <w:pPr>
        <w:widowControl/>
        <w:numPr>
          <w:ilvl w:val="0"/>
          <w:numId w:val="1"/>
        </w:numPr>
        <w:spacing w:line="360" w:lineRule="auto"/>
        <w:ind w:firstLine="562" w:firstLineChars="175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部门职责及机构设置情况</w:t>
      </w:r>
    </w:p>
    <w:p>
      <w:pPr>
        <w:widowControl/>
        <w:spacing w:line="360" w:lineRule="auto"/>
        <w:ind w:firstLine="562" w:firstLineChars="175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bidi="ar"/>
        </w:rPr>
        <w:t>主要职责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（一）、宣传、贯彻党的路线、方针、政策和上级党组织的指示、决定，执行镇党员代表大会决议，讨论决定本镇的重大问题。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（二）、抓好自身和所属党组织的思想、组织和作风建设。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（三）、领导镇经济建设，制定本镇经济和社会发展规划并组织实施。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（四）、领导镇社会主义精神文明和民主法制建设。加强农村社会治安综合治理，贯彻执行党和国家的计划生育政策。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（五）、领导并支持镇政府依法行使各项行政管理职权。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（六）、领导人大主席团及经济组织、人民武装和共青团、妇联等人民团体的工作。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（七）、领导上级有关部门派驻镇单位的党的建设，领导、支持　协调上级有关部门派驻镇单位的工作。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（八）、完成上级党组织交办的其他任务。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</w:rPr>
        <w:t>九）、促进经济发展，增加农民收入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（十）、强化公共服务，着力改善民生。</w:t>
      </w:r>
    </w:p>
    <w:p>
      <w:pPr>
        <w:ind w:firstLine="560" w:firstLineChars="17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（十一）、加强社会管理，维护农村稳定。</w:t>
      </w:r>
    </w:p>
    <w:p>
      <w:pPr>
        <w:widowControl/>
        <w:spacing w:line="360" w:lineRule="auto"/>
        <w:ind w:firstLine="560" w:firstLineChars="175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（十二）、推进基层民主，促进农村</w:t>
      </w:r>
    </w:p>
    <w:p>
      <w:pPr>
        <w:widowControl/>
        <w:spacing w:line="360" w:lineRule="auto"/>
        <w:ind w:firstLine="562" w:firstLineChars="175"/>
        <w:jc w:val="left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2.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内设机构</w:t>
      </w:r>
    </w:p>
    <w:p>
      <w:pPr>
        <w:widowControl/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成安县漳河店镇人民政府，预算编码是804002，内设5个内部机构。</w:t>
      </w:r>
    </w:p>
    <w:p>
      <w:pPr>
        <w:widowControl/>
        <w:numPr>
          <w:ilvl w:val="0"/>
          <w:numId w:val="2"/>
        </w:numPr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党政综合办公室</w:t>
      </w:r>
    </w:p>
    <w:p>
      <w:pPr>
        <w:widowControl/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负责承办党委、人大、纪检、组织、宣传、统战、政法、共青团、妇联、武装、农村工作；承办党委交办的其它事项，协调各办公室的工作关系；负责农业生产的指导、管理、协调、服务及社会主义新农村的规划和建设工作；负责政府日常事务和机关后勤工作；承办党委、政府交办的其它事项。</w:t>
      </w:r>
    </w:p>
    <w:p>
      <w:pPr>
        <w:widowControl/>
        <w:tabs>
          <w:tab w:val="center" w:pos="6377"/>
        </w:tabs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2、经济发展办公室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ab/>
      </w:r>
    </w:p>
    <w:p>
      <w:pPr>
        <w:widowControl/>
        <w:spacing w:line="360" w:lineRule="auto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　　主要负责：负责规划、指导、协调和服务乡村企业及个体企业的发展；指导和管理农业综合服务中心工作；协调与经济发展相关的工作；贯彻执行党和国家有关城镇乡村建设、规划工作的方针、政策及法规；研究制定本乡镇辖区内建设各行业的发展规划；起草乡镇建设资金使用计划安排和资金举措、管理工作，负责查处乡镇各类违法占地和违法建设行为。</w:t>
      </w:r>
    </w:p>
    <w:p>
      <w:pPr>
        <w:widowControl/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3、社会事务办公室</w:t>
      </w:r>
    </w:p>
    <w:p>
      <w:pPr>
        <w:widowControl/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主要负责：协调本辖区法庭、公安派出所等执法部门工作；负责司法调解、法律宣传教育、社会治安综合治理、民族宗教、民政、环境保护工作；负责乡村文化广播、卫生院、中小学等事业单位的协调服务工作。</w:t>
      </w:r>
    </w:p>
    <w:p>
      <w:pPr>
        <w:widowControl/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4、计划生育办公室</w:t>
      </w:r>
    </w:p>
    <w:p>
      <w:pPr>
        <w:widowControl/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主要负责：认真贯彻党和国家人口和计划生育方针、政策，贯彻落实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《中华人民共和国人口与计划生育法》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、《河北省人口与计划生育条例》等法律法规。贯彻执行党和国家的计划生育政策，落实人口计划，制定本乡镇的计划生育工作规划。</w:t>
      </w:r>
    </w:p>
    <w:p>
      <w:pPr>
        <w:widowControl/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5、综合治理办公室</w:t>
      </w:r>
    </w:p>
    <w:p>
      <w:pPr>
        <w:widowControl/>
        <w:spacing w:line="360" w:lineRule="auto"/>
        <w:ind w:firstLine="560" w:firstLineChars="175"/>
        <w:jc w:val="left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主要负责：负责贯彻执行上级社会治安综合治理机构的工作部署，制定本辖区社会治安综合治理措施的落实，接受群众来访，解决本辖区内存在的影响社会安定的重大隐患。控制避免集体访、越级访及重大恶性案件发生，协调督促有关部门开展综合工作。及时向乡镇党委、政府和县综治办报告工作、提出工作建议、反馈有关信息和经验。</w:t>
      </w:r>
    </w:p>
    <w:p>
      <w:pPr>
        <w:widowControl/>
        <w:spacing w:line="360" w:lineRule="auto"/>
        <w:ind w:firstLine="562" w:firstLineChars="175"/>
        <w:jc w:val="left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kern w:val="0"/>
          <w:sz w:val="32"/>
          <w:szCs w:val="32"/>
        </w:rPr>
        <w:t>人员编制和领导职数</w:t>
      </w:r>
    </w:p>
    <w:p>
      <w:pPr>
        <w:ind w:firstLine="562" w:firstLineChars="175"/>
      </w:pP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 xml:space="preserve"> 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成安县漳河店镇人民政府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，人员编制69名，其中书记1名、副书记2名（包括乡长）、纪委书记1名、乡长1名、副乡长2名、人大主席1名、人大副主席1名、武装部长1名、组织委员1名、宣传委员1名，机关工勤人员2名。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漳河店镇党委、政府下设4个事业编制：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1财政所（编制4名，其中股级职数2名）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负责编制乡乡财政收支计划，统管乡村财务；负责乡村两级财政性资金使用的监督管理；契税、耕地占用税等财政收入的征收，以及各类涉农财政性补贴资金的发放和管理工作；负责乡分税制和统收统支加激励办法的实施。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2农村综合服务中心（编制18名，其中股级职3数）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负责农业技术推广及病虫害防治、畜牧业发展和防疫工作，抗旱防涝、打井配套及农田水利基本建设工作；编制、等级、填报各种统计报表，制定村集体财政管理制度，负责村集体资产的清查、登记，农村财务管理及审计，农民负担监督管理，农业承包合同的签订及农业服务工作，负责本乡劳动市场的管理，组织好劳务输出工作；开发农村社区就业岗位，组织实施农村社区就业项目；负责退休人员及农村养老保险的社会化管理和服务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3计划生育服务中心（编制16名，其中：股级职数3）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主要职责：加强培训，提高乡村计生人员的政治和业务素质；负责育龄妇女的普查、妇女病防治、计生服务、四术及协会等项工作。</w:t>
      </w:r>
    </w:p>
    <w:p>
      <w:pPr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4文化宣传服务中心（编制3名，其中：股级职数1名)</w:t>
      </w:r>
    </w:p>
    <w:p>
      <w:pPr>
        <w:ind w:firstLine="560" w:firstLineChars="17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主要职责:贯彻执行党和国家关于文化、广播宣传等工作的方针、政策、法规；综合管理文化艺术事业，组织、协调重大文化艺术活动；负责文化市场的监督管理工作</w:t>
      </w:r>
    </w:p>
    <w:p>
      <w:pPr>
        <w:autoSpaceDE w:val="0"/>
        <w:autoSpaceDN w:val="0"/>
        <w:adjustRightInd w:val="0"/>
        <w:ind w:firstLine="562" w:firstLineChars="175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机构设置：</w:t>
      </w:r>
    </w:p>
    <w:p>
      <w:pPr>
        <w:ind w:firstLine="560" w:firstLineChars="175"/>
        <w:jc w:val="center"/>
        <w:outlineLvl w:val="0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4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>
            <w:pPr>
              <w:spacing w:line="300" w:lineRule="exact"/>
              <w:ind w:firstLine="367" w:firstLineChars="175"/>
              <w:jc w:val="center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ind w:firstLine="367" w:firstLineChars="175"/>
              <w:jc w:val="center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ind w:firstLine="367" w:firstLineChars="175"/>
              <w:jc w:val="center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>
            <w:pPr>
              <w:spacing w:line="300" w:lineRule="exact"/>
              <w:ind w:firstLine="367" w:firstLineChars="175"/>
              <w:jc w:val="center"/>
              <w:outlineLvl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17" w:type="dxa"/>
            <w:vAlign w:val="center"/>
          </w:tcPr>
          <w:p>
            <w:pPr>
              <w:tabs>
                <w:tab w:val="center" w:pos="1550"/>
              </w:tabs>
              <w:spacing w:line="300" w:lineRule="exact"/>
              <w:ind w:firstLine="367" w:firstLineChars="175"/>
              <w:jc w:val="center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漳河店镇人民政府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行政事业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正科</w:t>
            </w: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财政拨款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Times New Roman" w:hAnsi="Times New Roman" w:eastAsia="方正书宋_GBK" w:cs="Times New Roman"/>
              </w:rPr>
            </w:pPr>
          </w:p>
        </w:tc>
      </w:tr>
    </w:tbl>
    <w:p>
      <w:pPr>
        <w:spacing w:line="560" w:lineRule="exact"/>
        <w:ind w:firstLine="560" w:firstLineChars="17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二、部门预算安排的总体情况</w:t>
      </w:r>
    </w:p>
    <w:p>
      <w:pPr>
        <w:spacing w:line="560" w:lineRule="exact"/>
        <w:ind w:firstLine="560" w:firstLineChars="17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按照预算管理有关规定，目前我部门预算的编制实行综合预算制度，即全部收入和支出都反映在预算中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spacing w:line="560" w:lineRule="exact"/>
        <w:ind w:firstLine="562" w:firstLineChars="175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>
      <w:pPr>
        <w:spacing w:line="560" w:lineRule="exact"/>
        <w:ind w:firstLine="560" w:firstLineChars="175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年预算收入333.15万元，其中：一般公共预算收入333.15万元，政府性基金收入0万元，国有资本经营收入0万元，事业收入0万元，其他收入0万元。</w:t>
      </w:r>
    </w:p>
    <w:p>
      <w:pPr>
        <w:spacing w:line="560" w:lineRule="exact"/>
        <w:ind w:firstLine="562" w:firstLineChars="175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>
      <w:pPr>
        <w:spacing w:line="560" w:lineRule="exact"/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年支出预算333.15万元，其中基本支出216.77万元，包括人员经费和日常公用经费；项目支出116.39</w:t>
      </w:r>
      <w:r>
        <w:rPr>
          <w:rFonts w:hint="eastAsia" w:ascii="仿宋" w:hAnsi="仿宋" w:eastAsia="仿宋" w:cs="仿宋"/>
          <w:sz w:val="32"/>
          <w:szCs w:val="32"/>
        </w:rPr>
        <w:t>万元，主要为项目经费支出。</w:t>
      </w:r>
    </w:p>
    <w:p>
      <w:pPr>
        <w:spacing w:line="560" w:lineRule="exact"/>
        <w:ind w:firstLine="562" w:firstLineChars="175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>
      <w:pPr>
        <w:spacing w:line="560" w:lineRule="exact"/>
        <w:ind w:firstLine="560" w:firstLineChars="175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年预算收支安排333.15万元，较</w:t>
      </w:r>
      <w:r>
        <w:rPr>
          <w:rFonts w:ascii="宋体" w:hAnsi="宋体" w:eastAsia="宋体" w:cs="Times New Roman"/>
          <w:sz w:val="32"/>
          <w:szCs w:val="32"/>
        </w:rPr>
        <w:t>2016</w:t>
      </w:r>
      <w:r>
        <w:rPr>
          <w:rFonts w:hint="eastAsia" w:ascii="宋体" w:hAnsi="宋体" w:eastAsia="宋体" w:cs="方正仿宋_GBK"/>
          <w:sz w:val="32"/>
          <w:szCs w:val="32"/>
        </w:rPr>
        <w:t>年预算增加114.53万元，其中：基本支出增加36.89万元，主要为增加人员经费支出；项目支出增加77.64万元，主要为项目经费支出。</w:t>
      </w:r>
    </w:p>
    <w:p>
      <w:pPr>
        <w:autoSpaceDE w:val="0"/>
        <w:autoSpaceDN w:val="0"/>
        <w:adjustRightInd w:val="0"/>
        <w:spacing w:line="560" w:lineRule="exact"/>
        <w:ind w:firstLine="560" w:firstLineChars="175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三、机关运行经费安排情况</w:t>
      </w:r>
    </w:p>
    <w:p>
      <w:pPr>
        <w:autoSpaceDE w:val="0"/>
        <w:autoSpaceDN w:val="0"/>
        <w:adjustRightInd w:val="0"/>
        <w:spacing w:line="560" w:lineRule="exact"/>
        <w:ind w:firstLine="560" w:firstLineChars="175"/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机关运行经费共计安排5万元，主要用于办公区的日常维修、办公用房水电费、邮电费、办公用房取暖费、办公用房物业管理费等日常运行支出。</w:t>
      </w:r>
    </w:p>
    <w:p>
      <w:pPr>
        <w:autoSpaceDE w:val="0"/>
        <w:autoSpaceDN w:val="0"/>
        <w:adjustRightInd w:val="0"/>
        <w:spacing w:line="560" w:lineRule="exact"/>
        <w:ind w:firstLine="560" w:firstLineChars="175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四、财政拨款“三公”经费预算情况及增减变化原因</w:t>
      </w:r>
    </w:p>
    <w:p>
      <w:pPr>
        <w:spacing w:line="560" w:lineRule="exact"/>
        <w:ind w:firstLine="560" w:firstLineChars="175"/>
        <w:rPr>
          <w:rFonts w:ascii="宋体" w:hAnsi="宋体" w:eastAsia="宋体" w:cs="方正仿宋_GBK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年，我单位</w:t>
      </w:r>
      <w:r>
        <w:rPr>
          <w:rFonts w:hint="eastAsia" w:ascii="宋体" w:hAnsi="宋体" w:eastAsia="宋体" w:cs="Times New Roman"/>
          <w:sz w:val="32"/>
          <w:szCs w:val="32"/>
        </w:rPr>
        <w:t>“</w:t>
      </w:r>
      <w:r>
        <w:rPr>
          <w:rFonts w:hint="eastAsia" w:ascii="宋体" w:hAnsi="宋体" w:eastAsia="宋体" w:cs="方正仿宋_GBK"/>
          <w:sz w:val="32"/>
          <w:szCs w:val="32"/>
        </w:rPr>
        <w:t>三公</w:t>
      </w:r>
      <w:r>
        <w:rPr>
          <w:rFonts w:hint="eastAsia" w:ascii="宋体" w:hAnsi="宋体" w:eastAsia="宋体" w:cs="Times New Roman"/>
          <w:sz w:val="32"/>
          <w:szCs w:val="32"/>
        </w:rPr>
        <w:t>”</w:t>
      </w:r>
      <w:r>
        <w:rPr>
          <w:rFonts w:hint="eastAsia" w:ascii="宋体" w:hAnsi="宋体" w:eastAsia="宋体" w:cs="方正仿宋_GBK"/>
          <w:sz w:val="32"/>
          <w:szCs w:val="32"/>
        </w:rPr>
        <w:t>经费预算安排7.2万元，其中因公出国（境）费0万元；公务用车购置及运维费7.2万元（其中：公务用车购置费为0万元，公务用车运行费7.2万元</w:t>
      </w:r>
      <w:r>
        <w:rPr>
          <w:rFonts w:ascii="宋体" w:hAnsi="宋体" w:eastAsia="宋体" w:cs="Times New Roman"/>
          <w:sz w:val="32"/>
          <w:szCs w:val="32"/>
        </w:rPr>
        <w:t>)</w:t>
      </w:r>
      <w:r>
        <w:rPr>
          <w:rFonts w:hint="eastAsia" w:ascii="宋体" w:hAnsi="宋体" w:eastAsia="宋体" w:cs="方正仿宋_GBK"/>
          <w:sz w:val="32"/>
          <w:szCs w:val="32"/>
        </w:rPr>
        <w:t>；公务接待费0万元。与</w:t>
      </w:r>
      <w:r>
        <w:rPr>
          <w:rFonts w:ascii="宋体" w:hAnsi="宋体" w:eastAsia="宋体" w:cs="Times New Roman"/>
          <w:sz w:val="32"/>
          <w:szCs w:val="32"/>
        </w:rPr>
        <w:t>2016</w:t>
      </w:r>
      <w:r>
        <w:rPr>
          <w:rFonts w:hint="eastAsia" w:ascii="宋体" w:hAnsi="宋体" w:eastAsia="宋体" w:cs="方正仿宋_GBK"/>
          <w:sz w:val="32"/>
          <w:szCs w:val="32"/>
        </w:rPr>
        <w:t>年持平，无增减变化</w:t>
      </w:r>
    </w:p>
    <w:p>
      <w:pPr>
        <w:spacing w:line="560" w:lineRule="exact"/>
        <w:ind w:firstLine="560" w:firstLineChars="17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五、绩效预算信息</w:t>
      </w:r>
    </w:p>
    <w:tbl>
      <w:tblPr>
        <w:tblStyle w:val="4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促进经济发展、增加农民收入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科学规划乡村发展规划，推动产业结构调整，营造良好的发展环境，加强农村基础设施和新型农村服务体系建设。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科学规划乡村发展规划，推动产业结构调整，营造良好的发展环境，加强农村基础设施和新型农村服务体系建设。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促进经济发展、增加农民收入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科学规划乡村发展规划，推动产业结构调整，营造良好的发展环境，加强农村基础设施和新型农村服务体系建设。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促进经济发展、增加农民收入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促进经济发展、增加农民收入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加强社会管理、维护农村稳定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116.38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加强社会管理、维护农村稳定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116.38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抓好农村思想政治建设和精神文明建设，加强农村教育、卫生、文化、体育、环境保护等社会事业的管理，促进农村经济社会的健康、和谐、可持续发展；加强计划生育管理，确保基本国策各项工作落到实处；加强安全生产管理，做好各项安全生产的监督检查、隐患排查，落实安全生产责任制；加强社会治安综合治理，综合发挥人民调解、行政调解和司法调解的作用，及时化解农村社会矛盾，消除社会不稳定因素；协助司法机关打击各类刑事犯罪活动，妥善处理突发性、群体性事件，确保人民群众生命财产安全；切实解决好农村征地、集体资产管理等方面损坏农民利益的突出问题，确保社会稳定；指导村民自治，积极稳妥有序推进农村新民居建设，促进社会组织健康发展，增强社会自治功能，完善村规民约，深化农村平安创建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加强社会管理、维护农村稳定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加强社会管理、维护农村稳定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环境整治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改善农村居住环境、发展环境，结合农村基础设施建设，改善农村面貌，提升农民生活质量，建设美丽乡村。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改善农村居住环境、发展环境，结合农村基础设施建设，改善农村面貌，提升农民生活质量，建设美丽乡村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环境整治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改善农村居住环境、发展环境，结合农村基础设施建设，改善农村面貌，提升农民生活质量，建设美丽乡村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改善农村环境、提升生活质量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改善农村环境、提升生活质量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防灾减灾救灾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组织协调乡镇级防灾减灾救灾工作。组织核查并统一发布灾情。组织指导救灾捐赠工作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建设完善全镇自然灾害救助应急体系。实施分类救助，保障受灾群众基本生活。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防灾减灾救灾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组织协调乡镇级防灾减灾救灾工作。组织核查并统一发布灾情。组织指导救灾捐赠工作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防灾减灾、保障受灾群众基本生活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防灾减灾、保障受灾群众基本生活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村级财务管理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负责村级财务管理工作。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做到村级收入支出及时准确入账，及时进行财务公开。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368" w:firstLineChars="175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村级财务管理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负责村级财务管理工作，做到村级收入支出及时准确入账，及时进行财务公开。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村级收入支出及时准确入账，及时进行财务公开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村级收入支出及时准确入账，及时进行财务公开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367" w:firstLineChars="175"/>
              <w:jc w:val="center"/>
              <w:rPr>
                <w:rFonts w:ascii="方正书宋_GBK" w:eastAsia="方正书宋_GBK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560" w:firstLineChars="175"/>
        <w:jc w:val="lef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0" w:num="1"/>
          <w:docGrid w:type="lines" w:linePitch="315" w:charSpace="0"/>
        </w:sectPr>
      </w:pPr>
    </w:p>
    <w:p>
      <w:pPr>
        <w:numPr>
          <w:ilvl w:val="0"/>
          <w:numId w:val="3"/>
        </w:numPr>
        <w:spacing w:line="560" w:lineRule="exact"/>
        <w:ind w:firstLine="560" w:firstLineChars="175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政府采购预算情况</w:t>
      </w:r>
      <w:bookmarkStart w:id="0" w:name="_Toc471398468"/>
    </w:p>
    <w:p>
      <w:pPr>
        <w:spacing w:line="560" w:lineRule="exact"/>
        <w:ind w:left="368" w:leftChars="175"/>
        <w:outlineLvl w:val="0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2017</w:t>
      </w:r>
      <w:r>
        <w:rPr>
          <w:rFonts w:hint="eastAsia" w:ascii="宋体" w:hAnsi="宋体" w:eastAsia="宋体" w:cs="方正仿宋_GBK"/>
          <w:sz w:val="32"/>
          <w:szCs w:val="32"/>
        </w:rPr>
        <w:t>年，我单位安排政府采购预算3万元。具体内容见下表。</w:t>
      </w:r>
    </w:p>
    <w:p>
      <w:pPr>
        <w:tabs>
          <w:tab w:val="left" w:pos="3242"/>
          <w:tab w:val="center" w:pos="4762"/>
        </w:tabs>
        <w:spacing w:line="560" w:lineRule="exact"/>
        <w:ind w:firstLine="560" w:firstLineChars="175"/>
        <w:jc w:val="left"/>
        <w:outlineLvl w:val="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ab/>
      </w:r>
      <w:r>
        <w:rPr>
          <w:rFonts w:hint="eastAsia" w:ascii="宋体" w:hAnsi="宋体" w:eastAsia="宋体" w:cs="方正小标宋_GBK"/>
          <w:sz w:val="32"/>
          <w:szCs w:val="32"/>
        </w:rPr>
        <w:tab/>
      </w:r>
      <w:r>
        <w:rPr>
          <w:rFonts w:hint="eastAsia" w:ascii="宋体" w:hAnsi="宋体" w:eastAsia="宋体" w:cs="方正小标宋_GBK"/>
          <w:sz w:val="32"/>
          <w:szCs w:val="32"/>
        </w:rPr>
        <w:t>部门政府采购预算</w:t>
      </w:r>
      <w:bookmarkEnd w:id="0"/>
    </w:p>
    <w:tbl>
      <w:tblPr>
        <w:tblStyle w:val="4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667"/>
        <w:gridCol w:w="431"/>
        <w:gridCol w:w="355"/>
        <w:gridCol w:w="436"/>
        <w:gridCol w:w="832"/>
        <w:gridCol w:w="900"/>
        <w:gridCol w:w="692"/>
        <w:gridCol w:w="562"/>
        <w:gridCol w:w="562"/>
        <w:gridCol w:w="511"/>
        <w:gridCol w:w="551"/>
        <w:gridCol w:w="551"/>
        <w:gridCol w:w="5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11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方正小标宋_GBK" w:eastAsia="方正小标宋_GBK"/>
                <w:sz w:val="24"/>
              </w:rPr>
              <w:t>80</w:t>
            </w:r>
            <w:r>
              <w:rPr>
                <w:rFonts w:hint="eastAsia" w:ascii="方正小标宋_GBK" w:eastAsia="方正小标宋_GBK"/>
                <w:sz w:val="24"/>
              </w:rPr>
              <w:t>4成安县漳河店镇政府</w:t>
            </w:r>
          </w:p>
        </w:tc>
        <w:tc>
          <w:tcPr>
            <w:tcW w:w="394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4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35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43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  <w:r>
              <w:rPr>
                <w:rFonts w:ascii="宋体" w:hAnsi="宋体" w:eastAsia="宋体" w:cs="方正书宋_GBK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 w:cs="方正书宋_GBK"/>
                <w:b/>
                <w:bCs/>
              </w:rPr>
              <w:t>单位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3945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66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43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67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3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2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51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66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ascii="宋体" w:hAnsi="宋体" w:eastAsia="宋体" w:cs="Times New Roman"/>
                <w:b/>
                <w:bCs/>
              </w:rPr>
              <w:fldChar w:fldCharType="begin"/>
            </w:r>
            <w:r>
              <w:rPr>
                <w:rFonts w:ascii="宋体" w:hAnsi="宋体" w:eastAsia="宋体" w:cs="Times New Roman"/>
                <w:b/>
                <w:bCs/>
              </w:rPr>
              <w:instrText xml:space="preserve"> = sum(B6:B10) \* MERGEFORMAT </w:instrText>
            </w:r>
            <w:r>
              <w:rPr>
                <w:rFonts w:ascii="宋体" w:hAnsi="宋体" w:eastAsia="宋体" w:cs="Times New Roman"/>
                <w:b/>
                <w:bCs/>
              </w:rPr>
              <w:fldChar w:fldCharType="separate"/>
            </w:r>
            <w:r>
              <w:rPr>
                <w:rFonts w:ascii="宋体" w:hAnsi="宋体" w:eastAsia="宋体" w:cs="Times New Roman"/>
                <w:b/>
                <w:bCs/>
              </w:rPr>
              <w:t>3</w:t>
            </w:r>
            <w:r>
              <w:rPr>
                <w:rFonts w:ascii="宋体" w:hAnsi="宋体" w:eastAsia="宋体" w:cs="Times New Roman"/>
                <w:b/>
                <w:bCs/>
              </w:rPr>
              <w:fldChar w:fldCharType="end"/>
            </w:r>
          </w:p>
        </w:tc>
        <w:tc>
          <w:tcPr>
            <w:tcW w:w="431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5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83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ascii="宋体" w:hAnsi="宋体" w:eastAsia="宋体" w:cs="Times New Roman"/>
                <w:b/>
                <w:bCs/>
              </w:rPr>
              <w:fldChar w:fldCharType="begin"/>
            </w:r>
            <w:r>
              <w:rPr>
                <w:rFonts w:ascii="宋体" w:hAnsi="宋体" w:eastAsia="宋体" w:cs="Times New Roman"/>
                <w:b/>
                <w:bCs/>
              </w:rPr>
              <w:instrText xml:space="preserve"> = sum(H6:H10) \* MERGEFORMAT </w:instrText>
            </w:r>
            <w:r>
              <w:rPr>
                <w:rFonts w:ascii="宋体" w:hAnsi="宋体" w:eastAsia="宋体" w:cs="Times New Roman"/>
                <w:b/>
                <w:bCs/>
              </w:rPr>
              <w:fldChar w:fldCharType="separate"/>
            </w:r>
            <w:r>
              <w:rPr>
                <w:rFonts w:ascii="宋体" w:hAnsi="宋体" w:eastAsia="宋体" w:cs="Times New Roman"/>
                <w:b/>
                <w:bCs/>
              </w:rPr>
              <w:t>3</w:t>
            </w:r>
            <w:r>
              <w:rPr>
                <w:rFonts w:ascii="宋体" w:hAnsi="宋体" w:eastAsia="宋体" w:cs="Times New Roman"/>
                <w:b/>
                <w:bCs/>
              </w:rPr>
              <w:fldChar w:fldCharType="end"/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</w:rPr>
            </w:pPr>
            <w:r>
              <w:rPr>
                <w:rFonts w:hint="eastAsia" w:ascii="宋体" w:hAnsi="宋体" w:eastAsia="宋体" w:cs="方正书宋_GBK"/>
              </w:rPr>
              <w:t>电脑</w:t>
            </w:r>
          </w:p>
        </w:tc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1.5</w:t>
            </w:r>
          </w:p>
        </w:tc>
        <w:tc>
          <w:tcPr>
            <w:tcW w:w="4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1.5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</w:rPr>
            </w:pPr>
            <w:r>
              <w:rPr>
                <w:rFonts w:hint="eastAsia" w:ascii="宋体" w:hAnsi="宋体" w:eastAsia="宋体" w:cs="方正书宋_GBK"/>
              </w:rPr>
              <w:t>空调</w:t>
            </w:r>
          </w:p>
        </w:tc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4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206"/>
                <w:tab w:val="right" w:pos="936"/>
              </w:tabs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0.25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打印机</w:t>
            </w:r>
          </w:p>
        </w:tc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0.48</w:t>
            </w:r>
          </w:p>
        </w:tc>
        <w:tc>
          <w:tcPr>
            <w:tcW w:w="4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832" w:type="dxa"/>
            <w:vAlign w:val="center"/>
          </w:tcPr>
          <w:p>
            <w:pPr>
              <w:tabs>
                <w:tab w:val="center" w:pos="227"/>
                <w:tab w:val="right" w:pos="576"/>
              </w:tabs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0.16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0.48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办公桌</w:t>
            </w:r>
          </w:p>
        </w:tc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0.27</w:t>
            </w:r>
          </w:p>
        </w:tc>
        <w:tc>
          <w:tcPr>
            <w:tcW w:w="4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套</w:t>
            </w:r>
          </w:p>
        </w:tc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0.09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0.27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装订机</w:t>
            </w:r>
          </w:p>
        </w:tc>
        <w:tc>
          <w:tcPr>
            <w:tcW w:w="6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0.25</w:t>
            </w:r>
          </w:p>
        </w:tc>
        <w:tc>
          <w:tcPr>
            <w:tcW w:w="4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3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台</w:t>
            </w:r>
          </w:p>
        </w:tc>
        <w:tc>
          <w:tcPr>
            <w:tcW w:w="83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0.25</w:t>
            </w:r>
          </w:p>
        </w:tc>
        <w:tc>
          <w:tcPr>
            <w:tcW w:w="6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0.25</w:t>
            </w: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62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51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51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560" w:firstLineChars="175"/>
        <w:jc w:val="left"/>
        <w:rPr>
          <w:rFonts w:ascii="宋体" w:hAnsi="宋体" w:eastAsia="宋体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560" w:firstLineChars="175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七、国有资产信息</w:t>
      </w:r>
    </w:p>
    <w:p>
      <w:pPr>
        <w:spacing w:line="560" w:lineRule="exact"/>
        <w:ind w:firstLine="560" w:firstLineChars="175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部门（含所属单位）上年末固定资产金额为84万元，本年度拟购置固定资产主要为房产、车辆计算机设备、打印设备、空调、办公家具等，已列入政府采购预算。详见下表。</w:t>
      </w:r>
    </w:p>
    <w:tbl>
      <w:tblPr>
        <w:tblStyle w:val="4"/>
        <w:tblW w:w="90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855"/>
        <w:gridCol w:w="4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62" w:firstLineChars="175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tabs>
                <w:tab w:val="left" w:pos="2835"/>
              </w:tabs>
              <w:ind w:firstLine="562" w:firstLineChars="175"/>
              <w:jc w:val="left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</w:rPr>
              <w:tab/>
            </w:r>
          </w:p>
          <w:p>
            <w:pPr>
              <w:widowControl/>
              <w:ind w:firstLine="562" w:firstLineChars="175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562" w:firstLineChars="175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ind w:firstLine="562" w:firstLineChars="175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315" w:firstLineChars="175"/>
              <w:jc w:val="left"/>
              <w:textAlignment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部门编码及名称：[804]成安县漳河店镇政府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385" w:firstLineChars="175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6" w:firstLineChars="175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目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6" w:firstLineChars="175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6" w:firstLineChars="175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——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69"/>
              </w:tabs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、单价在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992"/>
              </w:tabs>
              <w:ind w:firstLine="385" w:firstLineChars="175"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28</w:t>
            </w:r>
          </w:p>
        </w:tc>
      </w:tr>
    </w:tbl>
    <w:p>
      <w:pPr>
        <w:autoSpaceDE w:val="0"/>
        <w:autoSpaceDN w:val="0"/>
        <w:adjustRightInd w:val="0"/>
        <w:ind w:firstLine="560" w:firstLineChars="175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widowControl/>
        <w:spacing w:line="360" w:lineRule="auto"/>
        <w:ind w:firstLine="560" w:firstLineChars="175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八、名词解释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3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年初结转和结余：指以前年度尚未完成，结转到本年仍按照原规定用途继续使用的资金，或项目已完成等产生的结余资金。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 4、基本支出：指单位为了保障其正常运转、完成日常工作任务而发生的人员支出和公用支出。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 5、项目支出：指单</w:t>
      </w:r>
      <w:r>
        <w:rPr>
          <w:rFonts w:hint="eastAsia" w:ascii="仿宋" w:hAnsi="仿宋" w:eastAsia="仿宋" w:cs="仿宋"/>
          <w:kern w:val="0"/>
          <w:sz w:val="32"/>
          <w:szCs w:val="32"/>
        </w:rPr>
        <w:t>位为了特定的工作任务和事业发展目标，在基本支出之外所发生的支出。</w:t>
      </w:r>
    </w:p>
    <w:p>
      <w:pPr>
        <w:tabs>
          <w:tab w:val="left" w:pos="11490"/>
        </w:tabs>
        <w:ind w:firstLine="560" w:firstLineChars="17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九、其它需要说明的事项</w:t>
      </w:r>
    </w:p>
    <w:p>
      <w:pPr>
        <w:tabs>
          <w:tab w:val="left" w:pos="11490"/>
        </w:tabs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无其它需要说明的事项。</w:t>
      </w:r>
    </w:p>
    <w:p>
      <w:pPr>
        <w:tabs>
          <w:tab w:val="left" w:pos="2838"/>
        </w:tabs>
        <w:spacing w:line="560" w:lineRule="exact"/>
        <w:ind w:firstLine="560" w:firstLineChars="1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560" w:lineRule="exact"/>
        <w:ind w:firstLine="560" w:firstLineChars="175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 w:cs="Times New Roman"/>
        <w:sz w:val="32"/>
        <w:szCs w:val="32"/>
      </w:rPr>
    </w:pP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PAGE   \* MERGEFORMAT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1</w:t>
    </w:r>
    <w:r>
      <w:rPr>
        <w:rFonts w:ascii="仿宋" w:hAnsi="仿宋" w:eastAsia="仿宋" w:cs="仿宋"/>
        <w:sz w:val="32"/>
        <w:szCs w:val="32"/>
      </w:rPr>
      <w:fldChar w:fldCharType="end"/>
    </w:r>
  </w:p>
  <w:p>
    <w:pPr>
      <w:pStyle w:val="2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CCB38"/>
    <w:multiLevelType w:val="singleLevel"/>
    <w:tmpl w:val="58BCCB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07FE63"/>
    <w:multiLevelType w:val="singleLevel"/>
    <w:tmpl w:val="5A07FE63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07FFB0"/>
    <w:multiLevelType w:val="singleLevel"/>
    <w:tmpl w:val="5A07FFB0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AAA"/>
    <w:rsid w:val="000A796E"/>
    <w:rsid w:val="00101C7A"/>
    <w:rsid w:val="00131928"/>
    <w:rsid w:val="00131A60"/>
    <w:rsid w:val="001A3CB4"/>
    <w:rsid w:val="001E0232"/>
    <w:rsid w:val="00206B22"/>
    <w:rsid w:val="002307B5"/>
    <w:rsid w:val="002C0317"/>
    <w:rsid w:val="002D7568"/>
    <w:rsid w:val="00325594"/>
    <w:rsid w:val="0037750D"/>
    <w:rsid w:val="003C4C5D"/>
    <w:rsid w:val="003D1126"/>
    <w:rsid w:val="003D1369"/>
    <w:rsid w:val="003D22B1"/>
    <w:rsid w:val="00453A06"/>
    <w:rsid w:val="004B5909"/>
    <w:rsid w:val="00524AAA"/>
    <w:rsid w:val="005412A2"/>
    <w:rsid w:val="005730D6"/>
    <w:rsid w:val="005C7570"/>
    <w:rsid w:val="005F4345"/>
    <w:rsid w:val="0068144F"/>
    <w:rsid w:val="00747D9E"/>
    <w:rsid w:val="007775CB"/>
    <w:rsid w:val="007B4EB3"/>
    <w:rsid w:val="007C484E"/>
    <w:rsid w:val="007F0D2E"/>
    <w:rsid w:val="00825F97"/>
    <w:rsid w:val="008327A0"/>
    <w:rsid w:val="00933068"/>
    <w:rsid w:val="00973104"/>
    <w:rsid w:val="00990CB9"/>
    <w:rsid w:val="009B2D48"/>
    <w:rsid w:val="009C264C"/>
    <w:rsid w:val="009F0612"/>
    <w:rsid w:val="00A12AE7"/>
    <w:rsid w:val="00A15ADE"/>
    <w:rsid w:val="00A6455D"/>
    <w:rsid w:val="00A64DED"/>
    <w:rsid w:val="00A95F51"/>
    <w:rsid w:val="00AC6968"/>
    <w:rsid w:val="00B13EFE"/>
    <w:rsid w:val="00B50088"/>
    <w:rsid w:val="00B500A4"/>
    <w:rsid w:val="00BA40C6"/>
    <w:rsid w:val="00BA6B82"/>
    <w:rsid w:val="00BB3047"/>
    <w:rsid w:val="00CD0F72"/>
    <w:rsid w:val="00D27A25"/>
    <w:rsid w:val="00D312BA"/>
    <w:rsid w:val="00D73351"/>
    <w:rsid w:val="00E000C9"/>
    <w:rsid w:val="00E24B37"/>
    <w:rsid w:val="00E474B2"/>
    <w:rsid w:val="00E87B0C"/>
    <w:rsid w:val="00E91C36"/>
    <w:rsid w:val="00E97F0F"/>
    <w:rsid w:val="00F14752"/>
    <w:rsid w:val="00F311AF"/>
    <w:rsid w:val="00F66032"/>
    <w:rsid w:val="00FB5EA2"/>
    <w:rsid w:val="00FF54CA"/>
    <w:rsid w:val="0C37096E"/>
    <w:rsid w:val="113C26B4"/>
    <w:rsid w:val="13D30805"/>
    <w:rsid w:val="19B817FF"/>
    <w:rsid w:val="1A7F52D4"/>
    <w:rsid w:val="1AC15BE3"/>
    <w:rsid w:val="1C072733"/>
    <w:rsid w:val="338A05DA"/>
    <w:rsid w:val="3EC60462"/>
    <w:rsid w:val="43DD433D"/>
    <w:rsid w:val="49B225D5"/>
    <w:rsid w:val="553A75AA"/>
    <w:rsid w:val="5AAD3B5C"/>
    <w:rsid w:val="5FC73610"/>
    <w:rsid w:val="60CC543C"/>
    <w:rsid w:val="6D8B70D2"/>
    <w:rsid w:val="75206816"/>
    <w:rsid w:val="77CA4B0B"/>
    <w:rsid w:val="77E66C1E"/>
    <w:rsid w:val="D77E8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815</Words>
  <Characters>4651</Characters>
  <Lines>38</Lines>
  <Paragraphs>10</Paragraphs>
  <TotalTime>7</TotalTime>
  <ScaleCrop>false</ScaleCrop>
  <LinksUpToDate>false</LinksUpToDate>
  <CharactersWithSpaces>5456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2017-11-10T17:22:00Z</dcterms:created>
  <dc:creator>旭东</dc:creator>
  <cp:lastModifiedBy>阳光点点</cp:lastModifiedBy>
  <dcterms:modified xsi:type="dcterms:W3CDTF">2025-10-28T15:36:10Z</dcterms:modified>
  <dc:title>2017年部门预算公开督导整改要求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622438CDD6988B4C6A7200698BC747F3</vt:lpwstr>
  </property>
</Properties>
</file>