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ascii="方正小标宋_GBK" w:eastAsia="方正小标宋_GBK"/>
          <w:sz w:val="52"/>
        </w:rPr>
        <w:t xml:space="preserve"> </w:t>
      </w:r>
    </w:p>
    <w:p>
      <w:pPr>
        <w:jc w:val="center"/>
        <w:rPr>
          <w:rFonts w:cs="仿宋_GB2312" w:asciiTheme="majorEastAsia" w:hAnsiTheme="majorEastAsia" w:eastAsiaTheme="majorEastAsia"/>
          <w:b/>
          <w:sz w:val="44"/>
          <w:szCs w:val="44"/>
        </w:rPr>
      </w:pPr>
      <w:r>
        <w:rPr>
          <w:rFonts w:hint="eastAsia" w:cs="仿宋_GB2312" w:asciiTheme="majorEastAsia" w:hAnsiTheme="majorEastAsia" w:eastAsiaTheme="majorEastAsia"/>
          <w:b/>
          <w:sz w:val="44"/>
          <w:szCs w:val="44"/>
        </w:rPr>
        <w:t>成安县城区管理综合执法局2017年部门预算公开情况说明</w:t>
      </w:r>
    </w:p>
    <w:p>
      <w:pPr>
        <w:ind w:firstLine="600" w:firstLineChars="200"/>
        <w:rPr>
          <w:rFonts w:ascii="仿宋_GB2312" w:hAnsi="仿宋_GB2312" w:eastAsia="仿宋_GB2312" w:cs="仿宋_GB2312"/>
          <w:sz w:val="30"/>
          <w:szCs w:val="30"/>
        </w:rPr>
      </w:pPr>
    </w:p>
    <w:p>
      <w:pPr>
        <w:widowControl/>
        <w:spacing w:line="360" w:lineRule="auto"/>
        <w:ind w:left="640" w:leftChars="305" w:firstLine="640" w:firstLineChars="200"/>
        <w:jc w:val="left"/>
        <w:rPr>
          <w:rFonts w:ascii="仿宋" w:hAnsi="仿宋" w:eastAsia="仿宋" w:cs="仿宋"/>
          <w:bCs/>
          <w:kern w:val="0"/>
          <w:sz w:val="32"/>
          <w:szCs w:val="32"/>
        </w:rPr>
      </w:pPr>
      <w:r>
        <w:rPr>
          <w:rFonts w:hint="eastAsia" w:ascii="仿宋" w:hAnsi="仿宋" w:eastAsia="仿宋" w:cs="仿宋"/>
          <w:bCs/>
          <w:sz w:val="32"/>
          <w:szCs w:val="32"/>
        </w:rPr>
        <w:t>按照《中华人民共和国预算法》有关规定和财政部关于印发《地方预决算公开操作规程》的通知，</w:t>
      </w:r>
      <w:r>
        <w:rPr>
          <w:rFonts w:hint="eastAsia" w:ascii="仿宋" w:hAnsi="仿宋" w:eastAsia="仿宋" w:cs="仿宋"/>
          <w:bCs/>
          <w:kern w:val="0"/>
          <w:sz w:val="32"/>
          <w:szCs w:val="32"/>
        </w:rPr>
        <w:t>现将成安县城区管理综合执法局2017年部门预算公开如下：</w:t>
      </w:r>
    </w:p>
    <w:p>
      <w:pPr>
        <w:widowControl/>
        <w:spacing w:line="360" w:lineRule="auto"/>
        <w:jc w:val="left"/>
        <w:rPr>
          <w:rFonts w:ascii="黑体" w:hAnsi="黑体" w:eastAsia="黑体" w:cs="Calibri"/>
          <w:kern w:val="0"/>
          <w:sz w:val="32"/>
          <w:szCs w:val="32"/>
          <w:lang w:bidi="ar"/>
        </w:rPr>
      </w:pPr>
      <w:r>
        <w:rPr>
          <w:rFonts w:hint="eastAsia" w:ascii="黑体" w:hAnsi="黑体" w:eastAsia="黑体" w:cs="Calibri"/>
          <w:kern w:val="0"/>
          <w:sz w:val="32"/>
          <w:szCs w:val="32"/>
          <w:lang w:bidi="ar"/>
        </w:rPr>
        <w:t>　　一、部门职责及机构设置情况</w:t>
      </w:r>
    </w:p>
    <w:p>
      <w:pPr>
        <w:pStyle w:val="10"/>
        <w:ind w:firstLine="643"/>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职责权限。</w:t>
      </w:r>
      <w:r>
        <w:rPr>
          <w:rFonts w:hint="eastAsia" w:ascii="仿宋_GB2312" w:hAnsi="仿宋_GB2312" w:eastAsia="仿宋_GB2312" w:cs="仿宋_GB2312"/>
          <w:sz w:val="32"/>
          <w:szCs w:val="32"/>
        </w:rPr>
        <w:t>现有行政许可事项7项，行政处罚63项，行政事业收费4项。</w:t>
      </w:r>
    </w:p>
    <w:p>
      <w:pPr>
        <w:pStyle w:val="10"/>
        <w:spacing w:line="62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（一）．市容环境卫生管理方面的法律、法规、规章规定的行政处罚权；</w:t>
      </w:r>
    </w:p>
    <w:p>
      <w:pPr>
        <w:pStyle w:val="10"/>
        <w:spacing w:line="62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（二）．城市绿化管理方面的法律、法规、规章规定的未经同意擅自占用城市绿化用地，砍伐、破坏；</w:t>
      </w:r>
    </w:p>
    <w:p>
      <w:pPr>
        <w:pStyle w:val="10"/>
        <w:spacing w:line="62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三）．市政公用管理方面法律、法规、城市树木，擅自在城市公共绿地内开设商业、服务摊点的行政处罚权规章规定的未按照批准的位置、面积、期限占用或挖掘城市道路，或需要移动位置、扩大面积未提前变更审批手续，损害、侵占城市道路，擅自架设通讯线缆或依附于路灯杆、电杆、通讯杆安装其它设施的行政处罚权；</w:t>
      </w:r>
    </w:p>
    <w:p>
      <w:pPr>
        <w:pStyle w:val="10"/>
        <w:tabs>
          <w:tab w:val="left" w:pos="0"/>
        </w:tabs>
        <w:spacing w:line="620" w:lineRule="exact"/>
        <w:ind w:firstLine="0" w:firstLineChars="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 xml:space="preserve">  （四）．环境保护管理方面法律、法规、规章规定的：</w:t>
      </w:r>
    </w:p>
    <w:p>
      <w:pPr>
        <w:pStyle w:val="10"/>
        <w:spacing w:line="620" w:lineRule="exact"/>
        <w:ind w:firstLine="640"/>
        <w:rPr>
          <w:rFonts w:ascii="仿宋_GB2312" w:eastAsia="仿宋_GB2312" w:cs="仿宋_GB2312"/>
          <w:sz w:val="32"/>
          <w:szCs w:val="32"/>
        </w:rPr>
      </w:pPr>
      <w:r>
        <w:rPr>
          <w:rFonts w:hint="eastAsia" w:ascii="仿宋_GB2312" w:hAnsi="Times New Roman" w:eastAsia="仿宋_GB2312" w:cs="仿宋_GB2312"/>
          <w:sz w:val="32"/>
          <w:szCs w:val="32"/>
        </w:rPr>
        <w:t>1、在人口集中地区和其他依法需要特殊保护的区域内，焚烧沥青、油毡、橡胶、塑料、皮革、垃圾以及其他产生有毒有害烟尘和恶臭气体的物质的行政处罚权；</w:t>
      </w:r>
    </w:p>
    <w:p>
      <w:pPr>
        <w:pStyle w:val="10"/>
        <w:spacing w:line="620" w:lineRule="exact"/>
        <w:ind w:firstLine="640"/>
        <w:rPr>
          <w:rFonts w:ascii="仿宋_GB2312" w:eastAsia="仿宋_GB2312" w:cs="仿宋_GB2312"/>
          <w:sz w:val="32"/>
          <w:szCs w:val="32"/>
        </w:rPr>
      </w:pPr>
      <w:r>
        <w:rPr>
          <w:rFonts w:hint="eastAsia" w:ascii="仿宋_GB2312" w:hAnsi="Times New Roman" w:eastAsia="仿宋_GB2312" w:cs="仿宋_GB2312"/>
          <w:sz w:val="32"/>
          <w:szCs w:val="32"/>
        </w:rPr>
        <w:t>2、对未采取防燃、防尘措施，在城市人口集中地区存放煤炭、煤矸石、煤渣、煤灰、砂石、灰土等物料的行政处罚权；</w:t>
      </w:r>
    </w:p>
    <w:p>
      <w:pPr>
        <w:pStyle w:val="10"/>
        <w:spacing w:line="620" w:lineRule="exact"/>
        <w:ind w:firstLine="640"/>
        <w:rPr>
          <w:rFonts w:ascii="仿宋_GB2312" w:eastAsia="仿宋_GB2312" w:cs="仿宋_GB2312"/>
          <w:sz w:val="32"/>
          <w:szCs w:val="32"/>
        </w:rPr>
      </w:pPr>
      <w:r>
        <w:rPr>
          <w:rFonts w:hint="eastAsia" w:ascii="仿宋_GB2312" w:hAnsi="Times New Roman" w:eastAsia="仿宋_GB2312" w:cs="仿宋_GB2312"/>
          <w:sz w:val="32"/>
          <w:szCs w:val="32"/>
        </w:rPr>
        <w:t>3、对未采取密闭措施或者其他防护措施，运输、装卸或者储存能够散发有毒有害气体或者粉尘物质，造成城市大气污染的；</w:t>
      </w:r>
    </w:p>
    <w:p>
      <w:pPr>
        <w:pStyle w:val="10"/>
        <w:tabs>
          <w:tab w:val="left" w:pos="566"/>
        </w:tabs>
        <w:snapToGrid w:val="0"/>
        <w:spacing w:line="620" w:lineRule="exact"/>
        <w:ind w:firstLine="640"/>
        <w:textAlignment w:val="baseline"/>
        <w:rPr>
          <w:sz w:val="32"/>
          <w:szCs w:val="32"/>
        </w:rPr>
      </w:pPr>
      <w:r>
        <w:rPr>
          <w:rFonts w:hint="eastAsia" w:ascii="仿宋_GB2312" w:hAnsi="Times New Roman" w:eastAsia="仿宋_GB2312" w:cs="仿宋_GB2312"/>
          <w:sz w:val="32"/>
          <w:szCs w:val="32"/>
        </w:rPr>
        <w:t>4、在人口集中地区从事经营性露天喷漆、喷涂、喷砂制作玻</w:t>
      </w:r>
      <w:r>
        <w:rPr>
          <w:rFonts w:hint="eastAsia" w:ascii="仿宋_GB2312" w:hAnsi="Times New Roman" w:eastAsia="仿宋_GB2312" w:cs="仿宋_GB2312"/>
          <w:spacing w:val="-12"/>
          <w:sz w:val="32"/>
          <w:szCs w:val="32"/>
        </w:rPr>
        <w:t>璃和机动车摩擦片以及其他散发有毒有害气体作业的行政处罚权；</w:t>
      </w:r>
    </w:p>
    <w:p>
      <w:pPr>
        <w:pStyle w:val="10"/>
        <w:tabs>
          <w:tab w:val="left" w:pos="566"/>
        </w:tabs>
        <w:snapToGrid w:val="0"/>
        <w:spacing w:line="620" w:lineRule="exact"/>
        <w:ind w:firstLine="739" w:firstLineChars="231"/>
        <w:textAlignment w:val="baseline"/>
        <w:rPr>
          <w:sz w:val="32"/>
          <w:szCs w:val="32"/>
        </w:rPr>
      </w:pPr>
      <w:r>
        <w:rPr>
          <w:rFonts w:hint="eastAsia" w:ascii="仿宋_GB2312" w:hAnsi="Times New Roman" w:eastAsia="仿宋_GB2312" w:cs="仿宋_GB2312"/>
          <w:sz w:val="32"/>
          <w:szCs w:val="32"/>
        </w:rPr>
        <w:t>5.在城市市区噪声敏感建筑物集中区域内从事产生噪声污染的活动或者因特殊需要必须连续作业而未经审批的行政处罚权。</w:t>
      </w:r>
    </w:p>
    <w:p>
      <w:pPr>
        <w:pStyle w:val="10"/>
        <w:tabs>
          <w:tab w:val="left" w:pos="566"/>
        </w:tabs>
        <w:snapToGrid w:val="0"/>
        <w:spacing w:line="620" w:lineRule="exact"/>
        <w:ind w:firstLine="320" w:firstLineChars="100"/>
        <w:textAlignment w:val="baseline"/>
        <w:rPr>
          <w:sz w:val="32"/>
          <w:szCs w:val="32"/>
        </w:rPr>
      </w:pPr>
      <w:r>
        <w:rPr>
          <w:rFonts w:hint="eastAsia" w:ascii="仿宋_GB2312" w:hAnsi="仿宋_GB2312" w:eastAsia="仿宋_GB2312" w:cs="仿宋_GB2312"/>
          <w:sz w:val="32"/>
          <w:szCs w:val="32"/>
        </w:rPr>
        <w:t>（五）工商行政管理方面法律、法规、规章规定的在城市道路、公园、广场等公共场所，对无照商贩和违反规定随意摆摊设点行为的行政处罚权；</w:t>
      </w:r>
    </w:p>
    <w:p>
      <w:pPr>
        <w:pStyle w:val="10"/>
        <w:spacing w:line="62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（六）公安交通管理方面法律、法规、规章规定的：</w:t>
      </w:r>
    </w:p>
    <w:p>
      <w:pPr>
        <w:pStyle w:val="10"/>
        <w:spacing w:line="62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1、关于非机动车辆和机动车辆违反规定停放行为的拖车权、行政处罚权；</w:t>
      </w:r>
    </w:p>
    <w:p>
      <w:pPr>
        <w:pStyle w:val="10"/>
        <w:spacing w:line="62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2、对临时停车点的设置权、管理权；</w:t>
      </w:r>
    </w:p>
    <w:p>
      <w:pPr>
        <w:pStyle w:val="10"/>
        <w:tabs>
          <w:tab w:val="left" w:pos="566"/>
        </w:tabs>
        <w:snapToGrid w:val="0"/>
        <w:spacing w:line="620" w:lineRule="exact"/>
        <w:ind w:firstLine="0" w:firstLineChars="0"/>
        <w:textAlignment w:val="baseline"/>
        <w:rPr>
          <w:sz w:val="32"/>
          <w:szCs w:val="32"/>
        </w:rPr>
      </w:pPr>
      <w:r>
        <w:rPr>
          <w:rFonts w:hint="eastAsia" w:ascii="仿宋_GB2312" w:hAnsi="Times New Roman" w:eastAsia="仿宋_GB2312" w:cs="仿宋_GB2312"/>
          <w:sz w:val="32"/>
          <w:szCs w:val="32"/>
        </w:rPr>
        <w:t>3、在城市市区街道、广场、公园等公共场所组织娱乐、集会等活动，使用音响器材，产生干扰周围生活环境的过大音量的行政处罚权；</w:t>
      </w:r>
    </w:p>
    <w:p>
      <w:pPr>
        <w:pStyle w:val="10"/>
        <w:spacing w:line="620" w:lineRule="exact"/>
        <w:ind w:firstLine="0" w:firstLineChars="0"/>
        <w:rPr>
          <w:rFonts w:ascii="仿宋_GB2312" w:hAnsi="仿宋_GB2312" w:eastAsia="仿宋_GB2312" w:cs="仿宋_GB2312"/>
          <w:sz w:val="32"/>
          <w:szCs w:val="32"/>
        </w:rPr>
      </w:pPr>
      <w:r>
        <w:rPr>
          <w:rFonts w:hint="eastAsia" w:ascii="仿宋_GB2312" w:hAnsi="Times New Roman" w:eastAsia="仿宋_GB2312" w:cs="仿宋_GB2312"/>
          <w:sz w:val="32"/>
          <w:szCs w:val="32"/>
        </w:rPr>
        <w:t>4、在商业经营活动中使用高音广播喇叭或者采用其他发出高噪声的方法招揽顾客的行政处罚权。</w:t>
      </w:r>
    </w:p>
    <w:p>
      <w:pPr>
        <w:widowControl/>
        <w:spacing w:line="360" w:lineRule="auto"/>
        <w:ind w:firstLine="161" w:firstLineChars="50"/>
        <w:jc w:val="left"/>
        <w:rPr>
          <w:rFonts w:ascii="Calibri" w:hAnsi="Calibri" w:eastAsia="仿宋_GB2312" w:cs="Calibri"/>
          <w:b/>
          <w:kern w:val="0"/>
          <w:sz w:val="32"/>
          <w:szCs w:val="32"/>
        </w:rPr>
      </w:pPr>
      <w:r>
        <w:rPr>
          <w:rFonts w:hint="eastAsia" w:ascii="Calibri" w:hAnsi="Calibri" w:eastAsia="仿宋_GB2312" w:cs="Calibri"/>
          <w:b/>
          <w:kern w:val="0"/>
          <w:sz w:val="32"/>
          <w:szCs w:val="32"/>
        </w:rPr>
        <w:t>内设</w:t>
      </w:r>
      <w:r>
        <w:rPr>
          <w:rFonts w:ascii="Calibri" w:hAnsi="Calibri" w:eastAsia="仿宋_GB2312" w:cs="Calibri"/>
          <w:b/>
          <w:kern w:val="0"/>
          <w:sz w:val="32"/>
          <w:szCs w:val="32"/>
        </w:rPr>
        <w:t>机构</w:t>
      </w:r>
      <w:r>
        <w:rPr>
          <w:rFonts w:hint="eastAsia" w:ascii="Calibri" w:hAnsi="Calibri" w:eastAsia="仿宋_GB2312" w:cs="Calibri"/>
          <w:b/>
          <w:kern w:val="0"/>
          <w:sz w:val="32"/>
          <w:szCs w:val="32"/>
        </w:rPr>
        <w:t>及职责</w:t>
      </w:r>
    </w:p>
    <w:p>
      <w:pPr>
        <w:jc w:val="center"/>
        <w:outlineLvl w:val="0"/>
        <w:rPr>
          <w:rFonts w:ascii="Times New Roman" w:hAnsi="Times New Roman" w:eastAsia="方正小标宋_GBK" w:cs="Times New Roman"/>
          <w:sz w:val="32"/>
          <w:szCs w:val="32"/>
        </w:rPr>
      </w:pPr>
      <w:r>
        <w:rPr>
          <w:rFonts w:hint="eastAsia" w:ascii="宋体" w:hAnsi="宋体" w:eastAsia="宋体" w:cs="宋体"/>
          <w:sz w:val="32"/>
          <w:szCs w:val="32"/>
        </w:rPr>
        <w:t xml:space="preserve">              </w:t>
      </w:r>
      <w:r>
        <w:rPr>
          <w:rFonts w:hint="eastAsia" w:ascii="仿宋" w:hAnsi="仿宋" w:eastAsia="仿宋" w:cs="宋体"/>
          <w:b/>
          <w:sz w:val="32"/>
          <w:szCs w:val="32"/>
        </w:rPr>
        <w:t>部门机构设置情况</w:t>
      </w:r>
      <w:r>
        <w:rPr>
          <w:rFonts w:hint="eastAsia" w:ascii="Times New Roman" w:hAnsi="Times New Roman" w:eastAsia="方正小标宋_GBK" w:cs="方正小标宋_GBK"/>
          <w:sz w:val="32"/>
          <w:szCs w:val="32"/>
        </w:rPr>
        <w:t>部门机构设置情况</w:t>
      </w:r>
    </w:p>
    <w:tbl>
      <w:tblPr>
        <w:tblStyle w:val="6"/>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97"/>
        <w:gridCol w:w="1554"/>
        <w:gridCol w:w="1565"/>
        <w:gridCol w:w="26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2897" w:type="dxa"/>
            <w:vMerge w:val="restart"/>
            <w:vAlign w:val="center"/>
          </w:tcPr>
          <w:p>
            <w:pPr>
              <w:spacing w:line="300" w:lineRule="exact"/>
              <w:jc w:val="left"/>
              <w:rPr>
                <w:rFonts w:ascii="Times New Roman" w:hAnsi="Times New Roman" w:eastAsia="方正书宋_GBK" w:cs="Times New Roman"/>
                <w:b/>
                <w:bCs/>
                <w:color w:val="000000" w:themeColor="text1"/>
                <w:u w:val="single" w:color="FFFFFF" w:themeColor="background1"/>
                <w14:textFill>
                  <w14:solidFill>
                    <w14:schemeClr w14:val="tx1"/>
                  </w14:solidFill>
                </w14:textFill>
              </w:rPr>
            </w:pPr>
            <w:r>
              <w:rPr>
                <w:rFonts w:hint="eastAsia" w:ascii="Times New Roman" w:hAnsi="Times New Roman" w:eastAsia="方正书宋_GBK" w:cs="方正书宋_GBK"/>
                <w:b/>
                <w:bCs/>
                <w:color w:val="000000" w:themeColor="text1"/>
                <w:u w:val="single" w:color="FFFFFF" w:themeColor="background1"/>
                <w14:textFill>
                  <w14:solidFill>
                    <w14:schemeClr w14:val="tx1"/>
                  </w14:solidFill>
                </w14:textFill>
              </w:rPr>
              <w:t>单位</w:t>
            </w:r>
            <w:r>
              <w:rPr>
                <w:rFonts w:hint="eastAsia" w:ascii="宋体" w:hAnsi="宋体" w:eastAsia="宋体" w:cs="宋体"/>
                <w:b/>
                <w:bCs/>
                <w:color w:val="000000" w:themeColor="text1"/>
                <w:u w:val="single" w:color="FFFFFF" w:themeColor="background1"/>
                <w14:textFill>
                  <w14:solidFill>
                    <w14:schemeClr w14:val="tx1"/>
                  </w14:solidFill>
                </w14:textFill>
              </w:rPr>
              <w:t>单位名称</w:t>
            </w:r>
            <w:r>
              <w:rPr>
                <w:rFonts w:hint="eastAsia" w:ascii="Times New Roman" w:hAnsi="Times New Roman" w:eastAsia="方正书宋_GBK" w:cs="方正书宋_GBK"/>
                <w:b/>
                <w:bCs/>
                <w:color w:val="000000" w:themeColor="text1"/>
                <w:u w:val="single" w:color="FFFFFF" w:themeColor="background1"/>
                <w14:textFill>
                  <w14:solidFill>
                    <w14:schemeClr w14:val="tx1"/>
                  </w14:solidFill>
                </w14:textFill>
              </w:rPr>
              <w:t>名称</w:t>
            </w:r>
          </w:p>
        </w:tc>
        <w:tc>
          <w:tcPr>
            <w:tcW w:w="1554" w:type="dxa"/>
            <w:vMerge w:val="restart"/>
            <w:vAlign w:val="center"/>
          </w:tcPr>
          <w:p>
            <w:pPr>
              <w:spacing w:line="300" w:lineRule="exact"/>
              <w:jc w:val="center"/>
              <w:rPr>
                <w:rFonts w:ascii="Times New Roman" w:hAnsi="Times New Roman" w:eastAsia="方正书宋_GBK" w:cs="Times New Roman"/>
                <w:b/>
                <w:bCs/>
                <w:color w:val="000000" w:themeColor="text1"/>
                <w:u w:val="single" w:color="FFFFFF" w:themeColor="background1"/>
                <w14:textFill>
                  <w14:solidFill>
                    <w14:schemeClr w14:val="tx1"/>
                  </w14:solidFill>
                </w14:textFill>
              </w:rPr>
            </w:pPr>
            <w:r>
              <w:rPr>
                <w:rFonts w:hint="eastAsia" w:ascii="Times New Roman" w:hAnsi="Times New Roman" w:eastAsia="方正书宋_GBK" w:cs="方正书宋_GBK"/>
                <w:b/>
                <w:bCs/>
                <w:color w:val="000000" w:themeColor="text1"/>
                <w:u w:val="single" w:color="FFFFFF" w:themeColor="background1"/>
                <w14:textFill>
                  <w14:solidFill>
                    <w14:schemeClr w14:val="tx1"/>
                  </w14:solidFill>
                </w14:textFill>
              </w:rPr>
              <w:t>单位</w:t>
            </w:r>
            <w:r>
              <w:rPr>
                <w:rFonts w:hint="eastAsia" w:ascii="宋体" w:hAnsi="宋体" w:eastAsia="宋体" w:cs="宋体"/>
                <w:b/>
                <w:bCs/>
                <w:color w:val="000000" w:themeColor="text1"/>
                <w:u w:val="single" w:color="FFFFFF" w:themeColor="background1"/>
                <w14:textFill>
                  <w14:solidFill>
                    <w14:schemeClr w14:val="tx1"/>
                  </w14:solidFill>
                </w14:textFill>
              </w:rPr>
              <w:t>单位性质</w:t>
            </w:r>
            <w:r>
              <w:rPr>
                <w:rFonts w:hint="eastAsia" w:ascii="Times New Roman" w:hAnsi="Times New Roman" w:eastAsia="方正书宋_GBK" w:cs="方正书宋_GBK"/>
                <w:b/>
                <w:bCs/>
                <w:color w:val="000000" w:themeColor="text1"/>
                <w:u w:val="single" w:color="FFFFFF" w:themeColor="background1"/>
                <w14:textFill>
                  <w14:solidFill>
                    <w14:schemeClr w14:val="tx1"/>
                  </w14:solidFill>
                </w14:textFill>
              </w:rPr>
              <w:t>性质</w:t>
            </w:r>
          </w:p>
        </w:tc>
        <w:tc>
          <w:tcPr>
            <w:tcW w:w="1565" w:type="dxa"/>
            <w:vMerge w:val="restart"/>
            <w:vAlign w:val="center"/>
          </w:tcPr>
          <w:p>
            <w:pPr>
              <w:spacing w:line="300" w:lineRule="exact"/>
              <w:jc w:val="center"/>
              <w:rPr>
                <w:rFonts w:ascii="Times New Roman" w:hAnsi="Times New Roman" w:eastAsia="方正书宋_GBK" w:cs="Times New Roman"/>
                <w:b/>
                <w:bCs/>
                <w:color w:val="000000" w:themeColor="text1"/>
                <w:u w:val="single" w:color="FFFFFF" w:themeColor="background1"/>
                <w14:textFill>
                  <w14:solidFill>
                    <w14:schemeClr w14:val="tx1"/>
                  </w14:solidFill>
                </w14:textFill>
              </w:rPr>
            </w:pPr>
            <w:r>
              <w:rPr>
                <w:rFonts w:hint="eastAsia" w:ascii="Times New Roman" w:hAnsi="Times New Roman" w:eastAsia="方正书宋_GBK" w:cs="方正书宋_GBK"/>
                <w:b/>
                <w:bCs/>
                <w:color w:val="000000" w:themeColor="text1"/>
                <w:u w:val="single" w:color="FFFFFF" w:themeColor="background1"/>
                <w14:textFill>
                  <w14:solidFill>
                    <w14:schemeClr w14:val="tx1"/>
                  </w14:solidFill>
                </w14:textFill>
              </w:rPr>
              <w:t>单位</w:t>
            </w:r>
            <w:r>
              <w:rPr>
                <w:rFonts w:hint="eastAsia" w:ascii="宋体" w:hAnsi="宋体" w:eastAsia="宋体" w:cs="宋体"/>
                <w:b/>
                <w:bCs/>
                <w:color w:val="000000" w:themeColor="text1"/>
                <w:u w:val="single" w:color="FFFFFF" w:themeColor="background1"/>
                <w14:textFill>
                  <w14:solidFill>
                    <w14:schemeClr w14:val="tx1"/>
                  </w14:solidFill>
                </w14:textFill>
              </w:rPr>
              <w:t>单位规格</w:t>
            </w:r>
            <w:r>
              <w:rPr>
                <w:rFonts w:hint="eastAsia" w:ascii="Times New Roman" w:hAnsi="Times New Roman" w:eastAsia="方正书宋_GBK" w:cs="方正书宋_GBK"/>
                <w:b/>
                <w:bCs/>
                <w:color w:val="000000" w:themeColor="text1"/>
                <w:u w:val="single" w:color="FFFFFF" w:themeColor="background1"/>
                <w14:textFill>
                  <w14:solidFill>
                    <w14:schemeClr w14:val="tx1"/>
                  </w14:solidFill>
                </w14:textFill>
              </w:rPr>
              <w:t>规格</w:t>
            </w:r>
          </w:p>
        </w:tc>
        <w:tc>
          <w:tcPr>
            <w:tcW w:w="2613" w:type="dxa"/>
            <w:vMerge w:val="restart"/>
            <w:vAlign w:val="center"/>
          </w:tcPr>
          <w:p>
            <w:pPr>
              <w:spacing w:line="300" w:lineRule="exact"/>
              <w:jc w:val="center"/>
              <w:rPr>
                <w:rFonts w:ascii="Times New Roman" w:hAnsi="Times New Roman" w:eastAsia="方正书宋_GBK" w:cs="Times New Roman"/>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经费保障形式</w:t>
            </w:r>
            <w:r>
              <w:rPr>
                <w:rFonts w:hint="eastAsia" w:ascii="Times New Roman" w:hAnsi="Times New Roman" w:eastAsia="方正书宋_GBK" w:cs="方正书宋_GBK"/>
                <w:b/>
                <w:bCs/>
                <w:color w:val="000000" w:themeColor="text1"/>
                <w14:textFill>
                  <w14:solidFill>
                    <w14:schemeClr w14:val="tx1"/>
                  </w14:solidFill>
                </w14:textFill>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2897" w:type="dxa"/>
            <w:vMerge w:val="continue"/>
            <w:vAlign w:val="center"/>
          </w:tcPr>
          <w:p>
            <w:pPr>
              <w:spacing w:line="300" w:lineRule="exact"/>
              <w:jc w:val="left"/>
              <w:outlineLvl w:val="0"/>
              <w:rPr>
                <w:rFonts w:ascii="Times New Roman" w:hAnsi="Times New Roman" w:eastAsia="宋体" w:cs="Times New Roman"/>
              </w:rPr>
            </w:pPr>
          </w:p>
        </w:tc>
        <w:tc>
          <w:tcPr>
            <w:tcW w:w="1554" w:type="dxa"/>
            <w:vMerge w:val="continue"/>
            <w:vAlign w:val="center"/>
          </w:tcPr>
          <w:p>
            <w:pPr>
              <w:spacing w:line="300" w:lineRule="exact"/>
              <w:jc w:val="left"/>
              <w:outlineLvl w:val="0"/>
              <w:rPr>
                <w:rFonts w:ascii="Times New Roman" w:hAnsi="Times New Roman" w:eastAsia="宋体" w:cs="Times New Roman"/>
              </w:rPr>
            </w:pPr>
          </w:p>
        </w:tc>
        <w:tc>
          <w:tcPr>
            <w:tcW w:w="1565" w:type="dxa"/>
            <w:vMerge w:val="continue"/>
            <w:vAlign w:val="center"/>
          </w:tcPr>
          <w:p>
            <w:pPr>
              <w:spacing w:line="300" w:lineRule="exact"/>
              <w:jc w:val="left"/>
              <w:outlineLvl w:val="0"/>
              <w:rPr>
                <w:rFonts w:ascii="Times New Roman" w:hAnsi="Times New Roman" w:eastAsia="宋体" w:cs="Times New Roman"/>
              </w:rPr>
            </w:pPr>
          </w:p>
        </w:tc>
        <w:tc>
          <w:tcPr>
            <w:tcW w:w="2613" w:type="dxa"/>
            <w:vMerge w:val="continue"/>
            <w:vAlign w:val="center"/>
          </w:tcPr>
          <w:p>
            <w:pPr>
              <w:spacing w:line="300" w:lineRule="exact"/>
              <w:jc w:val="left"/>
              <w:outlineLvl w:val="0"/>
              <w:rPr>
                <w:rFonts w:ascii="Times New Roman" w:hAnsi="Times New Roman"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8" w:hRule="atLeast"/>
          <w:jc w:val="center"/>
        </w:trPr>
        <w:tc>
          <w:tcPr>
            <w:tcW w:w="2897" w:type="dxa"/>
            <w:vAlign w:val="center"/>
          </w:tcPr>
          <w:p>
            <w:pPr>
              <w:spacing w:line="300" w:lineRule="exact"/>
              <w:jc w:val="left"/>
              <w:rPr>
                <w:rFonts w:ascii="Times New Roman" w:hAnsi="Times New Roman" w:eastAsia="方正书宋_GBK" w:cs="Times New Roman"/>
              </w:rPr>
            </w:pPr>
            <w:r>
              <w:rPr>
                <w:rFonts w:hint="eastAsia" w:ascii="宋体" w:hAnsi="宋体" w:eastAsia="宋体" w:cs="宋体"/>
              </w:rPr>
              <w:t>成安县城区管理综合执法局</w:t>
            </w:r>
          </w:p>
        </w:tc>
        <w:tc>
          <w:tcPr>
            <w:tcW w:w="1554" w:type="dxa"/>
            <w:vAlign w:val="center"/>
          </w:tcPr>
          <w:p>
            <w:pPr>
              <w:spacing w:line="300" w:lineRule="exact"/>
              <w:jc w:val="left"/>
              <w:rPr>
                <w:rFonts w:ascii="Times New Roman" w:hAnsi="Times New Roman" w:eastAsia="方正书宋_GBK" w:cs="Times New Roman"/>
              </w:rPr>
            </w:pPr>
            <w:r>
              <w:rPr>
                <w:rFonts w:hint="eastAsia" w:ascii="宋体" w:hAnsi="宋体" w:eastAsia="宋体" w:cs="宋体"/>
              </w:rPr>
              <w:t>事业单位</w:t>
            </w:r>
          </w:p>
        </w:tc>
        <w:tc>
          <w:tcPr>
            <w:tcW w:w="1565" w:type="dxa"/>
            <w:vAlign w:val="center"/>
          </w:tcPr>
          <w:p>
            <w:pPr>
              <w:spacing w:line="300" w:lineRule="exact"/>
              <w:jc w:val="left"/>
              <w:rPr>
                <w:rFonts w:ascii="Times New Roman" w:hAnsi="Times New Roman" w:eastAsia="方正书宋_GBK" w:cs="Times New Roman"/>
              </w:rPr>
            </w:pPr>
          </w:p>
        </w:tc>
        <w:tc>
          <w:tcPr>
            <w:tcW w:w="2613" w:type="dxa"/>
            <w:vAlign w:val="center"/>
          </w:tcPr>
          <w:p>
            <w:pPr>
              <w:spacing w:line="300" w:lineRule="exact"/>
              <w:jc w:val="left"/>
              <w:rPr>
                <w:rFonts w:ascii="Times New Roman" w:hAnsi="Times New Roman" w:eastAsia="方正书宋_GBK" w:cs="Times New Roman"/>
              </w:rPr>
            </w:pPr>
            <w:r>
              <w:rPr>
                <w:rFonts w:hint="eastAsia" w:ascii="宋体" w:hAnsi="宋体" w:eastAsia="宋体" w:cs="宋体"/>
              </w:rPr>
              <w:t>财政性资金零补助</w:t>
            </w:r>
          </w:p>
        </w:tc>
      </w:tr>
    </w:tbl>
    <w:p>
      <w:pPr>
        <w:widowControl/>
        <w:spacing w:line="360" w:lineRule="auto"/>
        <w:ind w:firstLine="161" w:firstLineChars="50"/>
        <w:jc w:val="left"/>
        <w:rPr>
          <w:rFonts w:ascii="Calibri" w:hAnsi="Calibri" w:eastAsia="仿宋_GB2312" w:cs="Calibri"/>
          <w:b/>
          <w:kern w:val="0"/>
          <w:sz w:val="32"/>
          <w:szCs w:val="32"/>
        </w:rPr>
      </w:pPr>
    </w:p>
    <w:p>
      <w:pPr>
        <w:widowControl/>
        <w:spacing w:line="360" w:lineRule="auto"/>
        <w:ind w:firstLine="643" w:firstLineChars="200"/>
        <w:jc w:val="left"/>
        <w:rPr>
          <w:rFonts w:ascii="仿宋" w:hAnsi="仿宋" w:eastAsia="仿宋" w:cs="仿宋"/>
          <w:b/>
          <w:bCs/>
          <w:kern w:val="0"/>
          <w:sz w:val="32"/>
          <w:szCs w:val="32"/>
        </w:rPr>
      </w:pPr>
      <w:r>
        <w:rPr>
          <w:rFonts w:hint="eastAsia" w:ascii="仿宋" w:hAnsi="仿宋" w:eastAsia="仿宋" w:cs="仿宋"/>
          <w:b/>
          <w:bCs/>
          <w:kern w:val="0"/>
          <w:sz w:val="32"/>
          <w:szCs w:val="32"/>
        </w:rPr>
        <w:t>成安县城区管理综合执法局，预算编码是506002，</w:t>
      </w:r>
    </w:p>
    <w:p>
      <w:pPr>
        <w:widowControl/>
        <w:numPr>
          <w:ilvl w:val="0"/>
          <w:numId w:val="1"/>
        </w:numPr>
        <w:spacing w:line="360" w:lineRule="auto"/>
        <w:ind w:left="628"/>
        <w:jc w:val="left"/>
        <w:rPr>
          <w:rFonts w:ascii="仿宋" w:hAnsi="仿宋" w:eastAsia="仿宋" w:cs="仿宋"/>
          <w:bCs/>
          <w:kern w:val="0"/>
          <w:sz w:val="32"/>
          <w:szCs w:val="32"/>
        </w:rPr>
      </w:pPr>
      <w:r>
        <w:rPr>
          <w:rFonts w:hint="eastAsia" w:ascii="仿宋" w:hAnsi="仿宋" w:eastAsia="仿宋" w:cs="仿宋"/>
          <w:bCs/>
          <w:kern w:val="0"/>
          <w:sz w:val="32"/>
          <w:szCs w:val="32"/>
        </w:rPr>
        <w:t>办公室</w:t>
      </w:r>
    </w:p>
    <w:p>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2、财务科</w:t>
      </w:r>
    </w:p>
    <w:p>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3、人事科</w:t>
      </w:r>
    </w:p>
    <w:p>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4、法规科</w:t>
      </w:r>
    </w:p>
    <w:p>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5、广告科</w:t>
      </w:r>
    </w:p>
    <w:p>
      <w:pPr>
        <w:widowControl/>
        <w:spacing w:line="360" w:lineRule="auto"/>
        <w:ind w:firstLine="643" w:firstLineChars="200"/>
        <w:jc w:val="left"/>
        <w:rPr>
          <w:rFonts w:ascii="Calibri" w:hAnsi="Calibri" w:eastAsia="仿宋_GB2312" w:cs="Calibri"/>
          <w:b/>
          <w:kern w:val="0"/>
          <w:sz w:val="32"/>
          <w:szCs w:val="32"/>
        </w:rPr>
      </w:pPr>
      <w:r>
        <w:rPr>
          <w:rFonts w:hint="eastAsia" w:ascii="Calibri" w:hAnsi="Calibri" w:eastAsia="仿宋_GB2312" w:cs="Calibri"/>
          <w:b/>
          <w:kern w:val="0"/>
          <w:sz w:val="32"/>
          <w:szCs w:val="32"/>
        </w:rPr>
        <w:t>人员编制和领导职数</w:t>
      </w:r>
    </w:p>
    <w:p>
      <w:pPr>
        <w:widowControl/>
        <w:spacing w:line="360" w:lineRule="auto"/>
        <w:jc w:val="left"/>
        <w:rPr>
          <w:rFonts w:ascii="仿宋" w:hAnsi="仿宋" w:eastAsia="仿宋" w:cs="仿宋"/>
          <w:bCs/>
          <w:kern w:val="0"/>
          <w:sz w:val="32"/>
          <w:szCs w:val="32"/>
        </w:rPr>
      </w:pPr>
      <w:r>
        <w:rPr>
          <w:rFonts w:hint="eastAsia" w:ascii="Calibri" w:hAnsi="Calibri" w:eastAsia="仿宋_GB2312" w:cs="Calibri"/>
          <w:b/>
          <w:kern w:val="0"/>
          <w:sz w:val="32"/>
          <w:szCs w:val="32"/>
        </w:rPr>
        <w:t xml:space="preserve">  </w:t>
      </w:r>
      <w:r>
        <w:rPr>
          <w:rFonts w:hint="eastAsia" w:ascii="仿宋" w:hAnsi="仿宋" w:eastAsia="仿宋" w:cs="仿宋"/>
          <w:bCs/>
          <w:kern w:val="0"/>
          <w:sz w:val="32"/>
          <w:szCs w:val="32"/>
        </w:rPr>
        <w:t>成安县城区管理综合执法局，在人数54，其中领导职数5个</w:t>
      </w:r>
    </w:p>
    <w:p>
      <w:pPr>
        <w:widowControl/>
        <w:spacing w:line="360" w:lineRule="auto"/>
        <w:ind w:firstLine="640" w:firstLineChars="200"/>
        <w:jc w:val="left"/>
        <w:rPr>
          <w:rFonts w:ascii="黑体" w:hAnsi="黑体" w:eastAsia="黑体" w:cs="仿宋_GB2312"/>
          <w:kern w:val="0"/>
          <w:sz w:val="32"/>
          <w:szCs w:val="32"/>
        </w:rPr>
      </w:pPr>
      <w:bookmarkStart w:id="0" w:name="_Toc482006092"/>
      <w:r>
        <w:rPr>
          <w:rFonts w:hint="eastAsia" w:ascii="黑体" w:hAnsi="黑体" w:eastAsia="黑体" w:cs="仿宋_GB2312"/>
          <w:kern w:val="0"/>
          <w:sz w:val="32"/>
          <w:szCs w:val="32"/>
        </w:rPr>
        <w:t>二、部门预算安排的总体情况</w:t>
      </w:r>
    </w:p>
    <w:p>
      <w:pPr>
        <w:spacing w:line="560" w:lineRule="exact"/>
        <w:ind w:firstLine="640"/>
        <w:rPr>
          <w:rFonts w:ascii="仿宋" w:hAnsi="仿宋" w:eastAsia="仿宋" w:cs="Times New Roman"/>
          <w:sz w:val="32"/>
          <w:szCs w:val="32"/>
        </w:rPr>
      </w:pPr>
      <w:r>
        <w:rPr>
          <w:rFonts w:hint="eastAsia" w:ascii="仿宋" w:hAnsi="仿宋" w:eastAsia="仿宋" w:cs="方正仿宋_GBK"/>
          <w:sz w:val="32"/>
          <w:szCs w:val="32"/>
        </w:rPr>
        <w:t>按照预算管理有关规定，目前我部门预算的编制实行综合预算制度，即全部收入和支出都反映在预算中。</w:t>
      </w:r>
    </w:p>
    <w:p>
      <w:pPr>
        <w:widowControl/>
        <w:numPr>
          <w:ilvl w:val="0"/>
          <w:numId w:val="2"/>
        </w:numPr>
        <w:spacing w:line="360" w:lineRule="auto"/>
        <w:ind w:firstLine="641" w:firstLineChars="200"/>
        <w:jc w:val="left"/>
        <w:rPr>
          <w:rFonts w:ascii="华文楷体" w:hAnsi="华文楷体" w:eastAsia="华文楷体" w:cs="仿宋_GB2312"/>
          <w:b/>
          <w:kern w:val="0"/>
          <w:sz w:val="32"/>
          <w:szCs w:val="32"/>
        </w:rPr>
      </w:pPr>
      <w:r>
        <w:rPr>
          <w:rFonts w:hint="eastAsia" w:ascii="华文楷体" w:hAnsi="华文楷体" w:eastAsia="华文楷体" w:cs="仿宋_GB2312"/>
          <w:b/>
          <w:kern w:val="0"/>
          <w:sz w:val="32"/>
          <w:szCs w:val="32"/>
        </w:rPr>
        <w:t>收入说明</w:t>
      </w:r>
    </w:p>
    <w:p>
      <w:pPr>
        <w:widowControl/>
        <w:spacing w:line="360" w:lineRule="auto"/>
        <w:ind w:left="640" w:leftChars="305" w:firstLine="480" w:firstLineChars="15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2017年部门收入预算总额为91.88万元，</w:t>
      </w:r>
      <w:r>
        <w:rPr>
          <w:rFonts w:hint="eastAsia" w:ascii="仿宋" w:hAnsi="仿宋" w:eastAsia="仿宋" w:cs="方正仿宋_GBK"/>
          <w:sz w:val="32"/>
          <w:szCs w:val="32"/>
        </w:rPr>
        <w:t>其中：一般公共预算收入91.88万元，政府性基金收入0万元，国有资本经营收入0万元，事业收入0万元，其他收入0万元。</w:t>
      </w:r>
    </w:p>
    <w:p>
      <w:pPr>
        <w:widowControl/>
        <w:numPr>
          <w:ilvl w:val="0"/>
          <w:numId w:val="2"/>
        </w:numPr>
        <w:spacing w:line="360" w:lineRule="auto"/>
        <w:ind w:firstLine="641" w:firstLineChars="200"/>
        <w:jc w:val="left"/>
        <w:rPr>
          <w:rFonts w:ascii="华文楷体" w:hAnsi="华文楷体" w:eastAsia="华文楷体" w:cs="仿宋_GB2312"/>
          <w:b/>
          <w:kern w:val="0"/>
          <w:sz w:val="32"/>
          <w:szCs w:val="32"/>
        </w:rPr>
      </w:pPr>
      <w:r>
        <w:rPr>
          <w:rFonts w:hint="eastAsia" w:ascii="华文楷体" w:hAnsi="华文楷体" w:eastAsia="华文楷体" w:cs="仿宋_GB2312"/>
          <w:b/>
          <w:kern w:val="0"/>
          <w:sz w:val="32"/>
          <w:szCs w:val="32"/>
        </w:rPr>
        <w:t>支出说明</w:t>
      </w:r>
    </w:p>
    <w:p>
      <w:pPr>
        <w:widowControl/>
        <w:spacing w:line="360" w:lineRule="auto"/>
        <w:ind w:left="643" w:leftChars="306" w:firstLine="480" w:firstLineChars="150"/>
        <w:jc w:val="left"/>
        <w:rPr>
          <w:rFonts w:ascii="仿宋_GB2312" w:hAnsi="Calibri" w:eastAsia="仿宋_GB2312" w:cs="仿宋_GB2312"/>
          <w:b/>
          <w:kern w:val="0"/>
          <w:sz w:val="32"/>
          <w:szCs w:val="32"/>
        </w:rPr>
      </w:pPr>
      <w:r>
        <w:rPr>
          <w:rFonts w:hint="eastAsia" w:ascii="仿宋_GB2312" w:hAnsi="Calibri" w:eastAsia="仿宋_GB2312" w:cs="仿宋_GB2312"/>
          <w:kern w:val="0"/>
          <w:sz w:val="32"/>
          <w:szCs w:val="32"/>
        </w:rPr>
        <w:t>部门支出预算总额为91.88万元万元，其中基本支出61万元，项目支出30.88万元</w:t>
      </w:r>
    </w:p>
    <w:p>
      <w:pPr>
        <w:widowControl/>
        <w:numPr>
          <w:ilvl w:val="0"/>
          <w:numId w:val="2"/>
        </w:numPr>
        <w:spacing w:line="360" w:lineRule="auto"/>
        <w:ind w:firstLine="641" w:firstLineChars="200"/>
        <w:jc w:val="left"/>
        <w:rPr>
          <w:rFonts w:ascii="华文楷体" w:hAnsi="华文楷体" w:eastAsia="华文楷体" w:cs="仿宋_GB2312"/>
          <w:b/>
          <w:kern w:val="0"/>
          <w:sz w:val="32"/>
          <w:szCs w:val="32"/>
        </w:rPr>
      </w:pPr>
      <w:r>
        <w:rPr>
          <w:rFonts w:hint="eastAsia" w:ascii="华文楷体" w:hAnsi="华文楷体" w:eastAsia="华文楷体" w:cs="仿宋_GB2312"/>
          <w:b/>
          <w:kern w:val="0"/>
          <w:sz w:val="32"/>
          <w:szCs w:val="32"/>
        </w:rPr>
        <w:t>比上年增减变换情况</w:t>
      </w:r>
    </w:p>
    <w:p>
      <w:pPr>
        <w:widowControl/>
        <w:spacing w:line="360" w:lineRule="auto"/>
        <w:ind w:firstLine="1120" w:firstLineChars="350"/>
        <w:jc w:val="left"/>
        <w:rPr>
          <w:rFonts w:ascii="仿宋_GB2312" w:hAnsi="Calibri" w:eastAsia="仿宋_GB2312" w:cs="仿宋_GB2312"/>
          <w:b/>
          <w:kern w:val="0"/>
          <w:sz w:val="32"/>
          <w:szCs w:val="32"/>
        </w:rPr>
      </w:pPr>
      <w:r>
        <w:rPr>
          <w:rFonts w:ascii="仿宋_GB2312" w:hAnsi="Calibri" w:eastAsia="仿宋_GB2312" w:cs="仿宋_GB2312"/>
          <w:kern w:val="0"/>
          <w:sz w:val="32"/>
          <w:szCs w:val="32"/>
          <w:lang w:bidi="ar"/>
        </w:rPr>
        <w:t>2016年财政拨款收入</w:t>
      </w:r>
      <w:r>
        <w:rPr>
          <w:rFonts w:hint="eastAsia" w:ascii="仿宋_GB2312" w:hAnsi="Calibri" w:eastAsia="仿宋_GB2312" w:cs="仿宋_GB2312"/>
          <w:kern w:val="0"/>
          <w:sz w:val="32"/>
          <w:szCs w:val="32"/>
          <w:lang w:bidi="ar"/>
        </w:rPr>
        <w:t>201.61</w:t>
      </w:r>
      <w:r>
        <w:rPr>
          <w:rFonts w:ascii="仿宋_GB2312" w:hAnsi="Calibri" w:eastAsia="仿宋_GB2312" w:cs="仿宋_GB2312"/>
          <w:kern w:val="0"/>
          <w:sz w:val="32"/>
          <w:szCs w:val="32"/>
          <w:lang w:bidi="ar"/>
        </w:rPr>
        <w:t>万元，总支出</w:t>
      </w:r>
      <w:r>
        <w:rPr>
          <w:rFonts w:hint="eastAsia" w:ascii="仿宋_GB2312" w:hAnsi="Calibri" w:eastAsia="仿宋_GB2312" w:cs="仿宋_GB2312"/>
          <w:kern w:val="0"/>
          <w:sz w:val="32"/>
          <w:szCs w:val="32"/>
          <w:lang w:bidi="ar"/>
        </w:rPr>
        <w:t>201.61</w:t>
      </w:r>
      <w:r>
        <w:rPr>
          <w:rFonts w:ascii="仿宋_GB2312" w:hAnsi="Calibri" w:eastAsia="仿宋_GB2312" w:cs="仿宋_GB2312"/>
          <w:kern w:val="0"/>
          <w:sz w:val="32"/>
          <w:szCs w:val="32"/>
          <w:lang w:bidi="ar"/>
        </w:rPr>
        <w:t>万元。</w:t>
      </w:r>
      <w:r>
        <w:rPr>
          <w:rFonts w:hint="eastAsia" w:ascii="仿宋_GB2312" w:hAnsi="Calibri" w:eastAsia="仿宋_GB2312" w:cs="仿宋_GB2312"/>
          <w:kern w:val="0"/>
          <w:sz w:val="32"/>
          <w:szCs w:val="32"/>
          <w:lang w:bidi="ar"/>
        </w:rPr>
        <w:t>与去年相比降低了109.73万元，积极贯彻落实新《中华人民共和国预算法》，按照讲求绩效的原则，对于当年未使用的预算，在调整预算中予以调减。</w:t>
      </w:r>
    </w:p>
    <w:p>
      <w:pPr>
        <w:widowControl/>
        <w:spacing w:line="360" w:lineRule="auto"/>
        <w:ind w:firstLine="627" w:firstLineChars="196"/>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 xml:space="preserve">， </w:t>
      </w:r>
    </w:p>
    <w:p>
      <w:pPr>
        <w:autoSpaceDE w:val="0"/>
        <w:autoSpaceDN w:val="0"/>
        <w:adjustRightInd w:val="0"/>
        <w:spacing w:line="560" w:lineRule="exact"/>
        <w:ind w:firstLine="640" w:firstLineChars="200"/>
        <w:jc w:val="left"/>
        <w:rPr>
          <w:rFonts w:ascii="黑体" w:hAnsi="黑体" w:eastAsia="黑体" w:cs="Times New Roman"/>
          <w:sz w:val="32"/>
          <w:szCs w:val="32"/>
        </w:rPr>
      </w:pPr>
      <w:r>
        <w:rPr>
          <w:rFonts w:hint="eastAsia" w:ascii="黑体" w:hAnsi="黑体" w:eastAsia="黑体" w:cs="黑体"/>
          <w:sz w:val="32"/>
          <w:szCs w:val="32"/>
        </w:rPr>
        <w:t>三、机关运行经费安排情况</w:t>
      </w:r>
    </w:p>
    <w:p>
      <w:pPr>
        <w:widowControl/>
        <w:spacing w:line="360" w:lineRule="auto"/>
        <w:ind w:firstLine="640" w:firstLineChars="200"/>
        <w:jc w:val="left"/>
        <w:rPr>
          <w:rFonts w:ascii="Calibri" w:hAnsi="Calibri" w:eastAsia="仿宋_GB2312" w:cs="Calibri"/>
          <w:kern w:val="0"/>
          <w:sz w:val="32"/>
          <w:szCs w:val="32"/>
        </w:rPr>
      </w:pPr>
      <w:r>
        <w:rPr>
          <w:rFonts w:hint="eastAsia" w:ascii="仿宋_GB2312" w:hAnsi="Calibri" w:eastAsia="仿宋_GB2312" w:cs="仿宋_GB2312"/>
          <w:kern w:val="0"/>
          <w:sz w:val="32"/>
          <w:szCs w:val="32"/>
        </w:rPr>
        <w:t>日常公用经费安排20万元万元，包括：办公费、旅费、水费、电费、会议费、招待费、转移支付，其他支出等。</w:t>
      </w:r>
      <w:r>
        <w:rPr>
          <w:rFonts w:ascii="Calibri" w:hAnsi="Calibri" w:eastAsia="仿宋_GB2312" w:cs="Calibri"/>
          <w:kern w:val="0"/>
          <w:sz w:val="32"/>
          <w:szCs w:val="32"/>
        </w:rPr>
        <w:t>人员经费支出</w:t>
      </w:r>
      <w:r>
        <w:rPr>
          <w:rFonts w:hint="eastAsia" w:ascii="Calibri" w:hAnsi="Calibri" w:eastAsia="仿宋_GB2312" w:cs="Calibri"/>
          <w:kern w:val="0"/>
          <w:sz w:val="32"/>
          <w:szCs w:val="32"/>
        </w:rPr>
        <w:t>41</w:t>
      </w:r>
      <w:r>
        <w:rPr>
          <w:rFonts w:ascii="Calibri" w:hAnsi="Calibri" w:eastAsia="仿宋_GB2312" w:cs="Calibri"/>
          <w:kern w:val="0"/>
          <w:sz w:val="32"/>
          <w:szCs w:val="32"/>
        </w:rPr>
        <w:t>万元，同比去年增长</w:t>
      </w:r>
      <w:r>
        <w:rPr>
          <w:rFonts w:hint="eastAsia" w:ascii="Calibri" w:hAnsi="Calibri" w:eastAsia="仿宋_GB2312" w:cs="Calibri"/>
          <w:kern w:val="0"/>
          <w:sz w:val="32"/>
          <w:szCs w:val="32"/>
        </w:rPr>
        <w:t>11</w:t>
      </w:r>
      <w:r>
        <w:rPr>
          <w:rFonts w:ascii="Calibri" w:hAnsi="Calibri" w:eastAsia="仿宋_GB2312" w:cs="Calibri"/>
          <w:kern w:val="0"/>
          <w:sz w:val="32"/>
          <w:szCs w:val="32"/>
        </w:rPr>
        <w:t>%。增长原因是201</w:t>
      </w:r>
      <w:r>
        <w:rPr>
          <w:rFonts w:hint="eastAsia" w:ascii="Calibri" w:hAnsi="Calibri" w:eastAsia="仿宋_GB2312" w:cs="Calibri"/>
          <w:kern w:val="0"/>
          <w:sz w:val="32"/>
          <w:szCs w:val="32"/>
        </w:rPr>
        <w:t>6</w:t>
      </w:r>
      <w:r>
        <w:rPr>
          <w:rFonts w:ascii="Calibri" w:hAnsi="Calibri" w:eastAsia="仿宋_GB2312" w:cs="Calibri"/>
          <w:kern w:val="0"/>
          <w:sz w:val="32"/>
          <w:szCs w:val="32"/>
        </w:rPr>
        <w:t>年机关事业单位统一调高了工资标准。其中，工资福利支出</w:t>
      </w:r>
      <w:r>
        <w:rPr>
          <w:rFonts w:hint="eastAsia" w:ascii="Calibri" w:hAnsi="Calibri" w:eastAsia="仿宋_GB2312" w:cs="Calibri"/>
          <w:kern w:val="0"/>
          <w:sz w:val="32"/>
          <w:szCs w:val="32"/>
        </w:rPr>
        <w:t>41万元。</w:t>
      </w:r>
    </w:p>
    <w:p>
      <w:pPr>
        <w:autoSpaceDE w:val="0"/>
        <w:autoSpaceDN w:val="0"/>
        <w:adjustRightInd w:val="0"/>
        <w:spacing w:line="560" w:lineRule="exact"/>
        <w:ind w:firstLine="640" w:firstLineChars="200"/>
        <w:jc w:val="left"/>
        <w:rPr>
          <w:rFonts w:ascii="黑体" w:hAnsi="黑体" w:eastAsia="黑体" w:cs="Times New Roman"/>
          <w:sz w:val="32"/>
          <w:szCs w:val="32"/>
        </w:rPr>
      </w:pPr>
      <w:r>
        <w:rPr>
          <w:rFonts w:hint="eastAsia" w:ascii="黑体" w:hAnsi="黑体" w:eastAsia="黑体" w:cs="黑体"/>
          <w:sz w:val="32"/>
          <w:szCs w:val="32"/>
        </w:rPr>
        <w:t>四、财政拨款“三公”经费预算情况及增减变化原因</w:t>
      </w:r>
    </w:p>
    <w:p>
      <w:pPr>
        <w:outlineLvl w:val="0"/>
        <w:rPr>
          <w:rFonts w:ascii="黑体" w:hAnsi="黑体" w:eastAsia="黑体"/>
          <w:sz w:val="32"/>
        </w:rPr>
        <w:sectPr>
          <w:pgSz w:w="11907" w:h="16839"/>
          <w:pgMar w:top="1020" w:right="1134" w:bottom="1020" w:left="1134" w:header="851" w:footer="992" w:gutter="0"/>
          <w:cols w:space="425" w:num="1"/>
          <w:docGrid w:type="lines" w:linePitch="312" w:charSpace="0"/>
        </w:sectPr>
      </w:pPr>
    </w:p>
    <w:bookmarkEnd w:id="0"/>
    <w:tbl>
      <w:tblPr>
        <w:tblStyle w:val="6"/>
        <w:tblW w:w="13893" w:type="dxa"/>
        <w:jc w:val="center"/>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10954"/>
        <w:gridCol w:w="2939"/>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180" w:hRule="atLeast"/>
          <w:tblHeader/>
          <w:jc w:val="center"/>
        </w:trPr>
        <w:tc>
          <w:tcPr>
            <w:tcW w:w="10954" w:type="dxa"/>
            <w:shd w:val="clear" w:color="auto" w:fill="auto"/>
            <w:vAlign w:val="center"/>
          </w:tcPr>
          <w:p>
            <w:pPr>
              <w:spacing w:line="560" w:lineRule="exact"/>
              <w:ind w:firstLine="640" w:firstLineChars="200"/>
              <w:jc w:val="left"/>
              <w:rPr>
                <w:rFonts w:ascii="仿宋" w:hAnsi="仿宋" w:eastAsia="仿宋" w:cs="Times New Roman"/>
                <w:bCs/>
                <w:sz w:val="32"/>
                <w:szCs w:val="32"/>
              </w:rPr>
            </w:pPr>
            <w:r>
              <w:rPr>
                <w:rFonts w:hint="eastAsia" w:ascii="黑体" w:hAnsi="黑体" w:eastAsia="黑体" w:cs="Calibri"/>
                <w:kern w:val="0"/>
                <w:sz w:val="32"/>
                <w:szCs w:val="32"/>
                <w:lang w:bidi="ar"/>
              </w:rPr>
              <w:t>五、绩效预算情况</w:t>
            </w:r>
            <w:r>
              <w:rPr>
                <w:rFonts w:hint="eastAsia" w:ascii="黑体" w:hAnsi="黑体" w:eastAsia="黑体" w:cs="方正仿宋_GBK"/>
                <w:bCs/>
                <w:sz w:val="32"/>
                <w:szCs w:val="32"/>
              </w:rPr>
              <w:t>总体绩效目标：</w:t>
            </w:r>
            <w:r>
              <w:rPr>
                <w:rFonts w:hint="eastAsia" w:ascii="仿宋" w:hAnsi="仿宋" w:eastAsia="仿宋"/>
                <w:sz w:val="32"/>
                <w:szCs w:val="32"/>
              </w:rPr>
              <w:t>协调各个业务科室编制部门预算行政事业单位编制部门预算。</w:t>
            </w:r>
          </w:p>
          <w:p>
            <w:pPr>
              <w:spacing w:line="560" w:lineRule="exact"/>
              <w:jc w:val="center"/>
              <w:outlineLvl w:val="0"/>
              <w:rPr>
                <w:rFonts w:ascii="Calibri" w:hAnsi="Calibri" w:eastAsia="仿宋_GB2312" w:cs="Calibri"/>
                <w:b/>
                <w:kern w:val="0"/>
                <w:sz w:val="32"/>
                <w:szCs w:val="32"/>
                <w:lang w:bidi="ar"/>
              </w:rPr>
            </w:pPr>
          </w:p>
          <w:p>
            <w:pPr>
              <w:spacing w:line="560" w:lineRule="exact"/>
              <w:jc w:val="center"/>
              <w:outlineLvl w:val="0"/>
              <w:rPr>
                <w:rFonts w:ascii="宋体" w:hAnsi="宋体" w:eastAsia="宋体" w:cs="Times New Roman"/>
                <w:sz w:val="32"/>
                <w:szCs w:val="32"/>
              </w:rPr>
            </w:pPr>
            <w:r>
              <w:rPr>
                <w:rFonts w:hint="eastAsia" w:ascii="宋体" w:hAnsi="宋体" w:eastAsia="宋体" w:cs="方正小标宋_GBK"/>
                <w:sz w:val="32"/>
                <w:szCs w:val="32"/>
              </w:rPr>
              <w:t>部门职责</w:t>
            </w:r>
            <w:r>
              <w:rPr>
                <w:rFonts w:ascii="宋体" w:hAnsi="宋体" w:eastAsia="宋体" w:cs="方正小标宋_GBK"/>
                <w:sz w:val="32"/>
                <w:szCs w:val="32"/>
              </w:rPr>
              <w:t>-</w:t>
            </w:r>
            <w:r>
              <w:rPr>
                <w:rFonts w:hint="eastAsia" w:ascii="宋体" w:hAnsi="宋体" w:eastAsia="宋体" w:cs="方正小标宋_GBK"/>
                <w:sz w:val="32"/>
                <w:szCs w:val="32"/>
              </w:rPr>
              <w:t>工作活动绩效目标</w:t>
            </w:r>
          </w:p>
          <w:tbl>
            <w:tblPr>
              <w:tblStyle w:val="6"/>
              <w:tblW w:w="107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02"/>
              <w:gridCol w:w="1274"/>
              <w:gridCol w:w="1556"/>
              <w:gridCol w:w="1271"/>
              <w:gridCol w:w="1656"/>
              <w:gridCol w:w="566"/>
              <w:gridCol w:w="566"/>
              <w:gridCol w:w="566"/>
              <w:gridCol w:w="5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 w:hRule="atLeast"/>
                <w:tblHeader/>
                <w:jc w:val="center"/>
              </w:trPr>
              <w:tc>
                <w:tcPr>
                  <w:tcW w:w="8459" w:type="dxa"/>
                  <w:gridSpan w:val="5"/>
                  <w:tcBorders>
                    <w:top w:val="single" w:color="FFFFFF" w:sz="6" w:space="0"/>
                    <w:left w:val="single" w:color="FFFFFF" w:sz="6" w:space="0"/>
                    <w:right w:val="single" w:color="FFFFFF" w:sz="6" w:space="0"/>
                  </w:tcBorders>
                  <w:vAlign w:val="center"/>
                </w:tcPr>
                <w:p>
                  <w:pPr>
                    <w:spacing w:line="560" w:lineRule="exact"/>
                    <w:jc w:val="center"/>
                    <w:rPr>
                      <w:rFonts w:ascii="宋体" w:hAnsi="宋体" w:eastAsia="宋体" w:cs="Times New Roman"/>
                      <w:sz w:val="18"/>
                      <w:szCs w:val="18"/>
                    </w:rPr>
                  </w:pPr>
                  <w:r>
                    <w:rPr>
                      <w:rFonts w:hint="eastAsia" w:ascii="宋体" w:hAnsi="宋体" w:eastAsia="宋体" w:cs="方正小标宋_GBK"/>
                      <w:sz w:val="18"/>
                      <w:szCs w:val="18"/>
                    </w:rPr>
                    <w:t>部门（单位）名称：成安县城区管理综合执法局</w:t>
                  </w:r>
                </w:p>
              </w:tc>
              <w:tc>
                <w:tcPr>
                  <w:tcW w:w="2263" w:type="dxa"/>
                  <w:gridSpan w:val="4"/>
                  <w:tcBorders>
                    <w:top w:val="single" w:color="FFFFFF" w:sz="6" w:space="0"/>
                    <w:left w:val="single" w:color="FFFFFF" w:sz="6" w:space="0"/>
                    <w:right w:val="single" w:color="FFFFFF" w:sz="6" w:space="0"/>
                  </w:tcBorders>
                  <w:vAlign w:val="center"/>
                </w:tcPr>
                <w:p>
                  <w:pPr>
                    <w:spacing w:line="560" w:lineRule="exact"/>
                    <w:jc w:val="center"/>
                    <w:rPr>
                      <w:rFonts w:ascii="宋体" w:hAnsi="宋体" w:eastAsia="宋体" w:cs="Times New Roman"/>
                      <w:sz w:val="18"/>
                      <w:szCs w:val="18"/>
                    </w:rPr>
                  </w:pPr>
                  <w:r>
                    <w:rPr>
                      <w:rFonts w:hint="eastAsia" w:ascii="宋体" w:hAnsi="宋体" w:eastAsia="宋体" w:cs="方正书宋_GBK"/>
                      <w:sz w:val="18"/>
                      <w:szCs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 w:hRule="atLeast"/>
                <w:tblHeader/>
                <w:jc w:val="center"/>
              </w:trPr>
              <w:tc>
                <w:tcPr>
                  <w:tcW w:w="2702" w:type="dxa"/>
                  <w:vMerge w:val="restart"/>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职责活动</w:t>
                  </w:r>
                </w:p>
              </w:tc>
              <w:tc>
                <w:tcPr>
                  <w:tcW w:w="1274" w:type="dxa"/>
                  <w:vMerge w:val="restart"/>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年度预算数</w:t>
                  </w:r>
                </w:p>
              </w:tc>
              <w:tc>
                <w:tcPr>
                  <w:tcW w:w="1556" w:type="dxa"/>
                  <w:vMerge w:val="restart"/>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内容描述</w:t>
                  </w:r>
                </w:p>
              </w:tc>
              <w:tc>
                <w:tcPr>
                  <w:tcW w:w="1271" w:type="dxa"/>
                  <w:vMerge w:val="restart"/>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绩效目标</w:t>
                  </w:r>
                </w:p>
              </w:tc>
              <w:tc>
                <w:tcPr>
                  <w:tcW w:w="1655" w:type="dxa"/>
                  <w:vMerge w:val="restart"/>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绩效指标</w:t>
                  </w:r>
                </w:p>
              </w:tc>
              <w:tc>
                <w:tcPr>
                  <w:tcW w:w="2263" w:type="dxa"/>
                  <w:gridSpan w:val="4"/>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 w:hRule="atLeast"/>
                <w:tblHeader/>
                <w:jc w:val="center"/>
              </w:trPr>
              <w:tc>
                <w:tcPr>
                  <w:tcW w:w="2702" w:type="dxa"/>
                  <w:vMerge w:val="continue"/>
                  <w:vAlign w:val="center"/>
                </w:tcPr>
                <w:p>
                  <w:pPr>
                    <w:spacing w:line="560" w:lineRule="exact"/>
                    <w:jc w:val="center"/>
                    <w:outlineLvl w:val="0"/>
                    <w:rPr>
                      <w:rFonts w:ascii="宋体" w:hAnsi="宋体" w:eastAsia="宋体" w:cs="Times New Roman"/>
                      <w:sz w:val="18"/>
                      <w:szCs w:val="18"/>
                    </w:rPr>
                  </w:pPr>
                </w:p>
              </w:tc>
              <w:tc>
                <w:tcPr>
                  <w:tcW w:w="1274" w:type="dxa"/>
                  <w:vMerge w:val="continue"/>
                  <w:vAlign w:val="center"/>
                </w:tcPr>
                <w:p>
                  <w:pPr>
                    <w:spacing w:line="560" w:lineRule="exact"/>
                    <w:jc w:val="center"/>
                    <w:outlineLvl w:val="0"/>
                    <w:rPr>
                      <w:rFonts w:ascii="宋体" w:hAnsi="宋体" w:eastAsia="宋体" w:cs="Times New Roman"/>
                      <w:sz w:val="18"/>
                      <w:szCs w:val="18"/>
                    </w:rPr>
                  </w:pPr>
                </w:p>
              </w:tc>
              <w:tc>
                <w:tcPr>
                  <w:tcW w:w="1556" w:type="dxa"/>
                  <w:vMerge w:val="continue"/>
                  <w:vAlign w:val="center"/>
                </w:tcPr>
                <w:p>
                  <w:pPr>
                    <w:spacing w:line="560" w:lineRule="exact"/>
                    <w:jc w:val="center"/>
                    <w:outlineLvl w:val="0"/>
                    <w:rPr>
                      <w:rFonts w:ascii="宋体" w:hAnsi="宋体" w:eastAsia="宋体" w:cs="Times New Roman"/>
                      <w:sz w:val="18"/>
                      <w:szCs w:val="18"/>
                    </w:rPr>
                  </w:pPr>
                </w:p>
              </w:tc>
              <w:tc>
                <w:tcPr>
                  <w:tcW w:w="1271" w:type="dxa"/>
                  <w:vMerge w:val="continue"/>
                  <w:vAlign w:val="center"/>
                </w:tcPr>
                <w:p>
                  <w:pPr>
                    <w:spacing w:line="560" w:lineRule="exact"/>
                    <w:jc w:val="center"/>
                    <w:outlineLvl w:val="0"/>
                    <w:rPr>
                      <w:rFonts w:ascii="宋体" w:hAnsi="宋体" w:eastAsia="宋体" w:cs="Times New Roman"/>
                      <w:sz w:val="18"/>
                      <w:szCs w:val="18"/>
                    </w:rPr>
                  </w:pPr>
                </w:p>
              </w:tc>
              <w:tc>
                <w:tcPr>
                  <w:tcW w:w="1655" w:type="dxa"/>
                  <w:vMerge w:val="continue"/>
                  <w:vAlign w:val="center"/>
                </w:tcPr>
                <w:p>
                  <w:pPr>
                    <w:spacing w:line="560" w:lineRule="exact"/>
                    <w:jc w:val="center"/>
                    <w:outlineLvl w:val="0"/>
                    <w:rPr>
                      <w:rFonts w:ascii="宋体" w:hAnsi="宋体" w:eastAsia="宋体" w:cs="Times New Roman"/>
                      <w:sz w:val="18"/>
                      <w:szCs w:val="18"/>
                    </w:rPr>
                  </w:pPr>
                </w:p>
              </w:tc>
              <w:tc>
                <w:tcPr>
                  <w:tcW w:w="566" w:type="dxa"/>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优</w:t>
                  </w:r>
                </w:p>
              </w:tc>
              <w:tc>
                <w:tcPr>
                  <w:tcW w:w="566" w:type="dxa"/>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良</w:t>
                  </w:r>
                </w:p>
              </w:tc>
              <w:tc>
                <w:tcPr>
                  <w:tcW w:w="566" w:type="dxa"/>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中</w:t>
                  </w:r>
                </w:p>
              </w:tc>
              <w:tc>
                <w:tcPr>
                  <w:tcW w:w="564" w:type="dxa"/>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 w:hRule="atLeast"/>
                <w:jc w:val="center"/>
              </w:trPr>
              <w:tc>
                <w:tcPr>
                  <w:tcW w:w="2702" w:type="dxa"/>
                  <w:vAlign w:val="center"/>
                </w:tcPr>
                <w:p>
                  <w:pPr>
                    <w:spacing w:line="300" w:lineRule="exact"/>
                    <w:jc w:val="center"/>
                    <w:rPr>
                      <w:rFonts w:ascii="方正书宋_GBK" w:eastAsia="方正书宋_GBK"/>
                      <w:b/>
                    </w:rPr>
                  </w:pPr>
                  <w:r>
                    <w:rPr>
                      <w:rFonts w:hint="eastAsia" w:ascii="方正书宋_GBK" w:eastAsia="方正书宋_GBK"/>
                      <w:b/>
                    </w:rPr>
                    <w:t>部门预算编制专项公用经费</w:t>
                  </w:r>
                </w:p>
              </w:tc>
              <w:tc>
                <w:tcPr>
                  <w:tcW w:w="1274" w:type="dxa"/>
                  <w:vAlign w:val="center"/>
                </w:tcPr>
                <w:p>
                  <w:pPr>
                    <w:spacing w:line="300" w:lineRule="exact"/>
                    <w:jc w:val="center"/>
                    <w:rPr>
                      <w:rFonts w:ascii="方正书宋_GBK" w:eastAsia="方正书宋_GBK"/>
                    </w:rPr>
                  </w:pPr>
                </w:p>
              </w:tc>
              <w:tc>
                <w:tcPr>
                  <w:tcW w:w="1556" w:type="dxa"/>
                  <w:vAlign w:val="center"/>
                </w:tcPr>
                <w:p>
                  <w:pPr>
                    <w:spacing w:line="300" w:lineRule="exact"/>
                    <w:jc w:val="center"/>
                    <w:rPr>
                      <w:rFonts w:ascii="方正书宋_GBK" w:eastAsia="方正书宋_GBK"/>
                    </w:rPr>
                  </w:pPr>
                  <w:r>
                    <w:rPr>
                      <w:rFonts w:hint="eastAsia" w:ascii="方正书宋_GBK" w:eastAsia="方正书宋_GBK"/>
                    </w:rPr>
                    <w:t>协调各个业务科室编制部门预算</w:t>
                  </w:r>
                </w:p>
              </w:tc>
              <w:tc>
                <w:tcPr>
                  <w:tcW w:w="1271" w:type="dxa"/>
                  <w:vAlign w:val="center"/>
                </w:tcPr>
                <w:p>
                  <w:pPr>
                    <w:spacing w:line="300" w:lineRule="exact"/>
                    <w:jc w:val="center"/>
                    <w:rPr>
                      <w:rFonts w:ascii="方正书宋_GBK" w:eastAsia="方正书宋_GBK"/>
                    </w:rPr>
                  </w:pPr>
                  <w:r>
                    <w:rPr>
                      <w:rFonts w:hint="eastAsia" w:ascii="方正书宋_GBK" w:eastAsia="方正书宋_GBK"/>
                    </w:rPr>
                    <w:t>行政事业单位编制部门预算</w:t>
                  </w:r>
                </w:p>
              </w:tc>
              <w:tc>
                <w:tcPr>
                  <w:tcW w:w="1655" w:type="dxa"/>
                  <w:vAlign w:val="center"/>
                </w:tcPr>
                <w:p>
                  <w:pPr>
                    <w:spacing w:line="300" w:lineRule="exact"/>
                    <w:jc w:val="center"/>
                    <w:rPr>
                      <w:rFonts w:ascii="方正书宋_GBK" w:eastAsia="方正书宋_GBK"/>
                    </w:rPr>
                  </w:pPr>
                </w:p>
              </w:tc>
              <w:tc>
                <w:tcPr>
                  <w:tcW w:w="566" w:type="dxa"/>
                  <w:vAlign w:val="center"/>
                </w:tcPr>
                <w:p>
                  <w:pPr>
                    <w:spacing w:line="300" w:lineRule="exact"/>
                    <w:jc w:val="center"/>
                    <w:rPr>
                      <w:rFonts w:ascii="方正书宋_GBK" w:eastAsia="方正书宋_GBK"/>
                    </w:rPr>
                  </w:pPr>
                </w:p>
              </w:tc>
              <w:tc>
                <w:tcPr>
                  <w:tcW w:w="566" w:type="dxa"/>
                  <w:vAlign w:val="center"/>
                </w:tcPr>
                <w:p>
                  <w:pPr>
                    <w:spacing w:line="300" w:lineRule="exact"/>
                    <w:jc w:val="center"/>
                    <w:rPr>
                      <w:rFonts w:ascii="方正书宋_GBK" w:eastAsia="方正书宋_GBK"/>
                    </w:rPr>
                  </w:pPr>
                </w:p>
              </w:tc>
              <w:tc>
                <w:tcPr>
                  <w:tcW w:w="566" w:type="dxa"/>
                  <w:vAlign w:val="center"/>
                </w:tcPr>
                <w:p>
                  <w:pPr>
                    <w:spacing w:line="300" w:lineRule="exact"/>
                    <w:jc w:val="center"/>
                    <w:rPr>
                      <w:rFonts w:ascii="方正书宋_GBK" w:eastAsia="方正书宋_GBK"/>
                    </w:rPr>
                  </w:pPr>
                </w:p>
              </w:tc>
              <w:tc>
                <w:tcPr>
                  <w:tcW w:w="564"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 w:hRule="atLeast"/>
                <w:jc w:val="center"/>
              </w:trPr>
              <w:tc>
                <w:tcPr>
                  <w:tcW w:w="2702" w:type="dxa"/>
                  <w:vAlign w:val="center"/>
                </w:tcPr>
                <w:p>
                  <w:pPr>
                    <w:spacing w:line="300" w:lineRule="exact"/>
                    <w:jc w:val="center"/>
                    <w:rPr>
                      <w:rFonts w:ascii="方正书宋_GBK" w:eastAsia="方正书宋_GBK"/>
                      <w:b/>
                    </w:rPr>
                  </w:pPr>
                  <w:r>
                    <w:rPr>
                      <w:rFonts w:hint="eastAsia" w:ascii="方正书宋_GBK" w:eastAsia="方正书宋_GBK"/>
                      <w:b/>
                    </w:rPr>
                    <w:t>部门预算专项公用经费</w:t>
                  </w:r>
                </w:p>
              </w:tc>
              <w:tc>
                <w:tcPr>
                  <w:tcW w:w="1274" w:type="dxa"/>
                  <w:vAlign w:val="center"/>
                </w:tcPr>
                <w:p>
                  <w:pPr>
                    <w:spacing w:line="300" w:lineRule="exact"/>
                    <w:jc w:val="center"/>
                    <w:rPr>
                      <w:rFonts w:ascii="方正书宋_GBK" w:eastAsia="方正书宋_GBK"/>
                    </w:rPr>
                  </w:pPr>
                </w:p>
              </w:tc>
              <w:tc>
                <w:tcPr>
                  <w:tcW w:w="1556" w:type="dxa"/>
                  <w:vAlign w:val="center"/>
                </w:tcPr>
                <w:p>
                  <w:pPr>
                    <w:spacing w:line="300" w:lineRule="exact"/>
                    <w:jc w:val="center"/>
                    <w:rPr>
                      <w:rFonts w:ascii="方正书宋_GBK" w:eastAsia="方正书宋_GBK"/>
                    </w:rPr>
                  </w:pPr>
                  <w:r>
                    <w:rPr>
                      <w:rFonts w:hint="eastAsia" w:ascii="方正书宋_GBK" w:eastAsia="方正书宋_GBK"/>
                    </w:rPr>
                    <w:t>协调各个业务科室编制部门预算</w:t>
                  </w:r>
                </w:p>
              </w:tc>
              <w:tc>
                <w:tcPr>
                  <w:tcW w:w="1271" w:type="dxa"/>
                  <w:vAlign w:val="center"/>
                </w:tcPr>
                <w:p>
                  <w:pPr>
                    <w:spacing w:line="300" w:lineRule="exact"/>
                    <w:jc w:val="center"/>
                    <w:rPr>
                      <w:rFonts w:ascii="方正书宋_GBK" w:eastAsia="方正书宋_GBK"/>
                    </w:rPr>
                  </w:pPr>
                  <w:r>
                    <w:rPr>
                      <w:rFonts w:hint="eastAsia" w:ascii="方正书宋_GBK" w:eastAsia="方正书宋_GBK"/>
                    </w:rPr>
                    <w:t>完成部门预算编制</w:t>
                  </w:r>
                </w:p>
              </w:tc>
              <w:tc>
                <w:tcPr>
                  <w:tcW w:w="1655" w:type="dxa"/>
                  <w:vAlign w:val="center"/>
                </w:tcPr>
                <w:p>
                  <w:pPr>
                    <w:spacing w:line="300" w:lineRule="exact"/>
                    <w:jc w:val="center"/>
                    <w:rPr>
                      <w:rFonts w:ascii="方正书宋_GBK" w:eastAsia="方正书宋_GBK"/>
                    </w:rPr>
                  </w:pPr>
                  <w:r>
                    <w:rPr>
                      <w:rFonts w:hint="eastAsia" w:ascii="方正书宋_GBK" w:eastAsia="方正书宋_GBK"/>
                    </w:rPr>
                    <w:t>全部完成</w:t>
                  </w:r>
                </w:p>
              </w:tc>
              <w:tc>
                <w:tcPr>
                  <w:tcW w:w="566" w:type="dxa"/>
                  <w:vAlign w:val="center"/>
                </w:tcPr>
                <w:p>
                  <w:pPr>
                    <w:spacing w:line="300" w:lineRule="exact"/>
                    <w:jc w:val="center"/>
                    <w:rPr>
                      <w:rFonts w:ascii="方正书宋_GBK" w:eastAsia="方正书宋_GBK"/>
                    </w:rPr>
                  </w:pPr>
                  <w:r>
                    <w:rPr>
                      <w:rFonts w:ascii="方正书宋_GBK" w:eastAsia="方正书宋_GBK"/>
                    </w:rPr>
                    <w:t>100%</w:t>
                  </w:r>
                </w:p>
              </w:tc>
              <w:tc>
                <w:tcPr>
                  <w:tcW w:w="566" w:type="dxa"/>
                  <w:vAlign w:val="center"/>
                </w:tcPr>
                <w:p>
                  <w:pPr>
                    <w:spacing w:line="300" w:lineRule="exact"/>
                    <w:jc w:val="center"/>
                    <w:rPr>
                      <w:rFonts w:ascii="方正书宋_GBK" w:eastAsia="方正书宋_GBK"/>
                    </w:rPr>
                  </w:pPr>
                  <w:r>
                    <w:rPr>
                      <w:rFonts w:ascii="方正书宋_GBK" w:eastAsia="方正书宋_GBK"/>
                    </w:rPr>
                    <w:t>85%</w:t>
                  </w:r>
                </w:p>
              </w:tc>
              <w:tc>
                <w:tcPr>
                  <w:tcW w:w="566" w:type="dxa"/>
                  <w:vAlign w:val="center"/>
                </w:tcPr>
                <w:p>
                  <w:pPr>
                    <w:spacing w:line="300" w:lineRule="exact"/>
                    <w:jc w:val="center"/>
                    <w:rPr>
                      <w:rFonts w:ascii="方正书宋_GBK" w:eastAsia="方正书宋_GBK"/>
                    </w:rPr>
                  </w:pPr>
                  <w:r>
                    <w:rPr>
                      <w:rFonts w:ascii="方正书宋_GBK" w:eastAsia="方正书宋_GBK"/>
                    </w:rPr>
                    <w:t>70%</w:t>
                  </w:r>
                </w:p>
              </w:tc>
              <w:tc>
                <w:tcPr>
                  <w:tcW w:w="564" w:type="dxa"/>
                  <w:vAlign w:val="center"/>
                </w:tcPr>
                <w:p>
                  <w:pPr>
                    <w:spacing w:line="300" w:lineRule="exact"/>
                    <w:jc w:val="center"/>
                    <w:rPr>
                      <w:rFonts w:ascii="方正书宋_GBK" w:eastAsia="方正书宋_GBK"/>
                    </w:rPr>
                  </w:pPr>
                  <w:r>
                    <w:rPr>
                      <w:rFonts w:ascii="方正书宋_GBK" w:eastAsia="方正书宋_GBK"/>
                    </w:rPr>
                    <w:t>60%</w:t>
                  </w:r>
                </w:p>
              </w:tc>
            </w:tr>
          </w:tbl>
          <w:p>
            <w:pPr>
              <w:autoSpaceDE w:val="0"/>
              <w:autoSpaceDN w:val="0"/>
              <w:adjustRightInd w:val="0"/>
              <w:spacing w:line="560" w:lineRule="exact"/>
              <w:ind w:left="200"/>
              <w:jc w:val="center"/>
              <w:rPr>
                <w:rFonts w:ascii="仿宋" w:hAnsi="仿宋" w:eastAsia="仿宋" w:cs="Times New Roman"/>
                <w:kern w:val="0"/>
                <w:sz w:val="32"/>
                <w:szCs w:val="32"/>
                <w:lang w:val="zh-CN"/>
              </w:rPr>
            </w:pPr>
          </w:p>
          <w:p>
            <w:pPr>
              <w:widowControl/>
              <w:spacing w:line="360" w:lineRule="auto"/>
              <w:jc w:val="left"/>
              <w:rPr>
                <w:rFonts w:ascii="Calibri" w:hAnsi="Calibri" w:eastAsia="仿宋_GB2312" w:cs="Calibri"/>
                <w:b/>
                <w:kern w:val="0"/>
                <w:sz w:val="32"/>
                <w:szCs w:val="32"/>
                <w:lang w:bidi="ar"/>
              </w:rPr>
            </w:pPr>
          </w:p>
          <w:p>
            <w:pPr>
              <w:spacing w:line="300" w:lineRule="exact"/>
              <w:jc w:val="left"/>
              <w:rPr>
                <w:rFonts w:ascii="方正小标宋_GBK" w:eastAsia="方正小标宋_GBK"/>
                <w:sz w:val="24"/>
              </w:rPr>
            </w:pPr>
          </w:p>
        </w:tc>
        <w:tc>
          <w:tcPr>
            <w:tcW w:w="2939" w:type="dxa"/>
            <w:shd w:val="clear" w:color="auto" w:fill="auto"/>
            <w:vAlign w:val="center"/>
          </w:tcPr>
          <w:p>
            <w:pPr>
              <w:spacing w:line="300" w:lineRule="exact"/>
              <w:jc w:val="right"/>
              <w:rPr>
                <w:rFonts w:ascii="方正书宋_GBK" w:eastAsia="方正书宋_GBK"/>
                <w:sz w:val="24"/>
              </w:rPr>
            </w:pPr>
          </w:p>
        </w:tc>
      </w:tr>
    </w:tbl>
    <w:p>
      <w:pPr>
        <w:widowControl/>
        <w:spacing w:line="360" w:lineRule="auto"/>
        <w:jc w:val="left"/>
        <w:rPr>
          <w:rFonts w:ascii="Calibri" w:hAnsi="Calibri" w:eastAsia="仿宋_GB2312" w:cs="Calibri"/>
          <w:b/>
          <w:kern w:val="0"/>
          <w:sz w:val="32"/>
          <w:szCs w:val="32"/>
        </w:rPr>
        <w:sectPr>
          <w:pgSz w:w="16839" w:h="11907" w:orient="landscape"/>
          <w:pgMar w:top="1134" w:right="1020" w:bottom="1134" w:left="1020" w:header="851" w:footer="992" w:gutter="0"/>
          <w:cols w:space="0" w:num="1"/>
          <w:docGrid w:type="lines" w:linePitch="321" w:charSpace="0"/>
        </w:sectPr>
      </w:pPr>
    </w:p>
    <w:p>
      <w:pPr>
        <w:widowControl/>
        <w:spacing w:line="360" w:lineRule="auto"/>
        <w:jc w:val="left"/>
        <w:rPr>
          <w:rFonts w:ascii="Calibri" w:hAnsi="Calibri" w:eastAsia="仿宋_GB2312" w:cs="Calibri"/>
          <w:b/>
          <w:kern w:val="0"/>
          <w:sz w:val="32"/>
          <w:szCs w:val="32"/>
        </w:rPr>
      </w:pPr>
    </w:p>
    <w:p>
      <w:pPr>
        <w:widowControl/>
        <w:numPr>
          <w:ilvl w:val="0"/>
          <w:numId w:val="3"/>
        </w:numPr>
        <w:spacing w:line="360" w:lineRule="auto"/>
        <w:ind w:firstLine="972" w:firstLineChars="304"/>
        <w:jc w:val="left"/>
        <w:rPr>
          <w:rFonts w:ascii="黑体" w:hAnsi="黑体" w:eastAsia="黑体" w:cs="Calibri"/>
          <w:kern w:val="0"/>
          <w:sz w:val="32"/>
          <w:szCs w:val="32"/>
          <w:lang w:bidi="ar"/>
        </w:rPr>
      </w:pPr>
      <w:r>
        <w:rPr>
          <w:rFonts w:hint="eastAsia" w:ascii="黑体" w:hAnsi="黑体" w:eastAsia="黑体" w:cs="Calibri"/>
          <w:kern w:val="0"/>
          <w:sz w:val="32"/>
          <w:szCs w:val="32"/>
          <w:lang w:bidi="ar"/>
        </w:rPr>
        <w:t>政府采购预算情况</w:t>
      </w:r>
    </w:p>
    <w:p>
      <w:pPr>
        <w:widowControl/>
        <w:spacing w:line="360" w:lineRule="auto"/>
        <w:jc w:val="left"/>
        <w:rPr>
          <w:rFonts w:ascii="仿宋" w:hAnsi="仿宋" w:eastAsia="仿宋" w:cs="仿宋"/>
          <w:kern w:val="0"/>
          <w:sz w:val="32"/>
          <w:szCs w:val="32"/>
        </w:rPr>
      </w:pPr>
      <w:r>
        <w:rPr>
          <w:rFonts w:hint="eastAsia" w:ascii="仿宋_GB2312" w:hAnsi="微软雅黑" w:eastAsia="仿宋_GB2312" w:cs="仿宋_GB2312"/>
          <w:kern w:val="0"/>
          <w:sz w:val="32"/>
          <w:szCs w:val="32"/>
        </w:rPr>
        <w:t xml:space="preserve">    </w:t>
      </w:r>
      <w:r>
        <w:rPr>
          <w:rFonts w:ascii="仿宋_GB2312" w:hAnsi="微软雅黑" w:eastAsia="仿宋_GB2312" w:cs="仿宋_GB2312"/>
          <w:kern w:val="0"/>
          <w:sz w:val="32"/>
          <w:szCs w:val="32"/>
        </w:rPr>
        <w:t>政府采购指国家机关、事业单位和社会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[2015]11号）要求的货物、工程或服务的项目，采购人均应编入政府采购预算。</w:t>
      </w:r>
      <w:r>
        <w:rPr>
          <w:rFonts w:hint="eastAsia" w:ascii="微软雅黑" w:hAnsi="微软雅黑" w:eastAsia="微软雅黑" w:cs="微软雅黑"/>
          <w:kern w:val="0"/>
          <w:sz w:val="24"/>
          <w:szCs w:val="24"/>
        </w:rPr>
        <w:t xml:space="preserve"> </w:t>
      </w:r>
      <w:r>
        <w:rPr>
          <w:rFonts w:ascii="仿宋_GB2312" w:hAnsi="微软雅黑" w:eastAsia="仿宋_GB2312" w:cs="仿宋_GB2312"/>
          <w:kern w:val="0"/>
          <w:sz w:val="32"/>
          <w:szCs w:val="32"/>
        </w:rPr>
        <w:t>按照政府采购相关法律法规要求，结合我局实际，201</w:t>
      </w:r>
      <w:r>
        <w:rPr>
          <w:rFonts w:hint="eastAsia" w:ascii="仿宋_GB2312" w:hAnsi="微软雅黑" w:eastAsia="仿宋_GB2312" w:cs="仿宋_GB2312"/>
          <w:kern w:val="0"/>
          <w:sz w:val="32"/>
          <w:szCs w:val="32"/>
        </w:rPr>
        <w:t>7</w:t>
      </w:r>
      <w:r>
        <w:rPr>
          <w:rFonts w:ascii="仿宋_GB2312" w:hAnsi="微软雅黑" w:eastAsia="仿宋_GB2312" w:cs="仿宋_GB2312"/>
          <w:kern w:val="0"/>
          <w:sz w:val="32"/>
          <w:szCs w:val="32"/>
        </w:rPr>
        <w:t>年我局政府采购</w:t>
      </w:r>
      <w:r>
        <w:rPr>
          <w:rFonts w:hint="eastAsia" w:ascii="仿宋_GB2312" w:hAnsi="微软雅黑" w:eastAsia="仿宋_GB2312" w:cs="仿宋_GB2312"/>
          <w:kern w:val="0"/>
          <w:sz w:val="32"/>
          <w:szCs w:val="32"/>
        </w:rPr>
        <w:t>0万元，拟政府采购</w:t>
      </w:r>
      <w:r>
        <w:rPr>
          <w:rFonts w:ascii="仿宋_GB2312" w:hAnsi="微软雅黑" w:eastAsia="仿宋_GB2312" w:cs="仿宋_GB2312"/>
          <w:kern w:val="0"/>
          <w:sz w:val="32"/>
          <w:szCs w:val="32"/>
        </w:rPr>
        <w:t>事项为</w:t>
      </w:r>
      <w:r>
        <w:rPr>
          <w:rFonts w:hint="eastAsia" w:ascii="仿宋_GB2312" w:hAnsi="微软雅黑" w:eastAsia="仿宋_GB2312" w:cs="仿宋_GB2312"/>
          <w:kern w:val="0"/>
          <w:sz w:val="32"/>
          <w:szCs w:val="32"/>
        </w:rPr>
        <w:t>250.047万元(其中包括1，主城区设置公共自行车服务网点工程，调配车1辆，维修车一辆共214200元。2，主城区设置公共自行车服务</w:t>
      </w:r>
      <w:r>
        <w:rPr>
          <w:rFonts w:hint="eastAsia" w:ascii="仿宋" w:hAnsi="仿宋" w:eastAsia="仿宋" w:cs="仿宋"/>
          <w:kern w:val="0"/>
          <w:sz w:val="32"/>
          <w:szCs w:val="32"/>
        </w:rPr>
        <w:t>网点工程一标段，共938670元。3，主城区设置第一期公共服务网点工程，共1347600元。）本年拟用于政府采购微机等办公设备6.4万元。</w:t>
      </w: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Times New Roman"/>
          <w:sz w:val="32"/>
          <w:szCs w:val="32"/>
        </w:rPr>
      </w:pPr>
      <w:r>
        <w:rPr>
          <w:rFonts w:hint="eastAsia" w:ascii="宋体" w:hAnsi="宋体" w:eastAsia="宋体" w:cs="方正小标宋_GBK"/>
          <w:sz w:val="32"/>
          <w:szCs w:val="32"/>
        </w:rPr>
        <w:t>部门政府采购预算</w:t>
      </w:r>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850"/>
        <w:gridCol w:w="1134"/>
        <w:gridCol w:w="805"/>
        <w:gridCol w:w="595"/>
        <w:gridCol w:w="595"/>
        <w:gridCol w:w="640"/>
        <w:gridCol w:w="609"/>
        <w:gridCol w:w="609"/>
        <w:gridCol w:w="609"/>
        <w:gridCol w:w="554"/>
        <w:gridCol w:w="597"/>
        <w:gridCol w:w="597"/>
        <w:gridCol w:w="5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720" w:type="dxa"/>
            <w:gridSpan w:val="7"/>
            <w:tcBorders>
              <w:top w:val="single" w:color="FFFFFF" w:sz="6" w:space="0"/>
              <w:left w:val="single" w:color="FFFFFF" w:sz="6" w:space="0"/>
              <w:right w:val="single" w:color="FFFFFF" w:sz="6" w:space="0"/>
            </w:tcBorders>
            <w:vAlign w:val="center"/>
          </w:tcPr>
          <w:p>
            <w:pPr>
              <w:spacing w:line="560" w:lineRule="exact"/>
              <w:jc w:val="left"/>
              <w:rPr>
                <w:rFonts w:ascii="宋体" w:hAnsi="宋体" w:eastAsia="宋体" w:cs="Times New Roman"/>
                <w:sz w:val="24"/>
                <w:szCs w:val="24"/>
              </w:rPr>
            </w:pPr>
            <w:r>
              <w:rPr>
                <w:rFonts w:hint="eastAsia" w:ascii="宋体" w:hAnsi="宋体" w:eastAsia="宋体" w:cs="方正小标宋_GBK"/>
                <w:sz w:val="24"/>
                <w:szCs w:val="24"/>
              </w:rPr>
              <w:t>部门（单位）名称：成安县城区管理综合执法局</w:t>
            </w:r>
          </w:p>
        </w:tc>
        <w:tc>
          <w:tcPr>
            <w:tcW w:w="4135" w:type="dxa"/>
            <w:gridSpan w:val="7"/>
            <w:tcBorders>
              <w:top w:val="single" w:color="FFFFFF" w:sz="6" w:space="0"/>
              <w:left w:val="single" w:color="FFFFFF" w:sz="6" w:space="0"/>
              <w:right w:val="single" w:color="FFFFFF" w:sz="6" w:space="0"/>
            </w:tcBorders>
            <w:vAlign w:val="center"/>
          </w:tcPr>
          <w:p>
            <w:pPr>
              <w:spacing w:line="560" w:lineRule="exact"/>
              <w:jc w:val="right"/>
              <w:rPr>
                <w:rFonts w:ascii="宋体" w:hAnsi="宋体" w:eastAsia="宋体" w:cs="Times New Roman"/>
                <w:sz w:val="24"/>
                <w:szCs w:val="24"/>
              </w:rPr>
            </w:pPr>
            <w:r>
              <w:rPr>
                <w:rFonts w:hint="eastAsia" w:ascii="宋体" w:hAnsi="宋体" w:eastAsia="宋体" w:cs="方正书宋_GBK"/>
                <w:sz w:val="24"/>
                <w:szCs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51" w:type="dxa"/>
            <w:gridSpan w:val="2"/>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政府采购项目来源</w:t>
            </w:r>
          </w:p>
        </w:tc>
        <w:tc>
          <w:tcPr>
            <w:tcW w:w="1134" w:type="dxa"/>
            <w:vMerge w:val="restart"/>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采购物品名称</w:t>
            </w:r>
          </w:p>
        </w:tc>
        <w:tc>
          <w:tcPr>
            <w:tcW w:w="805"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政府采购目录序号</w:t>
            </w:r>
          </w:p>
        </w:tc>
        <w:tc>
          <w:tcPr>
            <w:tcW w:w="595"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数量</w:t>
            </w:r>
            <w:r>
              <w:rPr>
                <w:rFonts w:ascii="宋体" w:hAnsi="宋体" w:eastAsia="宋体" w:cs="方正书宋_GBK"/>
                <w:b/>
                <w:bCs/>
              </w:rPr>
              <w:t xml:space="preserve">  </w:t>
            </w:r>
            <w:r>
              <w:rPr>
                <w:rFonts w:hint="eastAsia" w:ascii="宋体" w:hAnsi="宋体" w:eastAsia="宋体" w:cs="方正书宋_GBK"/>
                <w:b/>
                <w:bCs/>
              </w:rPr>
              <w:t>单位</w:t>
            </w:r>
          </w:p>
        </w:tc>
        <w:tc>
          <w:tcPr>
            <w:tcW w:w="595"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数量</w:t>
            </w:r>
          </w:p>
        </w:tc>
        <w:tc>
          <w:tcPr>
            <w:tcW w:w="640"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单价</w:t>
            </w:r>
          </w:p>
        </w:tc>
        <w:tc>
          <w:tcPr>
            <w:tcW w:w="4135" w:type="dxa"/>
            <w:gridSpan w:val="7"/>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101"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项目名称</w:t>
            </w:r>
          </w:p>
        </w:tc>
        <w:tc>
          <w:tcPr>
            <w:tcW w:w="850"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预算资金</w:t>
            </w:r>
          </w:p>
        </w:tc>
        <w:tc>
          <w:tcPr>
            <w:tcW w:w="1134" w:type="dxa"/>
            <w:vMerge w:val="continue"/>
            <w:vAlign w:val="center"/>
          </w:tcPr>
          <w:p>
            <w:pPr>
              <w:spacing w:line="560" w:lineRule="exact"/>
              <w:jc w:val="left"/>
              <w:outlineLvl w:val="0"/>
              <w:rPr>
                <w:rFonts w:ascii="宋体" w:hAnsi="宋体" w:eastAsia="宋体" w:cs="Times New Roman"/>
              </w:rPr>
            </w:pPr>
          </w:p>
        </w:tc>
        <w:tc>
          <w:tcPr>
            <w:tcW w:w="805" w:type="dxa"/>
            <w:vMerge w:val="continue"/>
            <w:vAlign w:val="center"/>
          </w:tcPr>
          <w:p>
            <w:pPr>
              <w:spacing w:line="560" w:lineRule="exact"/>
              <w:jc w:val="left"/>
              <w:outlineLvl w:val="0"/>
              <w:rPr>
                <w:rFonts w:ascii="宋体" w:hAnsi="宋体" w:eastAsia="宋体" w:cs="Times New Roman"/>
              </w:rPr>
            </w:pPr>
          </w:p>
        </w:tc>
        <w:tc>
          <w:tcPr>
            <w:tcW w:w="595" w:type="dxa"/>
            <w:vMerge w:val="continue"/>
            <w:vAlign w:val="center"/>
          </w:tcPr>
          <w:p>
            <w:pPr>
              <w:spacing w:line="560" w:lineRule="exact"/>
              <w:jc w:val="left"/>
              <w:outlineLvl w:val="0"/>
              <w:rPr>
                <w:rFonts w:ascii="宋体" w:hAnsi="宋体" w:eastAsia="宋体" w:cs="Times New Roman"/>
              </w:rPr>
            </w:pPr>
          </w:p>
        </w:tc>
        <w:tc>
          <w:tcPr>
            <w:tcW w:w="595" w:type="dxa"/>
            <w:vMerge w:val="continue"/>
            <w:vAlign w:val="center"/>
          </w:tcPr>
          <w:p>
            <w:pPr>
              <w:spacing w:line="560" w:lineRule="exact"/>
              <w:jc w:val="left"/>
              <w:outlineLvl w:val="0"/>
              <w:rPr>
                <w:rFonts w:ascii="宋体" w:hAnsi="宋体" w:eastAsia="宋体" w:cs="Times New Roman"/>
              </w:rPr>
            </w:pPr>
          </w:p>
        </w:tc>
        <w:tc>
          <w:tcPr>
            <w:tcW w:w="640" w:type="dxa"/>
            <w:vMerge w:val="continue"/>
            <w:vAlign w:val="center"/>
          </w:tcPr>
          <w:p>
            <w:pPr>
              <w:spacing w:line="560" w:lineRule="exact"/>
              <w:jc w:val="left"/>
              <w:outlineLvl w:val="0"/>
              <w:rPr>
                <w:rFonts w:ascii="宋体" w:hAnsi="宋体" w:eastAsia="宋体" w:cs="Times New Roman"/>
              </w:rPr>
            </w:pPr>
          </w:p>
        </w:tc>
        <w:tc>
          <w:tcPr>
            <w:tcW w:w="609"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总计</w:t>
            </w:r>
          </w:p>
        </w:tc>
        <w:tc>
          <w:tcPr>
            <w:tcW w:w="2966" w:type="dxa"/>
            <w:gridSpan w:val="5"/>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当年部门预算安排资金</w:t>
            </w:r>
          </w:p>
        </w:tc>
        <w:tc>
          <w:tcPr>
            <w:tcW w:w="560" w:type="dxa"/>
            <w:vMerge w:val="restart"/>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101" w:type="dxa"/>
            <w:vMerge w:val="continue"/>
            <w:vAlign w:val="center"/>
          </w:tcPr>
          <w:p>
            <w:pPr>
              <w:spacing w:line="560" w:lineRule="exact"/>
              <w:jc w:val="left"/>
              <w:outlineLvl w:val="0"/>
              <w:rPr>
                <w:rFonts w:ascii="宋体" w:hAnsi="宋体" w:eastAsia="宋体" w:cs="Times New Roman"/>
              </w:rPr>
            </w:pPr>
          </w:p>
        </w:tc>
        <w:tc>
          <w:tcPr>
            <w:tcW w:w="850" w:type="dxa"/>
            <w:vMerge w:val="continue"/>
            <w:vAlign w:val="center"/>
          </w:tcPr>
          <w:p>
            <w:pPr>
              <w:spacing w:line="560" w:lineRule="exact"/>
              <w:jc w:val="left"/>
              <w:outlineLvl w:val="0"/>
              <w:rPr>
                <w:rFonts w:ascii="宋体" w:hAnsi="宋体" w:eastAsia="宋体" w:cs="Times New Roman"/>
              </w:rPr>
            </w:pPr>
          </w:p>
        </w:tc>
        <w:tc>
          <w:tcPr>
            <w:tcW w:w="1134" w:type="dxa"/>
            <w:vMerge w:val="continue"/>
            <w:vAlign w:val="center"/>
          </w:tcPr>
          <w:p>
            <w:pPr>
              <w:spacing w:line="560" w:lineRule="exact"/>
              <w:jc w:val="left"/>
              <w:outlineLvl w:val="0"/>
              <w:rPr>
                <w:rFonts w:ascii="宋体" w:hAnsi="宋体" w:eastAsia="宋体" w:cs="Times New Roman"/>
              </w:rPr>
            </w:pPr>
          </w:p>
        </w:tc>
        <w:tc>
          <w:tcPr>
            <w:tcW w:w="805" w:type="dxa"/>
            <w:vMerge w:val="continue"/>
            <w:vAlign w:val="center"/>
          </w:tcPr>
          <w:p>
            <w:pPr>
              <w:spacing w:line="560" w:lineRule="exact"/>
              <w:jc w:val="left"/>
              <w:outlineLvl w:val="0"/>
              <w:rPr>
                <w:rFonts w:ascii="宋体" w:hAnsi="宋体" w:eastAsia="宋体" w:cs="Times New Roman"/>
              </w:rPr>
            </w:pPr>
          </w:p>
        </w:tc>
        <w:tc>
          <w:tcPr>
            <w:tcW w:w="595" w:type="dxa"/>
            <w:vMerge w:val="continue"/>
            <w:vAlign w:val="center"/>
          </w:tcPr>
          <w:p>
            <w:pPr>
              <w:spacing w:line="560" w:lineRule="exact"/>
              <w:jc w:val="left"/>
              <w:outlineLvl w:val="0"/>
              <w:rPr>
                <w:rFonts w:ascii="宋体" w:hAnsi="宋体" w:eastAsia="宋体" w:cs="Times New Roman"/>
              </w:rPr>
            </w:pPr>
          </w:p>
        </w:tc>
        <w:tc>
          <w:tcPr>
            <w:tcW w:w="595" w:type="dxa"/>
            <w:vMerge w:val="continue"/>
            <w:vAlign w:val="center"/>
          </w:tcPr>
          <w:p>
            <w:pPr>
              <w:spacing w:line="560" w:lineRule="exact"/>
              <w:jc w:val="left"/>
              <w:outlineLvl w:val="0"/>
              <w:rPr>
                <w:rFonts w:ascii="宋体" w:hAnsi="宋体" w:eastAsia="宋体" w:cs="Times New Roman"/>
              </w:rPr>
            </w:pPr>
          </w:p>
        </w:tc>
        <w:tc>
          <w:tcPr>
            <w:tcW w:w="640" w:type="dxa"/>
            <w:vMerge w:val="continue"/>
            <w:vAlign w:val="center"/>
          </w:tcPr>
          <w:p>
            <w:pPr>
              <w:spacing w:line="560" w:lineRule="exact"/>
              <w:jc w:val="left"/>
              <w:outlineLvl w:val="0"/>
              <w:rPr>
                <w:rFonts w:ascii="宋体" w:hAnsi="宋体" w:eastAsia="宋体" w:cs="Times New Roman"/>
              </w:rPr>
            </w:pPr>
          </w:p>
        </w:tc>
        <w:tc>
          <w:tcPr>
            <w:tcW w:w="609" w:type="dxa"/>
            <w:vMerge w:val="continue"/>
            <w:vAlign w:val="center"/>
          </w:tcPr>
          <w:p>
            <w:pPr>
              <w:spacing w:line="560" w:lineRule="exact"/>
              <w:jc w:val="left"/>
              <w:outlineLvl w:val="0"/>
              <w:rPr>
                <w:rFonts w:ascii="宋体" w:hAnsi="宋体" w:eastAsia="宋体" w:cs="Times New Roman"/>
              </w:rPr>
            </w:pPr>
          </w:p>
        </w:tc>
        <w:tc>
          <w:tcPr>
            <w:tcW w:w="609" w:type="dxa"/>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合计</w:t>
            </w:r>
          </w:p>
        </w:tc>
        <w:tc>
          <w:tcPr>
            <w:tcW w:w="609" w:type="dxa"/>
            <w:vAlign w:val="center"/>
          </w:tcPr>
          <w:p>
            <w:pPr>
              <w:spacing w:line="260" w:lineRule="exact"/>
              <w:jc w:val="center"/>
              <w:rPr>
                <w:rFonts w:ascii="宋体" w:hAnsi="宋体" w:eastAsia="宋体" w:cs="Times New Roman"/>
                <w:b/>
                <w:bCs/>
              </w:rPr>
            </w:pPr>
            <w:r>
              <w:rPr>
                <w:rFonts w:hint="eastAsia" w:ascii="宋体" w:hAnsi="宋体" w:eastAsia="宋体" w:cs="方正书宋_GBK"/>
                <w:b/>
                <w:bCs/>
              </w:rPr>
              <w:t>一般公共预算拨款</w:t>
            </w:r>
          </w:p>
        </w:tc>
        <w:tc>
          <w:tcPr>
            <w:tcW w:w="554" w:type="dxa"/>
            <w:vAlign w:val="center"/>
          </w:tcPr>
          <w:p>
            <w:pPr>
              <w:spacing w:line="260" w:lineRule="exact"/>
              <w:jc w:val="center"/>
              <w:rPr>
                <w:rFonts w:ascii="宋体" w:hAnsi="宋体" w:eastAsia="宋体" w:cs="Times New Roman"/>
                <w:b/>
                <w:bCs/>
              </w:rPr>
            </w:pPr>
            <w:r>
              <w:rPr>
                <w:rFonts w:hint="eastAsia" w:ascii="宋体" w:hAnsi="宋体" w:eastAsia="宋体" w:cs="方正书宋_GBK"/>
                <w:b/>
                <w:bCs/>
              </w:rPr>
              <w:t>基金预算拨款</w:t>
            </w:r>
          </w:p>
        </w:tc>
        <w:tc>
          <w:tcPr>
            <w:tcW w:w="597" w:type="dxa"/>
            <w:vAlign w:val="center"/>
          </w:tcPr>
          <w:p>
            <w:pPr>
              <w:spacing w:line="260" w:lineRule="exact"/>
              <w:jc w:val="center"/>
              <w:rPr>
                <w:rFonts w:ascii="宋体" w:hAnsi="宋体" w:eastAsia="宋体" w:cs="Times New Roman"/>
                <w:b/>
                <w:bCs/>
              </w:rPr>
            </w:pPr>
            <w:r>
              <w:rPr>
                <w:rFonts w:hint="eastAsia" w:ascii="宋体" w:hAnsi="宋体" w:eastAsia="宋体" w:cs="方正书宋_GBK"/>
                <w:b/>
                <w:bCs/>
              </w:rPr>
              <w:t>财政专户核拨</w:t>
            </w:r>
          </w:p>
        </w:tc>
        <w:tc>
          <w:tcPr>
            <w:tcW w:w="597" w:type="dxa"/>
            <w:vAlign w:val="center"/>
          </w:tcPr>
          <w:p>
            <w:pPr>
              <w:spacing w:line="260" w:lineRule="exact"/>
              <w:jc w:val="center"/>
              <w:rPr>
                <w:rFonts w:ascii="宋体" w:hAnsi="宋体" w:eastAsia="宋体" w:cs="Times New Roman"/>
                <w:b/>
                <w:bCs/>
              </w:rPr>
            </w:pPr>
            <w:r>
              <w:rPr>
                <w:rFonts w:hint="eastAsia" w:ascii="宋体" w:hAnsi="宋体" w:eastAsia="宋体" w:cs="方正书宋_GBK"/>
                <w:b/>
                <w:bCs/>
              </w:rPr>
              <w:t>其他来源收入</w:t>
            </w:r>
          </w:p>
        </w:tc>
        <w:tc>
          <w:tcPr>
            <w:tcW w:w="560" w:type="dxa"/>
            <w:vMerge w:val="continue"/>
            <w:vAlign w:val="center"/>
          </w:tcPr>
          <w:p>
            <w:pPr>
              <w:spacing w:line="560" w:lineRule="exact"/>
              <w:jc w:val="left"/>
              <w:outlineLvl w:val="0"/>
              <w:rPr>
                <w:rFonts w:ascii="宋体" w:hAnsi="宋体"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101" w:type="dxa"/>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合　计</w:t>
            </w:r>
          </w:p>
        </w:tc>
        <w:tc>
          <w:tcPr>
            <w:tcW w:w="850"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1134" w:type="dxa"/>
            <w:vAlign w:val="center"/>
          </w:tcPr>
          <w:p>
            <w:pPr>
              <w:spacing w:line="560" w:lineRule="exact"/>
              <w:jc w:val="left"/>
              <w:rPr>
                <w:rFonts w:ascii="宋体" w:hAnsi="宋体" w:eastAsia="宋体" w:cs="Times New Roman"/>
                <w:b/>
                <w:bCs/>
              </w:rPr>
            </w:pPr>
          </w:p>
        </w:tc>
        <w:tc>
          <w:tcPr>
            <w:tcW w:w="805" w:type="dxa"/>
            <w:vAlign w:val="center"/>
          </w:tcPr>
          <w:p>
            <w:pPr>
              <w:spacing w:line="560" w:lineRule="exact"/>
              <w:jc w:val="left"/>
              <w:rPr>
                <w:rFonts w:ascii="宋体" w:hAnsi="宋体" w:eastAsia="宋体" w:cs="Times New Roman"/>
                <w:b/>
                <w:bCs/>
              </w:rPr>
            </w:pPr>
          </w:p>
        </w:tc>
        <w:tc>
          <w:tcPr>
            <w:tcW w:w="595" w:type="dxa"/>
            <w:vAlign w:val="center"/>
          </w:tcPr>
          <w:p>
            <w:pPr>
              <w:spacing w:line="560" w:lineRule="exact"/>
              <w:jc w:val="left"/>
              <w:rPr>
                <w:rFonts w:ascii="宋体" w:hAnsi="宋体" w:eastAsia="宋体" w:cs="Times New Roman"/>
                <w:b/>
                <w:bCs/>
              </w:rPr>
            </w:pPr>
          </w:p>
        </w:tc>
        <w:tc>
          <w:tcPr>
            <w:tcW w:w="595" w:type="dxa"/>
            <w:vAlign w:val="center"/>
          </w:tcPr>
          <w:p>
            <w:pPr>
              <w:spacing w:line="560" w:lineRule="exact"/>
              <w:jc w:val="right"/>
              <w:rPr>
                <w:rFonts w:ascii="宋体" w:hAnsi="宋体" w:eastAsia="宋体" w:cs="Times New Roman"/>
                <w:b/>
                <w:bCs/>
              </w:rPr>
            </w:pPr>
          </w:p>
        </w:tc>
        <w:tc>
          <w:tcPr>
            <w:tcW w:w="640" w:type="dxa"/>
            <w:vAlign w:val="center"/>
          </w:tcPr>
          <w:p>
            <w:pPr>
              <w:spacing w:line="560" w:lineRule="exact"/>
              <w:jc w:val="right"/>
              <w:rPr>
                <w:rFonts w:ascii="宋体" w:hAnsi="宋体" w:eastAsia="宋体" w:cs="Times New Roman"/>
                <w:b/>
                <w:bCs/>
              </w:rPr>
            </w:pPr>
          </w:p>
        </w:tc>
        <w:tc>
          <w:tcPr>
            <w:tcW w:w="60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60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60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554" w:type="dxa"/>
            <w:vAlign w:val="center"/>
          </w:tcPr>
          <w:p>
            <w:pPr>
              <w:spacing w:line="560" w:lineRule="exact"/>
              <w:jc w:val="right"/>
              <w:rPr>
                <w:rFonts w:ascii="宋体" w:hAnsi="宋体" w:eastAsia="宋体" w:cs="Times New Roman"/>
                <w:b/>
                <w:bCs/>
              </w:rPr>
            </w:pPr>
          </w:p>
        </w:tc>
        <w:tc>
          <w:tcPr>
            <w:tcW w:w="597" w:type="dxa"/>
            <w:vAlign w:val="center"/>
          </w:tcPr>
          <w:p>
            <w:pPr>
              <w:spacing w:line="560" w:lineRule="exact"/>
              <w:jc w:val="right"/>
              <w:rPr>
                <w:rFonts w:ascii="宋体" w:hAnsi="宋体" w:eastAsia="宋体" w:cs="Times New Roman"/>
                <w:b/>
                <w:bCs/>
              </w:rPr>
            </w:pPr>
          </w:p>
        </w:tc>
        <w:tc>
          <w:tcPr>
            <w:tcW w:w="597" w:type="dxa"/>
            <w:vAlign w:val="center"/>
          </w:tcPr>
          <w:p>
            <w:pPr>
              <w:spacing w:line="560" w:lineRule="exact"/>
              <w:jc w:val="right"/>
              <w:rPr>
                <w:rFonts w:ascii="宋体" w:hAnsi="宋体" w:eastAsia="宋体" w:cs="Times New Roman"/>
                <w:b/>
                <w:bCs/>
              </w:rPr>
            </w:pPr>
          </w:p>
        </w:tc>
        <w:tc>
          <w:tcPr>
            <w:tcW w:w="560" w:type="dxa"/>
            <w:vAlign w:val="center"/>
          </w:tcPr>
          <w:p>
            <w:pPr>
              <w:spacing w:line="560" w:lineRule="exact"/>
              <w:jc w:val="right"/>
              <w:rPr>
                <w:rFonts w:ascii="宋体" w:hAnsi="宋体" w:eastAsia="宋体" w:cs="Times New Roman"/>
                <w:b/>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101" w:type="dxa"/>
            <w:vAlign w:val="center"/>
          </w:tcPr>
          <w:p>
            <w:pPr>
              <w:spacing w:line="560" w:lineRule="exact"/>
              <w:jc w:val="center"/>
              <w:rPr>
                <w:rFonts w:ascii="宋体" w:hAnsi="宋体" w:eastAsia="宋体" w:cs="Times New Roman"/>
                <w:b/>
                <w:bCs/>
              </w:rPr>
            </w:pPr>
          </w:p>
        </w:tc>
        <w:tc>
          <w:tcPr>
            <w:tcW w:w="850"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1134" w:type="dxa"/>
            <w:vAlign w:val="center"/>
          </w:tcPr>
          <w:p>
            <w:pPr>
              <w:spacing w:line="560" w:lineRule="exact"/>
              <w:jc w:val="left"/>
              <w:rPr>
                <w:rFonts w:ascii="宋体" w:hAnsi="宋体" w:eastAsia="宋体" w:cs="Times New Roman"/>
                <w:b/>
                <w:bCs/>
              </w:rPr>
            </w:pPr>
            <w:r>
              <w:rPr>
                <w:rFonts w:hint="eastAsia" w:ascii="宋体" w:hAnsi="宋体" w:eastAsia="宋体" w:cs="Times New Roman"/>
                <w:b/>
                <w:bCs/>
              </w:rPr>
              <w:t>办公设备</w:t>
            </w:r>
          </w:p>
        </w:tc>
        <w:tc>
          <w:tcPr>
            <w:tcW w:w="805" w:type="dxa"/>
            <w:vAlign w:val="center"/>
          </w:tcPr>
          <w:p>
            <w:pPr>
              <w:spacing w:line="560" w:lineRule="exact"/>
              <w:jc w:val="left"/>
              <w:rPr>
                <w:rFonts w:ascii="宋体" w:hAnsi="宋体" w:eastAsia="宋体" w:cs="Times New Roman"/>
                <w:b/>
                <w:bCs/>
              </w:rPr>
            </w:pPr>
          </w:p>
        </w:tc>
        <w:tc>
          <w:tcPr>
            <w:tcW w:w="595" w:type="dxa"/>
            <w:vAlign w:val="center"/>
          </w:tcPr>
          <w:p>
            <w:pPr>
              <w:spacing w:line="560" w:lineRule="exact"/>
              <w:jc w:val="left"/>
              <w:rPr>
                <w:rFonts w:ascii="宋体" w:hAnsi="宋体" w:eastAsia="宋体" w:cs="Times New Roman"/>
                <w:b/>
                <w:bCs/>
              </w:rPr>
            </w:pPr>
            <w:r>
              <w:rPr>
                <w:rFonts w:hint="eastAsia" w:ascii="宋体" w:hAnsi="宋体" w:eastAsia="宋体" w:cs="Times New Roman"/>
                <w:b/>
                <w:bCs/>
              </w:rPr>
              <w:t>台</w:t>
            </w:r>
          </w:p>
        </w:tc>
        <w:tc>
          <w:tcPr>
            <w:tcW w:w="595"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19</w:t>
            </w:r>
          </w:p>
        </w:tc>
        <w:tc>
          <w:tcPr>
            <w:tcW w:w="640"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0.33</w:t>
            </w:r>
          </w:p>
        </w:tc>
        <w:tc>
          <w:tcPr>
            <w:tcW w:w="60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60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60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554" w:type="dxa"/>
            <w:vAlign w:val="center"/>
          </w:tcPr>
          <w:p>
            <w:pPr>
              <w:spacing w:line="560" w:lineRule="exact"/>
              <w:jc w:val="right"/>
              <w:rPr>
                <w:rFonts w:ascii="宋体" w:hAnsi="宋体" w:eastAsia="宋体" w:cs="Times New Roman"/>
                <w:b/>
                <w:bCs/>
              </w:rPr>
            </w:pPr>
          </w:p>
        </w:tc>
        <w:tc>
          <w:tcPr>
            <w:tcW w:w="597" w:type="dxa"/>
            <w:vAlign w:val="center"/>
          </w:tcPr>
          <w:p>
            <w:pPr>
              <w:spacing w:line="560" w:lineRule="exact"/>
              <w:jc w:val="right"/>
              <w:rPr>
                <w:rFonts w:ascii="宋体" w:hAnsi="宋体" w:eastAsia="宋体" w:cs="Times New Roman"/>
                <w:b/>
                <w:bCs/>
              </w:rPr>
            </w:pPr>
          </w:p>
        </w:tc>
        <w:tc>
          <w:tcPr>
            <w:tcW w:w="597" w:type="dxa"/>
            <w:vAlign w:val="center"/>
          </w:tcPr>
          <w:p>
            <w:pPr>
              <w:spacing w:line="560" w:lineRule="exact"/>
              <w:jc w:val="right"/>
              <w:rPr>
                <w:rFonts w:ascii="宋体" w:hAnsi="宋体" w:eastAsia="宋体" w:cs="Times New Roman"/>
                <w:b/>
                <w:bCs/>
              </w:rPr>
            </w:pPr>
          </w:p>
        </w:tc>
        <w:tc>
          <w:tcPr>
            <w:tcW w:w="560" w:type="dxa"/>
            <w:vAlign w:val="center"/>
          </w:tcPr>
          <w:p>
            <w:pPr>
              <w:spacing w:line="560" w:lineRule="exact"/>
              <w:jc w:val="right"/>
              <w:rPr>
                <w:rFonts w:ascii="宋体" w:hAnsi="宋体" w:eastAsia="宋体" w:cs="Times New Roman"/>
                <w:b/>
                <w:bCs/>
              </w:rPr>
            </w:pPr>
          </w:p>
        </w:tc>
      </w:tr>
    </w:tbl>
    <w:p>
      <w:pPr>
        <w:widowControl/>
        <w:spacing w:line="360" w:lineRule="auto"/>
        <w:jc w:val="left"/>
        <w:rPr>
          <w:rFonts w:ascii="黑体" w:hAnsi="黑体" w:eastAsia="黑体" w:cs="Calibri"/>
          <w:kern w:val="0"/>
          <w:sz w:val="32"/>
          <w:szCs w:val="32"/>
        </w:rPr>
      </w:pPr>
      <w:r>
        <w:rPr>
          <w:rFonts w:hint="eastAsia" w:ascii="黑体" w:hAnsi="黑体" w:eastAsia="黑体" w:cs="Calibri"/>
          <w:kern w:val="0"/>
          <w:sz w:val="32"/>
          <w:szCs w:val="32"/>
        </w:rPr>
        <w:t>七、国有资产情况的说明</w:t>
      </w:r>
    </w:p>
    <w:p>
      <w:pPr>
        <w:spacing w:line="560" w:lineRule="exact"/>
        <w:ind w:firstLine="640"/>
        <w:rPr>
          <w:rFonts w:ascii="仿宋_GB2312" w:hAnsi="黑体" w:eastAsia="仿宋_GB2312" w:cs="Times New Roman"/>
          <w:sz w:val="32"/>
          <w:szCs w:val="32"/>
        </w:rPr>
      </w:pPr>
      <w:r>
        <w:rPr>
          <w:rFonts w:ascii="仿宋_GB2312" w:hAnsi="宋体" w:eastAsia="仿宋_GB2312" w:cs="宋体"/>
          <w:color w:val="333333"/>
          <w:kern w:val="0"/>
          <w:sz w:val="32"/>
          <w:szCs w:val="32"/>
        </w:rPr>
        <w:t>截止上年</w:t>
      </w:r>
      <w:r>
        <w:rPr>
          <w:rFonts w:ascii="仿宋_GB2312" w:hAnsi="Calibri" w:eastAsia="仿宋_GB2312" w:cs="仿宋_GB2312"/>
          <w:kern w:val="0"/>
          <w:sz w:val="32"/>
          <w:szCs w:val="32"/>
        </w:rPr>
        <w:t>末固定资产</w:t>
      </w:r>
      <w:r>
        <w:rPr>
          <w:rFonts w:hint="eastAsia" w:ascii="仿宋_GB2312" w:hAnsi="Calibri" w:eastAsia="仿宋_GB2312" w:cs="仿宋_GB2312"/>
          <w:kern w:val="0"/>
          <w:sz w:val="32"/>
          <w:szCs w:val="32"/>
          <w:lang w:eastAsia="zh-CN"/>
        </w:rPr>
        <w:t>账面</w:t>
      </w:r>
      <w:bookmarkStart w:id="1" w:name="_GoBack"/>
      <w:bookmarkEnd w:id="1"/>
      <w:r>
        <w:rPr>
          <w:rFonts w:ascii="仿宋_GB2312" w:hAnsi="Calibri" w:eastAsia="仿宋_GB2312" w:cs="仿宋_GB2312"/>
          <w:kern w:val="0"/>
          <w:sz w:val="32"/>
          <w:szCs w:val="32"/>
        </w:rPr>
        <w:t>结余</w:t>
      </w:r>
      <w:r>
        <w:rPr>
          <w:rFonts w:hint="eastAsia" w:ascii="仿宋_GB2312" w:hAnsi="Calibri" w:eastAsia="仿宋_GB2312" w:cs="仿宋_GB2312"/>
          <w:kern w:val="0"/>
          <w:sz w:val="32"/>
          <w:szCs w:val="32"/>
        </w:rPr>
        <w:t>123.3</w:t>
      </w:r>
      <w:r>
        <w:rPr>
          <w:rFonts w:ascii="仿宋_GB2312" w:hAnsi="Calibri" w:eastAsia="仿宋_GB2312" w:cs="仿宋_GB2312"/>
          <w:kern w:val="0"/>
          <w:sz w:val="32"/>
          <w:szCs w:val="32"/>
        </w:rPr>
        <w:t>万元。</w:t>
      </w:r>
      <w:r>
        <w:rPr>
          <w:rFonts w:hint="eastAsia" w:ascii="仿宋_GB2312" w:hAnsi="Calibri" w:eastAsia="仿宋_GB2312" w:cs="仿宋_GB2312"/>
          <w:kern w:val="0"/>
          <w:sz w:val="32"/>
          <w:szCs w:val="32"/>
        </w:rPr>
        <w:t>其中：车辆价值108.7万元，其它资产办公用电脑、办公家具、专用设备等价值14.6万元。2017年我单位拟购置6.4万元，</w:t>
      </w:r>
      <w:r>
        <w:rPr>
          <w:rFonts w:hint="eastAsia" w:ascii="仿宋_GB2312" w:hAnsi="黑体" w:eastAsia="仿宋_GB2312" w:cs="仿宋_GB2312"/>
          <w:sz w:val="32"/>
          <w:szCs w:val="32"/>
        </w:rPr>
        <w:t>已列入政府采购预算。详见下表。</w:t>
      </w:r>
    </w:p>
    <w:tbl>
      <w:tblPr>
        <w:tblStyle w:val="6"/>
        <w:tblW w:w="9855" w:type="dxa"/>
        <w:tblInd w:w="-106" w:type="dxa"/>
        <w:tblLayout w:type="fixed"/>
        <w:tblCellMar>
          <w:top w:w="0" w:type="dxa"/>
          <w:left w:w="108" w:type="dxa"/>
          <w:bottom w:w="0" w:type="dxa"/>
          <w:right w:w="108" w:type="dxa"/>
        </w:tblCellMar>
      </w:tblPr>
      <w:tblGrid>
        <w:gridCol w:w="4502"/>
        <w:gridCol w:w="930"/>
        <w:gridCol w:w="4423"/>
      </w:tblGrid>
      <w:tr>
        <w:tblPrEx>
          <w:tblCellMar>
            <w:top w:w="0" w:type="dxa"/>
            <w:left w:w="108" w:type="dxa"/>
            <w:bottom w:w="0" w:type="dxa"/>
            <w:right w:w="108" w:type="dxa"/>
          </w:tblCellMar>
        </w:tblPrEx>
        <w:trPr>
          <w:trHeight w:val="705" w:hRule="atLeast"/>
        </w:trPr>
        <w:tc>
          <w:tcPr>
            <w:tcW w:w="9855" w:type="dxa"/>
            <w:gridSpan w:val="3"/>
            <w:tcBorders>
              <w:top w:val="nil"/>
              <w:left w:val="nil"/>
              <w:bottom w:val="nil"/>
              <w:right w:val="nil"/>
            </w:tcBorders>
            <w:vAlign w:val="center"/>
          </w:tcPr>
          <w:p>
            <w:pPr>
              <w:widowControl/>
              <w:rPr>
                <w:rFonts w:ascii="宋体" w:hAnsi="宋体" w:eastAsia="宋体" w:cs="Times New Roman"/>
                <w:b/>
                <w:bCs/>
                <w:kern w:val="0"/>
                <w:sz w:val="32"/>
                <w:szCs w:val="32"/>
              </w:rPr>
            </w:pPr>
          </w:p>
          <w:p>
            <w:pPr>
              <w:widowControl/>
              <w:jc w:val="center"/>
              <w:rPr>
                <w:rFonts w:ascii="宋体" w:hAnsi="宋体" w:eastAsia="宋体" w:cs="Times New Roman"/>
                <w:b/>
                <w:bCs/>
                <w:kern w:val="0"/>
                <w:sz w:val="32"/>
                <w:szCs w:val="32"/>
              </w:rPr>
            </w:pPr>
            <w:r>
              <w:rPr>
                <w:rFonts w:hint="eastAsia" w:ascii="宋体" w:hAnsi="宋体" w:eastAsia="宋体" w:cs="宋体"/>
                <w:b/>
                <w:bCs/>
                <w:kern w:val="0"/>
                <w:sz w:val="32"/>
                <w:szCs w:val="32"/>
              </w:rPr>
              <w:t>部门固定资产占用情况表</w:t>
            </w:r>
          </w:p>
        </w:tc>
      </w:tr>
      <w:tr>
        <w:tblPrEx>
          <w:tblCellMar>
            <w:top w:w="0" w:type="dxa"/>
            <w:left w:w="108" w:type="dxa"/>
            <w:bottom w:w="0" w:type="dxa"/>
            <w:right w:w="108" w:type="dxa"/>
          </w:tblCellMar>
        </w:tblPrEx>
        <w:trPr>
          <w:trHeight w:val="510" w:hRule="atLeast"/>
        </w:trPr>
        <w:tc>
          <w:tcPr>
            <w:tcW w:w="5432" w:type="dxa"/>
            <w:gridSpan w:val="2"/>
            <w:tcBorders>
              <w:top w:val="nil"/>
              <w:left w:val="nil"/>
              <w:bottom w:val="nil"/>
              <w:right w:val="nil"/>
            </w:tcBorders>
            <w:vAlign w:val="center"/>
          </w:tcPr>
          <w:p>
            <w:pPr>
              <w:widowControl/>
              <w:jc w:val="left"/>
              <w:rPr>
                <w:rFonts w:ascii="宋体" w:hAnsi="宋体" w:eastAsia="宋体" w:cs="Times New Roman"/>
                <w:kern w:val="0"/>
                <w:sz w:val="22"/>
              </w:rPr>
            </w:pPr>
            <w:r>
              <w:rPr>
                <w:rFonts w:hint="eastAsia" w:ascii="宋体" w:hAnsi="宋体" w:eastAsia="宋体" w:cs="宋体"/>
                <w:kern w:val="0"/>
                <w:sz w:val="22"/>
              </w:rPr>
              <w:t>编制部门：成安县城区管理综合执法局</w:t>
            </w:r>
          </w:p>
        </w:tc>
        <w:tc>
          <w:tcPr>
            <w:tcW w:w="4423" w:type="dxa"/>
            <w:tcBorders>
              <w:top w:val="nil"/>
              <w:left w:val="nil"/>
              <w:bottom w:val="nil"/>
              <w:right w:val="nil"/>
            </w:tcBorders>
            <w:vAlign w:val="center"/>
          </w:tcPr>
          <w:p>
            <w:pPr>
              <w:widowControl/>
              <w:ind w:firstLine="550" w:firstLineChars="250"/>
              <w:jc w:val="left"/>
              <w:rPr>
                <w:rFonts w:ascii="宋体" w:hAnsi="宋体" w:eastAsia="宋体" w:cs="宋体"/>
                <w:kern w:val="0"/>
                <w:sz w:val="22"/>
              </w:rPr>
            </w:pPr>
            <w:r>
              <w:rPr>
                <w:rFonts w:hint="eastAsia" w:ascii="宋体" w:hAnsi="宋体" w:eastAsia="宋体" w:cs="宋体"/>
                <w:kern w:val="0"/>
                <w:sz w:val="22"/>
              </w:rPr>
              <w:t>截止时间：</w:t>
            </w:r>
            <w:r>
              <w:rPr>
                <w:rFonts w:ascii="宋体" w:hAnsi="宋体" w:eastAsia="宋体" w:cs="宋体"/>
                <w:kern w:val="0"/>
                <w:sz w:val="22"/>
              </w:rPr>
              <w:t>2016</w:t>
            </w:r>
            <w:r>
              <w:rPr>
                <w:rFonts w:hint="eastAsia" w:ascii="宋体" w:hAnsi="宋体" w:eastAsia="宋体" w:cs="宋体"/>
                <w:kern w:val="0"/>
                <w:sz w:val="22"/>
              </w:rPr>
              <w:t>年</w:t>
            </w:r>
            <w:r>
              <w:rPr>
                <w:rFonts w:ascii="宋体" w:hAnsi="宋体" w:eastAsia="宋体" w:cs="宋体"/>
                <w:kern w:val="0"/>
                <w:sz w:val="22"/>
              </w:rPr>
              <w:t>12</w:t>
            </w:r>
            <w:r>
              <w:rPr>
                <w:rFonts w:hint="eastAsia" w:ascii="宋体" w:hAnsi="宋体" w:eastAsia="宋体" w:cs="宋体"/>
                <w:kern w:val="0"/>
                <w:sz w:val="22"/>
              </w:rPr>
              <w:t>月</w:t>
            </w:r>
            <w:r>
              <w:rPr>
                <w:rFonts w:ascii="宋体" w:hAnsi="宋体" w:eastAsia="宋体" w:cs="宋体"/>
                <w:kern w:val="0"/>
                <w:sz w:val="22"/>
              </w:rPr>
              <w:t>31</w:t>
            </w:r>
            <w:r>
              <w:rPr>
                <w:rFonts w:hint="eastAsia" w:ascii="宋体" w:hAnsi="宋体" w:eastAsia="宋体" w:cs="宋体"/>
                <w:kern w:val="0"/>
                <w:sz w:val="22"/>
              </w:rPr>
              <w:t>日</w:t>
            </w:r>
            <w:r>
              <w:rPr>
                <w:rFonts w:ascii="宋体" w:hAnsi="宋体" w:eastAsia="宋体" w:cs="宋体"/>
                <w:kern w:val="0"/>
                <w:sz w:val="22"/>
              </w:rPr>
              <w:t xml:space="preserve">  </w:t>
            </w:r>
          </w:p>
        </w:tc>
      </w:tr>
      <w:tr>
        <w:tblPrEx>
          <w:tblCellMar>
            <w:top w:w="0" w:type="dxa"/>
            <w:left w:w="108" w:type="dxa"/>
            <w:bottom w:w="0" w:type="dxa"/>
            <w:right w:w="108" w:type="dxa"/>
          </w:tblCellMar>
        </w:tblPrEx>
        <w:trPr>
          <w:trHeight w:val="645" w:hRule="atLeast"/>
        </w:trPr>
        <w:tc>
          <w:tcPr>
            <w:tcW w:w="45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kern w:val="0"/>
                <w:sz w:val="22"/>
              </w:rPr>
            </w:pPr>
            <w:r>
              <w:rPr>
                <w:rFonts w:hint="eastAsia" w:ascii="宋体" w:hAnsi="宋体" w:eastAsia="宋体" w:cs="宋体"/>
                <w:b/>
                <w:bCs/>
                <w:kern w:val="0"/>
                <w:sz w:val="22"/>
              </w:rPr>
              <w:t>项</w:t>
            </w:r>
            <w:r>
              <w:rPr>
                <w:rFonts w:ascii="宋体" w:hAnsi="宋体" w:eastAsia="宋体" w:cs="宋体"/>
                <w:b/>
                <w:bCs/>
                <w:kern w:val="0"/>
                <w:sz w:val="22"/>
              </w:rPr>
              <w:t xml:space="preserve">   </w:t>
            </w:r>
            <w:r>
              <w:rPr>
                <w:rFonts w:hint="eastAsia" w:ascii="宋体" w:hAnsi="宋体" w:eastAsia="宋体" w:cs="宋体"/>
                <w:b/>
                <w:bCs/>
                <w:kern w:val="0"/>
                <w:sz w:val="22"/>
              </w:rPr>
              <w:t>目</w:t>
            </w:r>
          </w:p>
        </w:tc>
        <w:tc>
          <w:tcPr>
            <w:tcW w:w="9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sz w:val="22"/>
              </w:rPr>
            </w:pPr>
            <w:r>
              <w:rPr>
                <w:rFonts w:hint="eastAsia" w:ascii="宋体" w:hAnsi="宋体" w:eastAsia="宋体" w:cs="宋体"/>
                <w:b/>
                <w:bCs/>
                <w:kern w:val="0"/>
                <w:sz w:val="22"/>
              </w:rPr>
              <w:t>数量</w:t>
            </w:r>
          </w:p>
        </w:tc>
        <w:tc>
          <w:tcPr>
            <w:tcW w:w="44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sz w:val="22"/>
              </w:rPr>
            </w:pPr>
            <w:r>
              <w:rPr>
                <w:rFonts w:hint="eastAsia" w:ascii="宋体" w:hAnsi="宋体" w:eastAsia="宋体" w:cs="宋体"/>
                <w:b/>
                <w:bCs/>
                <w:kern w:val="0"/>
                <w:sz w:val="22"/>
              </w:rPr>
              <w:t>价值（金额单位：万元）</w:t>
            </w:r>
          </w:p>
        </w:tc>
      </w:tr>
      <w:tr>
        <w:tblPrEx>
          <w:tblCellMar>
            <w:top w:w="0" w:type="dxa"/>
            <w:left w:w="108" w:type="dxa"/>
            <w:bottom w:w="0" w:type="dxa"/>
            <w:right w:w="108" w:type="dxa"/>
          </w:tblCellMar>
        </w:tblPrEx>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宋体"/>
                <w:kern w:val="0"/>
                <w:sz w:val="22"/>
              </w:rPr>
              <w:t>资产总额</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123.3</w:t>
            </w:r>
          </w:p>
        </w:tc>
      </w:tr>
      <w:tr>
        <w:tblPrEx>
          <w:tblCellMar>
            <w:top w:w="0" w:type="dxa"/>
            <w:left w:w="108" w:type="dxa"/>
            <w:bottom w:w="0" w:type="dxa"/>
            <w:right w:w="108" w:type="dxa"/>
          </w:tblCellMar>
        </w:tblPrEx>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kern w:val="0"/>
                <w:sz w:val="22"/>
              </w:rPr>
            </w:pPr>
            <w:r>
              <w:rPr>
                <w:rFonts w:ascii="宋体" w:hAnsi="宋体" w:eastAsia="宋体" w:cs="宋体"/>
                <w:kern w:val="0"/>
                <w:sz w:val="22"/>
              </w:rPr>
              <w:t>1</w:t>
            </w:r>
            <w:r>
              <w:rPr>
                <w:rFonts w:hint="eastAsia" w:ascii="宋体" w:hAnsi="宋体" w:eastAsia="宋体" w:cs="宋体"/>
                <w:kern w:val="0"/>
                <w:sz w:val="22"/>
              </w:rPr>
              <w:t>、房屋（平方米）</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r>
      <w:tr>
        <w:tblPrEx>
          <w:tblCellMar>
            <w:top w:w="0" w:type="dxa"/>
            <w:left w:w="108" w:type="dxa"/>
            <w:bottom w:w="0" w:type="dxa"/>
            <w:right w:w="108" w:type="dxa"/>
          </w:tblCellMar>
        </w:tblPrEx>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kern w:val="0"/>
                <w:sz w:val="22"/>
              </w:rPr>
            </w:pPr>
            <w:r>
              <w:rPr>
                <w:rFonts w:ascii="宋体" w:hAnsi="宋体" w:eastAsia="宋体" w:cs="宋体"/>
                <w:kern w:val="0"/>
                <w:sz w:val="22"/>
              </w:rPr>
              <w:t xml:space="preserve">   </w:t>
            </w:r>
            <w:r>
              <w:rPr>
                <w:rFonts w:hint="eastAsia" w:ascii="宋体" w:hAnsi="宋体" w:eastAsia="宋体" w:cs="宋体"/>
                <w:kern w:val="0"/>
                <w:sz w:val="22"/>
              </w:rPr>
              <w:t>其中：办公用房（平方米）</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r>
      <w:tr>
        <w:tblPrEx>
          <w:tblCellMar>
            <w:top w:w="0" w:type="dxa"/>
            <w:left w:w="108" w:type="dxa"/>
            <w:bottom w:w="0" w:type="dxa"/>
            <w:right w:w="108" w:type="dxa"/>
          </w:tblCellMar>
        </w:tblPrEx>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kern w:val="0"/>
                <w:sz w:val="22"/>
              </w:rPr>
            </w:pPr>
            <w:r>
              <w:rPr>
                <w:rFonts w:ascii="宋体" w:hAnsi="宋体" w:eastAsia="宋体" w:cs="宋体"/>
                <w:kern w:val="0"/>
                <w:sz w:val="22"/>
              </w:rPr>
              <w:t>2</w:t>
            </w:r>
            <w:r>
              <w:rPr>
                <w:rFonts w:hint="eastAsia" w:ascii="宋体" w:hAnsi="宋体" w:eastAsia="宋体" w:cs="宋体"/>
                <w:kern w:val="0"/>
                <w:sz w:val="22"/>
              </w:rPr>
              <w:t>、车辆（台、辆）</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Times New Roman"/>
                <w:kern w:val="0"/>
                <w:sz w:val="22"/>
              </w:rPr>
              <w:t>108.7</w:t>
            </w:r>
          </w:p>
        </w:tc>
      </w:tr>
      <w:tr>
        <w:tblPrEx>
          <w:tblCellMar>
            <w:top w:w="0" w:type="dxa"/>
            <w:left w:w="108" w:type="dxa"/>
            <w:bottom w:w="0" w:type="dxa"/>
            <w:right w:w="108" w:type="dxa"/>
          </w:tblCellMar>
        </w:tblPrEx>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kern w:val="0"/>
                <w:sz w:val="22"/>
              </w:rPr>
            </w:pPr>
            <w:r>
              <w:rPr>
                <w:rFonts w:ascii="宋体" w:hAnsi="宋体" w:eastAsia="宋体" w:cs="宋体"/>
                <w:kern w:val="0"/>
                <w:sz w:val="22"/>
              </w:rPr>
              <w:t>3</w:t>
            </w:r>
            <w:r>
              <w:rPr>
                <w:rFonts w:hint="eastAsia" w:ascii="宋体" w:hAnsi="宋体" w:eastAsia="宋体" w:cs="宋体"/>
                <w:kern w:val="0"/>
                <w:sz w:val="22"/>
              </w:rPr>
              <w:t>、单价在</w:t>
            </w:r>
            <w:r>
              <w:rPr>
                <w:rFonts w:ascii="宋体" w:hAnsi="宋体" w:eastAsia="宋体" w:cs="宋体"/>
                <w:kern w:val="0"/>
                <w:sz w:val="22"/>
              </w:rPr>
              <w:t>50</w:t>
            </w:r>
            <w:r>
              <w:rPr>
                <w:rFonts w:hint="eastAsia" w:ascii="宋体" w:hAnsi="宋体" w:eastAsia="宋体" w:cs="宋体"/>
                <w:kern w:val="0"/>
                <w:sz w:val="22"/>
              </w:rPr>
              <w:t>万元以上的设备</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r>
      <w:tr>
        <w:tblPrEx>
          <w:tblCellMar>
            <w:top w:w="0" w:type="dxa"/>
            <w:left w:w="108" w:type="dxa"/>
            <w:bottom w:w="0" w:type="dxa"/>
            <w:right w:w="108" w:type="dxa"/>
          </w:tblCellMar>
        </w:tblPrEx>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kern w:val="0"/>
                <w:sz w:val="22"/>
              </w:rPr>
            </w:pPr>
            <w:r>
              <w:rPr>
                <w:rFonts w:ascii="宋体" w:hAnsi="宋体" w:eastAsia="宋体" w:cs="宋体"/>
                <w:kern w:val="0"/>
                <w:sz w:val="22"/>
              </w:rPr>
              <w:t>4</w:t>
            </w:r>
            <w:r>
              <w:rPr>
                <w:rFonts w:hint="eastAsia" w:ascii="宋体" w:hAnsi="宋体" w:eastAsia="宋体" w:cs="宋体"/>
                <w:kern w:val="0"/>
                <w:sz w:val="22"/>
              </w:rPr>
              <w:t>、其他固定资产</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Times New Roman"/>
                <w:kern w:val="0"/>
                <w:sz w:val="22"/>
              </w:rPr>
              <w:t>14.6</w:t>
            </w:r>
          </w:p>
        </w:tc>
      </w:tr>
    </w:tbl>
    <w:p>
      <w:pPr>
        <w:widowControl/>
        <w:spacing w:line="360" w:lineRule="auto"/>
        <w:jc w:val="left"/>
        <w:rPr>
          <w:rFonts w:ascii="仿宋" w:hAnsi="仿宋" w:eastAsia="仿宋" w:cs="仿宋"/>
          <w:b/>
          <w:kern w:val="0"/>
          <w:sz w:val="32"/>
          <w:szCs w:val="32"/>
        </w:rPr>
      </w:pPr>
      <w:r>
        <w:rPr>
          <w:rFonts w:hint="eastAsia" w:ascii="仿宋" w:hAnsi="仿宋" w:eastAsia="仿宋" w:cs="仿宋"/>
          <w:b/>
          <w:kern w:val="0"/>
          <w:sz w:val="32"/>
          <w:szCs w:val="32"/>
        </w:rPr>
        <w:t>　</w:t>
      </w:r>
    </w:p>
    <w:p>
      <w:pPr>
        <w:widowControl/>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八、 名词解释</w:t>
      </w:r>
      <w:r>
        <w:rPr>
          <w:rFonts w:hint="eastAsia" w:ascii="黑体" w:hAnsi="黑体" w:eastAsia="黑体" w:cs="微软雅黑"/>
          <w:kern w:val="0"/>
          <w:sz w:val="24"/>
          <w:szCs w:val="24"/>
        </w:rPr>
        <w:t xml:space="preserve"> </w:t>
      </w:r>
    </w:p>
    <w:p>
      <w:pPr>
        <w:widowControl/>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bCs/>
          <w:kern w:val="0"/>
          <w:sz w:val="32"/>
          <w:szCs w:val="32"/>
        </w:rPr>
        <w:t>1、财政拨款收入：指</w:t>
      </w:r>
      <w:r>
        <w:rPr>
          <w:rFonts w:hint="eastAsia" w:ascii="仿宋" w:hAnsi="仿宋" w:eastAsia="仿宋" w:cs="仿宋"/>
          <w:kern w:val="0"/>
          <w:sz w:val="32"/>
          <w:szCs w:val="32"/>
        </w:rPr>
        <w:t>财政当年拨付的资金。</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三公”经费：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等支出，公务用车指用于履行公务的机动车辆，包括领导干部专车、一般公务用车和执法执勤等业务用车。</w:t>
      </w:r>
    </w:p>
    <w:p>
      <w:pPr>
        <w:widowControl/>
        <w:spacing w:line="360" w:lineRule="auto"/>
        <w:ind w:firstLine="480" w:firstLineChars="200"/>
        <w:jc w:val="left"/>
        <w:rPr>
          <w:rFonts w:ascii="仿宋" w:hAnsi="仿宋" w:eastAsia="仿宋" w:cs="仿宋"/>
          <w:kern w:val="0"/>
          <w:sz w:val="32"/>
          <w:szCs w:val="32"/>
        </w:rPr>
      </w:pPr>
      <w:r>
        <w:rPr>
          <w:rFonts w:hint="eastAsia" w:ascii="微软雅黑" w:hAnsi="微软雅黑" w:eastAsia="微软雅黑" w:cs="微软雅黑"/>
          <w:kern w:val="0"/>
          <w:sz w:val="24"/>
          <w:szCs w:val="24"/>
        </w:rPr>
        <w:t xml:space="preserve"> 3</w:t>
      </w:r>
      <w:r>
        <w:rPr>
          <w:rFonts w:hint="eastAsia" w:ascii="仿宋" w:hAnsi="仿宋" w:eastAsia="仿宋" w:cs="仿宋"/>
          <w:kern w:val="0"/>
          <w:sz w:val="32"/>
          <w:szCs w:val="32"/>
        </w:rPr>
        <w:t>、年初结转和结余：指以前年度尚未完成，结转到本年仍按照原规定用途继续使用的资金，或项目已完成等产生的结余资金。</w:t>
      </w:r>
      <w:r>
        <w:rPr>
          <w:rFonts w:hint="eastAsia" w:ascii="微软雅黑" w:hAnsi="微软雅黑" w:eastAsia="微软雅黑" w:cs="微软雅黑"/>
          <w:kern w:val="0"/>
          <w:sz w:val="24"/>
          <w:szCs w:val="24"/>
        </w:rPr>
        <w:t xml:space="preserve"> </w:t>
      </w:r>
      <w:r>
        <w:rPr>
          <w:rFonts w:hint="eastAsia" w:ascii="仿宋" w:hAnsi="仿宋" w:eastAsia="仿宋" w:cs="仿宋"/>
          <w:kern w:val="0"/>
          <w:sz w:val="32"/>
          <w:szCs w:val="32"/>
        </w:rPr>
        <w:t> </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4、基本支出：指单位为了保障其正常运转、完成日常工作任务而发生的人员支出和公用支出。</w:t>
      </w:r>
      <w:r>
        <w:rPr>
          <w:rFonts w:hint="eastAsia" w:ascii="微软雅黑" w:hAnsi="微软雅黑" w:eastAsia="微软雅黑" w:cs="微软雅黑"/>
          <w:kern w:val="0"/>
          <w:sz w:val="24"/>
          <w:szCs w:val="24"/>
        </w:rPr>
        <w:t xml:space="preserve"> </w:t>
      </w:r>
      <w:r>
        <w:rPr>
          <w:rFonts w:hint="eastAsia" w:ascii="仿宋" w:hAnsi="仿宋" w:eastAsia="仿宋" w:cs="仿宋"/>
          <w:kern w:val="0"/>
          <w:sz w:val="32"/>
          <w:szCs w:val="32"/>
        </w:rPr>
        <w:t> </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5、项目支出：指单位为了特定的工作任务和事业发展目标，在基本支出之外所发生的支出。</w:t>
      </w:r>
    </w:p>
    <w:p>
      <w:pPr>
        <w:widowControl/>
        <w:spacing w:line="360" w:lineRule="auto"/>
        <w:ind w:firstLine="640" w:firstLineChars="200"/>
        <w:jc w:val="left"/>
        <w:rPr>
          <w:rFonts w:ascii="黑体" w:hAnsi="黑体" w:eastAsia="黑体" w:cs="仿宋"/>
          <w:kern w:val="0"/>
          <w:sz w:val="32"/>
          <w:szCs w:val="32"/>
          <w:lang w:bidi="ar"/>
        </w:rPr>
      </w:pPr>
      <w:r>
        <w:rPr>
          <w:rFonts w:hint="eastAsia" w:ascii="黑体" w:hAnsi="黑体" w:eastAsia="黑体" w:cs="仿宋"/>
          <w:kern w:val="0"/>
          <w:sz w:val="32"/>
          <w:szCs w:val="32"/>
          <w:lang w:bidi="ar"/>
        </w:rPr>
        <w:t>九、其他需要说明的事项</w:t>
      </w:r>
    </w:p>
    <w:p>
      <w:pPr>
        <w:widowControl/>
        <w:spacing w:line="360" w:lineRule="auto"/>
        <w:ind w:firstLine="640" w:firstLineChars="200"/>
        <w:jc w:val="left"/>
        <w:rPr>
          <w:rFonts w:ascii="仿宋" w:hAnsi="仿宋" w:eastAsia="仿宋" w:cs="仿宋"/>
          <w:szCs w:val="24"/>
        </w:rPr>
      </w:pPr>
      <w:r>
        <w:rPr>
          <w:rFonts w:hint="eastAsia" w:ascii="仿宋" w:hAnsi="仿宋" w:eastAsia="仿宋" w:cs="仿宋"/>
          <w:kern w:val="0"/>
          <w:sz w:val="32"/>
          <w:szCs w:val="32"/>
          <w:lang w:bidi="ar"/>
        </w:rPr>
        <w:t>无其他需要说明的事项。</w:t>
      </w:r>
    </w:p>
    <w:p>
      <w:pPr>
        <w:widowControl/>
        <w:spacing w:line="360" w:lineRule="auto"/>
        <w:jc w:val="left"/>
      </w:pPr>
    </w:p>
    <w:sectPr>
      <w:pgSz w:w="11907" w:h="16839"/>
      <w:pgMar w:top="1020" w:right="1134" w:bottom="10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CCB38"/>
    <w:multiLevelType w:val="singleLevel"/>
    <w:tmpl w:val="58BCCB38"/>
    <w:lvl w:ilvl="0" w:tentative="0">
      <w:start w:val="1"/>
      <w:numFmt w:val="decimal"/>
      <w:suff w:val="nothing"/>
      <w:lvlText w:val="%1、"/>
      <w:lvlJc w:val="left"/>
    </w:lvl>
  </w:abstractNum>
  <w:abstractNum w:abstractNumId="1">
    <w:nsid w:val="58BCD00E"/>
    <w:multiLevelType w:val="singleLevel"/>
    <w:tmpl w:val="58BCD00E"/>
    <w:lvl w:ilvl="0" w:tentative="0">
      <w:start w:val="1"/>
      <w:numFmt w:val="decimal"/>
      <w:suff w:val="nothing"/>
      <w:lvlText w:val="%1、"/>
      <w:lvlJc w:val="left"/>
    </w:lvl>
  </w:abstractNum>
  <w:abstractNum w:abstractNumId="2">
    <w:nsid w:val="5949DC87"/>
    <w:multiLevelType w:val="singleLevel"/>
    <w:tmpl w:val="5949DC87"/>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0D6"/>
    <w:rsid w:val="00021814"/>
    <w:rsid w:val="0004417E"/>
    <w:rsid w:val="000D73FE"/>
    <w:rsid w:val="000E250A"/>
    <w:rsid w:val="0011423F"/>
    <w:rsid w:val="00176413"/>
    <w:rsid w:val="002E3A95"/>
    <w:rsid w:val="0032312B"/>
    <w:rsid w:val="00435108"/>
    <w:rsid w:val="005126F3"/>
    <w:rsid w:val="00581FBD"/>
    <w:rsid w:val="005D136A"/>
    <w:rsid w:val="0062621A"/>
    <w:rsid w:val="00685811"/>
    <w:rsid w:val="00685F71"/>
    <w:rsid w:val="006D1C5B"/>
    <w:rsid w:val="006D277A"/>
    <w:rsid w:val="006E4337"/>
    <w:rsid w:val="00716760"/>
    <w:rsid w:val="00730C6E"/>
    <w:rsid w:val="007A507B"/>
    <w:rsid w:val="007B15C2"/>
    <w:rsid w:val="007B727F"/>
    <w:rsid w:val="007D51DC"/>
    <w:rsid w:val="007D6BF0"/>
    <w:rsid w:val="008058DC"/>
    <w:rsid w:val="00825FAA"/>
    <w:rsid w:val="0083340F"/>
    <w:rsid w:val="008869CF"/>
    <w:rsid w:val="008B1B58"/>
    <w:rsid w:val="008C7744"/>
    <w:rsid w:val="009039DF"/>
    <w:rsid w:val="00952FD3"/>
    <w:rsid w:val="0095727F"/>
    <w:rsid w:val="009B444B"/>
    <w:rsid w:val="00A07D70"/>
    <w:rsid w:val="00A75DAC"/>
    <w:rsid w:val="00AE3819"/>
    <w:rsid w:val="00B65629"/>
    <w:rsid w:val="00C05C4B"/>
    <w:rsid w:val="00D13E32"/>
    <w:rsid w:val="00D154B7"/>
    <w:rsid w:val="00D66FDC"/>
    <w:rsid w:val="00D7507A"/>
    <w:rsid w:val="00E223F4"/>
    <w:rsid w:val="00E577A2"/>
    <w:rsid w:val="00E766DD"/>
    <w:rsid w:val="00E810D6"/>
    <w:rsid w:val="00EB6BC3"/>
    <w:rsid w:val="00EF5871"/>
    <w:rsid w:val="00EF6A90"/>
    <w:rsid w:val="00F50665"/>
    <w:rsid w:val="00F82EA4"/>
    <w:rsid w:val="00F83A91"/>
    <w:rsid w:val="00FC2D29"/>
    <w:rsid w:val="00FC381C"/>
    <w:rsid w:val="00FD102B"/>
    <w:rsid w:val="013B67CD"/>
    <w:rsid w:val="01CA412B"/>
    <w:rsid w:val="02506430"/>
    <w:rsid w:val="037D399A"/>
    <w:rsid w:val="03B213E5"/>
    <w:rsid w:val="05122E1F"/>
    <w:rsid w:val="06096D52"/>
    <w:rsid w:val="06550E5D"/>
    <w:rsid w:val="0726741C"/>
    <w:rsid w:val="07CB35A3"/>
    <w:rsid w:val="08D34D69"/>
    <w:rsid w:val="09E50DB9"/>
    <w:rsid w:val="0BB1795C"/>
    <w:rsid w:val="0BB759F9"/>
    <w:rsid w:val="0CBF7A43"/>
    <w:rsid w:val="0DD4180B"/>
    <w:rsid w:val="110C554B"/>
    <w:rsid w:val="11E37972"/>
    <w:rsid w:val="130B706D"/>
    <w:rsid w:val="139106CF"/>
    <w:rsid w:val="13DE0FA8"/>
    <w:rsid w:val="163506CD"/>
    <w:rsid w:val="17252863"/>
    <w:rsid w:val="175940C0"/>
    <w:rsid w:val="17C16AC9"/>
    <w:rsid w:val="180D78B9"/>
    <w:rsid w:val="190D5E08"/>
    <w:rsid w:val="1AEF7278"/>
    <w:rsid w:val="1B2A5EA4"/>
    <w:rsid w:val="1BCF1CD3"/>
    <w:rsid w:val="1CC97251"/>
    <w:rsid w:val="1CEB0A1C"/>
    <w:rsid w:val="1E8167C1"/>
    <w:rsid w:val="1EAA0AE1"/>
    <w:rsid w:val="21B66276"/>
    <w:rsid w:val="228819EE"/>
    <w:rsid w:val="2393738C"/>
    <w:rsid w:val="2716314B"/>
    <w:rsid w:val="288A4B30"/>
    <w:rsid w:val="28E516DB"/>
    <w:rsid w:val="299267B6"/>
    <w:rsid w:val="2AD57C75"/>
    <w:rsid w:val="2BAA47A7"/>
    <w:rsid w:val="2DCE40BA"/>
    <w:rsid w:val="2E066AE5"/>
    <w:rsid w:val="2E2777CE"/>
    <w:rsid w:val="2EE04A84"/>
    <w:rsid w:val="30C34281"/>
    <w:rsid w:val="31D059F4"/>
    <w:rsid w:val="332A0BBD"/>
    <w:rsid w:val="3387759D"/>
    <w:rsid w:val="351C5D1D"/>
    <w:rsid w:val="36DF5EE5"/>
    <w:rsid w:val="38963AA1"/>
    <w:rsid w:val="39461E7C"/>
    <w:rsid w:val="39A75722"/>
    <w:rsid w:val="3B6E7B6E"/>
    <w:rsid w:val="3C712CD5"/>
    <w:rsid w:val="3C842FE0"/>
    <w:rsid w:val="3CEC5D53"/>
    <w:rsid w:val="3DE378FF"/>
    <w:rsid w:val="40192B3F"/>
    <w:rsid w:val="430B0E4E"/>
    <w:rsid w:val="441C57E9"/>
    <w:rsid w:val="44240E6E"/>
    <w:rsid w:val="44986D47"/>
    <w:rsid w:val="456A5D0D"/>
    <w:rsid w:val="457C0C14"/>
    <w:rsid w:val="45B90BF3"/>
    <w:rsid w:val="460143F1"/>
    <w:rsid w:val="475B18CD"/>
    <w:rsid w:val="475F05EC"/>
    <w:rsid w:val="47FE2F7E"/>
    <w:rsid w:val="4A4F1F05"/>
    <w:rsid w:val="4B7040C7"/>
    <w:rsid w:val="4CA957E7"/>
    <w:rsid w:val="4D9730D4"/>
    <w:rsid w:val="4E4335D2"/>
    <w:rsid w:val="59AF56D7"/>
    <w:rsid w:val="5B2B3FCD"/>
    <w:rsid w:val="5BAE356C"/>
    <w:rsid w:val="5BE43ACD"/>
    <w:rsid w:val="5CB07A05"/>
    <w:rsid w:val="5ED17601"/>
    <w:rsid w:val="612F2391"/>
    <w:rsid w:val="61897173"/>
    <w:rsid w:val="63F21B1B"/>
    <w:rsid w:val="65493192"/>
    <w:rsid w:val="666C26EF"/>
    <w:rsid w:val="6B511389"/>
    <w:rsid w:val="6D5763C1"/>
    <w:rsid w:val="6D81148F"/>
    <w:rsid w:val="6E134137"/>
    <w:rsid w:val="6E8006EE"/>
    <w:rsid w:val="6ECC4D84"/>
    <w:rsid w:val="70BA2DA1"/>
    <w:rsid w:val="71B87B2B"/>
    <w:rsid w:val="729B4F6A"/>
    <w:rsid w:val="733E01F4"/>
    <w:rsid w:val="7424079F"/>
    <w:rsid w:val="746F51BD"/>
    <w:rsid w:val="74D4598A"/>
    <w:rsid w:val="76FD3FC3"/>
    <w:rsid w:val="7AA5545A"/>
    <w:rsid w:val="7BAA5900"/>
    <w:rsid w:val="7D9A3104"/>
    <w:rsid w:val="7DB94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paragraph" w:styleId="5">
    <w:name w:val="toc 2"/>
    <w:basedOn w:val="1"/>
    <w:next w:val="1"/>
    <w:unhideWhenUsed/>
    <w:qFormat/>
    <w:uiPriority w:val="39"/>
    <w:pPr>
      <w:ind w:left="420" w:leftChars="200"/>
    </w:p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paragraph" w:customStyle="1" w:styleId="10">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2702</Words>
  <Characters>2858</Characters>
  <Lines>22</Lines>
  <Paragraphs>6</Paragraphs>
  <TotalTime>11</TotalTime>
  <ScaleCrop>false</ScaleCrop>
  <LinksUpToDate>false</LinksUpToDate>
  <CharactersWithSpaces>2909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2016-04-01T02:15:00Z</dcterms:created>
  <dc:creator>lenovo</dc:creator>
  <cp:lastModifiedBy>lenovo</cp:lastModifiedBy>
  <cp:lastPrinted>2016-04-01T02:44:00Z</cp:lastPrinted>
  <dcterms:modified xsi:type="dcterms:W3CDTF">2025-10-30T01:23:49Z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eyJoZGlkIjoiOTlhYTRlYmE1OWRkNzI3MzJiZGE2NmRmMTc2ZGNlNzEiLCJ1c2VySWQiOiIyNjE0ODUyNTQifQ==</vt:lpwstr>
  </property>
  <property fmtid="{D5CDD505-2E9C-101B-9397-08002B2CF9AE}" pid="4" name="ICV">
    <vt:lpwstr>B92D6E0B90A1443EA603A14161DD989A_13</vt:lpwstr>
  </property>
</Properties>
</file>