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2017年部门预算公开情况说明</w:t>
      </w:r>
    </w:p>
    <w:p>
      <w:pPr>
        <w:jc w:val="center"/>
        <w:rPr>
          <w:rFonts w:ascii="仿宋_GB2312" w:hAnsi="黑体" w:eastAsia="仿宋_GB2312"/>
          <w:sz w:val="10"/>
          <w:szCs w:val="10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预算法》有关规定和财政部关于印发《地方预决算公开操作规程》的通知，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现将交通运输局2017年部门预算公开如下：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（一）根据县委，县政府及市交通运输局指示，制定我县交通发展规划。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负责综合运输体系的规划协调工作，负责交通运输枢纽规划，建设和管理，负责县城区公共交通的经营及其场站设施的建设管理，负责城区营运线路的新辟和调整，推进全县城乡公交一体化的实施，指导协调运输企业、个体经营者客运线路运营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（三）负责全县公路运输市场管理。贯彻落实公路运输有关政策、法规、技术标准和运营规范并监督实施。负责 运输市场、运输服务、车辆维修、停车场、搬运装卸、机动车性能检测、机动车驾驶学校和驾驶员培训的行业管理。负责和指导城乡客运及相关设施规划和管理，负责出租汽车行业管理工作。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（四）承担全县公路路政管理，维护公路路产、路权及公路设施，治理公路运输车辆超载。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（五）承担全县城乡公路建设规划。负责辖区内公路及其设施建设、养护和管理。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（六）负责全局人事、劳动管理和工资、社会福利保险等工作，负责局属股、站领导班子建设管理工作。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（七）组织指导交通运输系统干部职工的业务、专业技术培训教育，负责组织职工技能和技术等级申报、考核。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（八）搞好交通运输系统财务管理，加强对直属单位的财务、审计、监督。收集整理交通运输行业数据信息。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（九）指导交通运输系统的精神文明建设，整顿职工的思想工作作风，搞好行风建设。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（十）承担全县公路行业安全生产和应急管理工作。按规定组织协调国家、省、市、县重点物资和紧急客货运输。承担国防交通战备工作。</w:t>
      </w:r>
    </w:p>
    <w:p>
      <w:pPr>
        <w:spacing w:line="360" w:lineRule="auto"/>
        <w:ind w:firstLine="640" w:firstLineChars="200"/>
        <w:rPr>
          <w:rFonts w:ascii="仿宋_GB2312" w:hAnsi="Calibri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（十一）承办县委、县政府，市交通运输局交办的其他项。</w:t>
      </w:r>
    </w:p>
    <w:p>
      <w:pPr>
        <w:widowControl/>
        <w:spacing w:line="360" w:lineRule="auto"/>
        <w:ind w:firstLine="630" w:firstLineChars="196"/>
        <w:jc w:val="lef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人员编制75名，其中领导职数6个。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部门机构设置情况</w:t>
      </w:r>
    </w:p>
    <w:tbl>
      <w:tblPr>
        <w:tblStyle w:val="4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成安县交通运输局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局级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</w:tr>
    </w:tbl>
    <w:p>
      <w:pPr>
        <w:widowControl/>
        <w:spacing w:line="360" w:lineRule="auto"/>
        <w:ind w:left="628"/>
        <w:jc w:val="left"/>
        <w:rPr>
          <w:rFonts w:ascii="Calibri" w:hAnsi="Calibri" w:eastAsia="仿宋_GB2312" w:cs="Calibri"/>
          <w:b/>
          <w:kern w:val="0"/>
          <w:sz w:val="32"/>
          <w:szCs w:val="32"/>
          <w:lang w:bidi="ar"/>
        </w:rPr>
      </w:pPr>
      <w:r>
        <w:rPr>
          <w:rFonts w:hint="eastAsia" w:ascii="Calibri" w:hAnsi="Calibri" w:eastAsia="仿宋_GB2312" w:cs="Calibri"/>
          <w:b/>
          <w:kern w:val="0"/>
          <w:sz w:val="32"/>
          <w:szCs w:val="32"/>
          <w:lang w:bidi="ar"/>
        </w:rPr>
        <w:t>内设主要</w:t>
      </w:r>
      <w:r>
        <w:rPr>
          <w:rFonts w:ascii="Calibri" w:hAnsi="Calibri" w:eastAsia="仿宋_GB2312" w:cs="Calibri"/>
          <w:b/>
          <w:kern w:val="0"/>
          <w:sz w:val="32"/>
          <w:szCs w:val="32"/>
          <w:lang w:bidi="ar"/>
        </w:rPr>
        <w:t>机构</w:t>
      </w:r>
      <w:r>
        <w:rPr>
          <w:rFonts w:hint="eastAsia" w:ascii="Calibri" w:hAnsi="Calibri" w:eastAsia="仿宋_GB2312" w:cs="Calibri"/>
          <w:b/>
          <w:kern w:val="0"/>
          <w:sz w:val="32"/>
          <w:szCs w:val="32"/>
          <w:lang w:bidi="ar"/>
        </w:rPr>
        <w:t>及职责</w:t>
      </w:r>
    </w:p>
    <w:p>
      <w:pPr>
        <w:widowControl/>
        <w:spacing w:line="360" w:lineRule="auto"/>
        <w:ind w:left="628"/>
        <w:jc w:val="left"/>
        <w:rPr>
          <w:rFonts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成安县成安县交通运输局，预算编码是348002，内设7个内部机构。</w:t>
      </w:r>
    </w:p>
    <w:p>
      <w:pPr>
        <w:widowControl/>
        <w:numPr>
          <w:ilvl w:val="0"/>
          <w:numId w:val="1"/>
        </w:numPr>
        <w:spacing w:line="360" w:lineRule="auto"/>
        <w:ind w:left="628"/>
        <w:jc w:val="left"/>
        <w:rPr>
          <w:rFonts w:ascii="楷体" w:hAnsi="楷体" w:eastAsia="楷体" w:cs="楷体"/>
          <w:b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bidi="ar"/>
        </w:rPr>
        <w:t>办公室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 xml:space="preserve">     主要负责：</w:t>
      </w:r>
      <w:r>
        <w:rPr>
          <w:rFonts w:hint="eastAsia" w:ascii="仿宋" w:hAnsi="仿宋" w:eastAsia="仿宋" w:cs="仿宋"/>
          <w:sz w:val="32"/>
          <w:szCs w:val="32"/>
        </w:rPr>
        <w:t>负责组织协调局机关工作，机要、保密、提案、来信、来访督查、目标管理，安全保卫和后勤行政等管理工作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bidi="ar"/>
        </w:rPr>
        <w:t xml:space="preserve">    2、人事股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主要负责：</w:t>
      </w:r>
      <w:r>
        <w:rPr>
          <w:rFonts w:hint="eastAsia" w:ascii="仿宋" w:hAnsi="仿宋" w:eastAsia="仿宋" w:cs="仿宋"/>
          <w:sz w:val="32"/>
          <w:szCs w:val="32"/>
        </w:rPr>
        <w:t>负责全局人事工作；负责归口管理专业技术干部职称评聘、继续教育、人才交流与引进和培养工作；负责归口管理技术工人技术等级考核，评定和申报等工作；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bidi="ar"/>
        </w:rPr>
        <w:t xml:space="preserve">    3、财务股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主要负责：负责全局财务工作；负责交通建设资金的筹集、调度、使用和管理工作；负责局下属单位财务监督、检查及财务管理的指导工作；加强财务管理、纠正违反财经纪律的行为；负责交通系统国有资产管理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bidi="ar"/>
        </w:rPr>
        <w:t xml:space="preserve">    4、纪检室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主要负责：交通系统的纪律检查和行政监察工作，抓好党风、党纪、廉政建设，负责交通系统党员和干部职工违反党的纪律及有关规定的案件督查。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bidi="ar"/>
        </w:rPr>
        <w:t xml:space="preserve">   5、工程股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主要负责：改造工程预算；负责对公路设计文件、施工单位资质审核；监督工程质量；负责落实有关变更设计，审定工程决算等。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bidi="ar"/>
        </w:rPr>
        <w:t xml:space="preserve">   6、项目办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主要负责：交通基础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</w:t>
      </w:r>
      <w:r>
        <w:rPr>
          <w:rFonts w:hint="eastAsia" w:ascii="仿宋" w:hAnsi="仿宋" w:eastAsia="仿宋" w:cs="仿宋"/>
          <w:sz w:val="32"/>
          <w:szCs w:val="32"/>
        </w:rPr>
        <w:t>施建设，项目管理。</w:t>
      </w: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bidi="ar"/>
        </w:rPr>
        <w:t xml:space="preserve">   7、规划科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主要负责：负责项目规划管理。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widowControl/>
        <w:spacing w:line="360" w:lineRule="auto"/>
        <w:ind w:firstLine="627" w:firstLineChars="196"/>
        <w:jc w:val="left"/>
        <w:rPr>
          <w:rFonts w:ascii="仿宋_GB2312" w:hAnsi="Calibri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 xml:space="preserve"> 2017年部门收入预算总额为3392.33万元，部门支出预算总额为3392.33万元（其中人员经费79.33万元，项目经费3313万元）。</w:t>
      </w:r>
      <w:r>
        <w:rPr>
          <w:rFonts w:ascii="仿宋_GB2312" w:hAnsi="Calibri" w:eastAsia="仿宋_GB2312" w:cs="仿宋_GB2312"/>
          <w:kern w:val="0"/>
          <w:sz w:val="32"/>
          <w:szCs w:val="32"/>
          <w:lang w:bidi="ar"/>
        </w:rPr>
        <w:t>2016年财政拨款收入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1561.15</w:t>
      </w:r>
      <w:r>
        <w:rPr>
          <w:rFonts w:ascii="仿宋_GB2312" w:hAnsi="Calibri" w:eastAsia="仿宋_GB2312" w:cs="仿宋_GB2312"/>
          <w:kern w:val="0"/>
          <w:sz w:val="32"/>
          <w:szCs w:val="32"/>
          <w:lang w:bidi="ar"/>
        </w:rPr>
        <w:t>万元，总支出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1561.15</w:t>
      </w:r>
      <w:r>
        <w:rPr>
          <w:rFonts w:ascii="仿宋_GB2312" w:hAnsi="Calibri" w:eastAsia="仿宋_GB2312" w:cs="仿宋_GB2312"/>
          <w:kern w:val="0"/>
          <w:sz w:val="32"/>
          <w:szCs w:val="32"/>
          <w:lang w:bidi="ar"/>
        </w:rPr>
        <w:t>万元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，比去年增加了1831.18万元，主要原因城乡道路建设项目经费增多。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2017年预算收入3392.33万元，其中：一般公共预算收入０万元，政府性基金收入０万元，国有资本经营收入０万元，事业收入０万元，其他收入０万元。</w:t>
      </w:r>
    </w:p>
    <w:p>
      <w:pPr>
        <w:spacing w:line="560" w:lineRule="exact"/>
        <w:ind w:firstLine="64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2017年支出预算3392.33万元，其中基本支出79.33万元，包括人员经费和日常公用经费；项目支出3313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万元，主要为农村道路建设和交通运输；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2017年预算收支安排3392.33万元，较2016年预算增加1831.18万元，其中：基本支出增加0万元，主要为增加0万元；项目支出增加1831.18万元，主要为道路建设项目支出。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三、机关运行经费安排情况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方正仿宋_GBK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机关运行经费共计安排79.33万元，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主要用于人员经费。其中工资福利支出44.45万元，对个人和家庭的补助支出34.88万元。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，我单位“三公”经费预算安排万元，其中因公出国（境）费万元；公务用车购置及运维费万元（其中：公务用车购置费为万元，公务用车运行费0万元)；公务接待费万元。与2016年持平，无增减变化。主要原因是公车拍卖所以减少。</w:t>
      </w: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五、绩效预算信息</w:t>
      </w:r>
    </w:p>
    <w:p>
      <w:pPr>
        <w:spacing w:line="560" w:lineRule="exact"/>
        <w:ind w:firstLine="643" w:firstLineChars="200"/>
        <w:jc w:val="left"/>
        <w:rPr>
          <w:rFonts w:ascii="楷体" w:hAnsi="楷体" w:eastAsia="楷体" w:cs="楷体"/>
          <w:b/>
          <w:bCs/>
          <w:sz w:val="32"/>
          <w:szCs w:val="32"/>
        </w:rPr>
      </w:pPr>
      <w:bookmarkStart w:id="0" w:name="_Toc471398463"/>
      <w:r>
        <w:rPr>
          <w:rFonts w:hint="eastAsia" w:ascii="楷体" w:hAnsi="楷体" w:eastAsia="楷体" w:cs="楷体"/>
          <w:b/>
          <w:bCs/>
          <w:sz w:val="32"/>
          <w:szCs w:val="32"/>
        </w:rPr>
        <w:t>总体绩效目标：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我局在县委、县政府和市交通运输局的正确领导下，认真落实各级绩效考核目标要求，切实改进作风，创新工作机制，提升服务效能；</w:t>
      </w:r>
    </w:p>
    <w:p>
      <w:pPr>
        <w:spacing w:line="560" w:lineRule="exact"/>
        <w:ind w:firstLine="643" w:firstLineChars="200"/>
        <w:jc w:val="left"/>
        <w:outlineLvl w:val="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黑体" w:eastAsia="楷体_GB2312" w:cs="楷体_GB2312"/>
          <w:b/>
          <w:bCs/>
          <w:sz w:val="32"/>
          <w:szCs w:val="32"/>
        </w:rPr>
        <w:t>部门职责及工作活动绩效目标指标：</w:t>
      </w:r>
    </w:p>
    <w:p>
      <w:pPr>
        <w:spacing w:line="560" w:lineRule="exact"/>
        <w:jc w:val="center"/>
        <w:outlineLvl w:val="0"/>
        <w:rPr>
          <w:rFonts w:ascii="方正小标宋_GBK" w:hAnsi="Times New Roman" w:eastAsia="方正小标宋_GBK" w:cs="Times New Roman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部门职责-工作活动绩效目标</w:t>
      </w:r>
      <w:bookmarkEnd w:id="0"/>
    </w:p>
    <w:tbl>
      <w:tblPr>
        <w:tblStyle w:val="4"/>
        <w:tblW w:w="96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881"/>
        <w:gridCol w:w="2054"/>
        <w:gridCol w:w="2055"/>
        <w:gridCol w:w="978"/>
        <w:gridCol w:w="509"/>
        <w:gridCol w:w="509"/>
        <w:gridCol w:w="508"/>
        <w:gridCol w:w="5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7585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348</w:t>
            </w:r>
            <w:r>
              <w:rPr>
                <w:rFonts w:hint="eastAsia" w:ascii="方正小标宋_GBK" w:eastAsia="方正小标宋_GBK"/>
                <w:sz w:val="24"/>
              </w:rPr>
              <w:t>成安县交通局</w:t>
            </w:r>
          </w:p>
        </w:tc>
        <w:tc>
          <w:tcPr>
            <w:tcW w:w="20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交通运输基础设施养护、维护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3103.00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组织交通运输基础设施养护、维护，对招投标活动进行监督管理。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路基路面大中修公里；普通国省干线公路大中修里程公里，治理隐患里程公里；普通国省干线绿化里程公里，提升普通国省干线日常养护作业效率；对农村公路养护实施</w:t>
            </w:r>
            <w:r>
              <w:rPr>
                <w:rFonts w:hint="cs" w:ascii="方正书宋_GBK" w:eastAsia="方正书宋_GBK"/>
                <w:cs/>
              </w:rPr>
              <w:t>“</w:t>
            </w:r>
            <w:r>
              <w:rPr>
                <w:rFonts w:hint="eastAsia" w:ascii="方正书宋_GBK" w:eastAsia="方正书宋_GBK"/>
              </w:rPr>
              <w:t>以奖代补</w:t>
            </w:r>
            <w:r>
              <w:rPr>
                <w:rFonts w:hint="cs" w:ascii="方正书宋_GBK" w:eastAsia="方正书宋_GBK"/>
                <w:cs/>
              </w:rPr>
              <w:t>”</w:t>
            </w:r>
            <w:r>
              <w:rPr>
                <w:rFonts w:hint="eastAsia" w:ascii="方正书宋_GBK" w:eastAsia="方正书宋_GBK"/>
              </w:rPr>
              <w:t>；完善更新公路建设管理养护基础数据。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普通国省干线公路养护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3103.00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对普通国省干线公路主体及其附属设施、设备进行保养中修、大修、维护等。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完成全年普通干线公路大中修里程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公里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 xml:space="preserve"> 治理隐患里程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公里</w:t>
            </w:r>
            <w:r>
              <w:rPr>
                <w:rFonts w:ascii="方正书宋_GBK" w:eastAsia="方正书宋_GBK"/>
              </w:rPr>
              <w:t>,</w:t>
            </w:r>
            <w:r>
              <w:rPr>
                <w:rFonts w:hint="eastAsia" w:ascii="方正书宋_GBK" w:eastAsia="方正书宋_GBK"/>
              </w:rPr>
              <w:t>绿化里程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 xml:space="preserve">公里， 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公路技术状况指数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年度普通干线公路养护工程量完成率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年度普通干线公路养护投资完成率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恢复设计功能（恢复率）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农村公路养护以奖代补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通过以奖代补等形式对农村公路保养与维护进行资金补助，引导带动各地加强农村公路养护。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恢复、提升农村公路原有技术指标，维护、完善交通工程、安全设施、服务管理等附属设施，保持良好的技术状况。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年度农村公路养护工程量完成率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年度农村公路养护投资完成率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公路建设管理养护基础数据采集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通过公路各项指标地理信息、数据采集及桥梁隧道检测、交通量调查等方式，适时采集相关数据并及时更新；管理维护设备及数据采集信息系统。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按时、保质、保量完成数据采集分析，为公路管理提供依据和支持。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公路基础信息数据使用率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公路基础信息数据更新率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公路、水运工程养护监督和管理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对公路、水运工程及其设施养护工程质量安全及招投标活动进行监督和管理。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各项业务顺利开展，按时完成工作。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项目质量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工作质量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交通运输管理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210.00</w:t>
            </w: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承担全县综合运输体系的规划协调，指导城乡客运及有关设施规划和管理，对全县公路及其设施的建设和养护进行管理，指导出租汽车行业管理工作。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保障道路通畅，完成运输生产任务，确保安全生产，提高服务保障水平。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公路管理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对公路建设、养护、运营及路政、治理超限超载进行管理。审批公路建设项目施工图并进行现场管理，依法行使公路方面行政处罚权，对全县公路超限治理进行监督管理。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 xml:space="preserve"> 缓解繁忙路段交通压力；维护路产路权，治理超限运输，保障通行能力，提高服务水平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超限超载率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审批完成率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安全生产维稳控制目标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道路运输管理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210.00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全县道路旅客运输、货物运输、从业人员、道路运输相关业务进行行业管理、市场监管及安全检查，依法行使道路运输行政许可、行政处罚强制权，监督检查有关道路运输法律法规的执行情况，对全县货运源头治超工作进行监督检查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旅客周转量人公里，公路货物周转量吨公里。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安全生产控制目标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超限超载率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年营业性客货运周转量目标完成率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城市客运管理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对全县客运（含公共汽电车、出租汽车、汽车租赁）进行行业管理。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客运管理业务顺利开展，按时完成工作。并保障行业安全稳与稳定。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乘客满意率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安全生产维稳控制目标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地方成品油价格和税费改革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油价更好的控制，税费进一步完善</w:t>
            </w:r>
            <w:bookmarkStart w:id="2" w:name="_GoBack"/>
            <w:bookmarkEnd w:id="2"/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使成品油价格和税费得到稳固的改革目标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成品油和税费改革措施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按照上级要求，对地方成品油和税费进行改革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使成品油价格和税费得到稳固的改革目标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油价和税费改革得到的效益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交通政务管理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负责交通运输综合交通运输体系建设，综合业务管理和综合事物管理。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机动车维修与检测人员考试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>人次，信息管理系统正常运行，修订公路定额，应急事项处理及时，各项事务运行正常。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综合业务管理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指导交通运输行业继续教育和中等专业技术教育，开展行业干部教育培训。指导行业体制改革、安全生产和应急管理等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保障各项业务工作畅通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综合业务保障率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74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交通运输基础设施建设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按县政府规定权限审批、核准县规划内和年度计划规模内的固定资产投资项目，完成交通基础设施投资；对重点工程建设、工程质量和安全生产进行监管，对招投标活动进行监督管理。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 xml:space="preserve"> 普通干线公路投资总额亿元，在建里程公里；农村公路投资总额亿元，新增里程公里；保障交通基础设施建设项目质量；按时偿还到期公路建设贷款，无贷款违约。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普通国省干线公路建设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05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安排补助资金，组织实施各项普通国省干线公路建设，完成投资任务。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完成全年普通干线公路投资</w:t>
            </w:r>
            <w:r>
              <w:rPr>
                <w:rFonts w:ascii="方正书宋_GBK" w:eastAsia="方正书宋_GBK"/>
              </w:rPr>
              <w:t xml:space="preserve"> </w:t>
            </w:r>
            <w:r>
              <w:rPr>
                <w:rFonts w:hint="eastAsia" w:ascii="方正书宋_GBK" w:eastAsia="方正书宋_GBK"/>
              </w:rPr>
              <w:t xml:space="preserve"> 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年度普通干线公路建设项目工程质量合格率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96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50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69</w:t>
            </w:r>
          </w:p>
        </w:tc>
        <w:tc>
          <w:tcPr>
            <w:tcW w:w="509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58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宋体" w:hAnsi="宋体" w:eastAsia="宋体" w:cs="Times New Roman"/>
          <w:sz w:val="32"/>
          <w:szCs w:val="32"/>
        </w:rPr>
      </w:pPr>
      <w:bookmarkStart w:id="1" w:name="_Toc471398468"/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宋体" w:hAnsi="宋体" w:eastAsia="宋体" w:cs="Times New Roman"/>
          <w:sz w:val="32"/>
          <w:szCs w:val="32"/>
        </w:rPr>
        <w:t>2017</w:t>
      </w:r>
      <w:r>
        <w:rPr>
          <w:rFonts w:hint="eastAsia" w:ascii="宋体" w:hAnsi="宋体" w:eastAsia="宋体" w:cs="方正仿宋_GBK"/>
          <w:sz w:val="32"/>
          <w:szCs w:val="32"/>
        </w:rPr>
        <w:t>年，我单位安排政府采购预算9.37万元。具体内容见下表。</w:t>
      </w:r>
    </w:p>
    <w:p>
      <w:pPr>
        <w:spacing w:line="560" w:lineRule="exact"/>
        <w:jc w:val="center"/>
        <w:outlineLvl w:val="0"/>
        <w:rPr>
          <w:rFonts w:ascii="宋体" w:hAnsi="宋体" w:eastAsia="宋体" w:cs="方正小标宋_GBK"/>
          <w:sz w:val="32"/>
          <w:szCs w:val="32"/>
        </w:rPr>
      </w:pPr>
      <w:r>
        <w:rPr>
          <w:rFonts w:hint="eastAsia" w:ascii="宋体" w:hAnsi="宋体" w:eastAsia="宋体" w:cs="方正小标宋_GBK"/>
          <w:sz w:val="32"/>
          <w:szCs w:val="32"/>
        </w:rPr>
        <w:t>部门政府采购预算</w:t>
      </w:r>
      <w:bookmarkEnd w:id="1"/>
    </w:p>
    <w:p>
      <w:pPr>
        <w:spacing w:line="560" w:lineRule="exact"/>
        <w:jc w:val="center"/>
        <w:outlineLvl w:val="0"/>
        <w:rPr>
          <w:rFonts w:ascii="宋体" w:hAnsi="宋体" w:eastAsia="宋体" w:cs="方正小标宋_GBK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宋体" w:hAnsi="宋体" w:eastAsia="宋体" w:cs="方正小标宋_GBK"/>
          <w:sz w:val="32"/>
          <w:szCs w:val="32"/>
        </w:rPr>
      </w:pPr>
    </w:p>
    <w:tbl>
      <w:tblPr>
        <w:tblStyle w:val="4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667"/>
        <w:gridCol w:w="549"/>
        <w:gridCol w:w="873"/>
        <w:gridCol w:w="549"/>
        <w:gridCol w:w="549"/>
        <w:gridCol w:w="564"/>
        <w:gridCol w:w="562"/>
        <w:gridCol w:w="562"/>
        <w:gridCol w:w="562"/>
        <w:gridCol w:w="511"/>
        <w:gridCol w:w="551"/>
        <w:gridCol w:w="551"/>
        <w:gridCol w:w="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</w:t>
            </w:r>
          </w:p>
        </w:tc>
        <w:tc>
          <w:tcPr>
            <w:tcW w:w="381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  <w:r>
              <w:rPr>
                <w:rFonts w:ascii="宋体" w:hAnsi="宋体" w:eastAsia="宋体" w:cs="方正书宋_GBK"/>
                <w:b/>
                <w:bCs/>
              </w:rPr>
              <w:t xml:space="preserve">  </w:t>
            </w:r>
            <w:r>
              <w:rPr>
                <w:rFonts w:hint="eastAsia" w:ascii="宋体" w:hAnsi="宋体" w:eastAsia="宋体" w:cs="方正书宋_GBK"/>
                <w:b/>
                <w:bCs/>
              </w:rPr>
              <w:t>单位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　计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电脑</w:t>
            </w: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台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15</w:t>
            </w: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6.9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9.37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9.37</w:t>
            </w: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复印机</w:t>
            </w: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台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1.1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打印机</w:t>
            </w: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台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1.02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摄像机</w:t>
            </w: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台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0.35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成安县交通运输部门（含所属单位）上年末固定资产金额为517.78万元，本年度拟购置固定资产主要为9.37万元。计算机设备、打印设备、空调、办公家具等，已列入政府采购预算。详见下表。</w:t>
      </w:r>
    </w:p>
    <w:tbl>
      <w:tblPr>
        <w:tblStyle w:val="4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855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编制部门：成安县交通运输局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340.43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63.05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114.3</w:t>
            </w:r>
          </w:p>
        </w:tc>
      </w:tr>
    </w:tbl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八、名词解释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bidi="ar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 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3、年初结转和结余：指以前年度尚未完成，结转到本年仍按照原规定用途继续使用的资金，或项目已完成等产生的结余资金。 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4、基本支出：指单位为了保障其正常运转、完成日常工作任务而发生的人员支出和公用支出。  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5、项目支出：指单位为了特定的工作任务和事业发展目标，在基本支出之外所发生的支出。</w:t>
      </w:r>
    </w:p>
    <w:p>
      <w:pPr>
        <w:tabs>
          <w:tab w:val="left" w:pos="11490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九、其它需要说明的事项</w:t>
      </w:r>
    </w:p>
    <w:p>
      <w:pPr>
        <w:tabs>
          <w:tab w:val="left" w:pos="11490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无其它需要说明的事项。</w:t>
      </w:r>
    </w:p>
    <w:p>
      <w:pPr>
        <w:spacing w:line="560" w:lineRule="exact"/>
        <w:ind w:firstLine="645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 w:cs="Times New Roman"/>
        <w:sz w:val="32"/>
        <w:szCs w:val="32"/>
      </w:rPr>
    </w:pPr>
    <w:r>
      <w:rPr>
        <w:rFonts w:ascii="仿宋" w:hAnsi="仿宋" w:eastAsia="仿宋" w:cs="仿宋"/>
        <w:sz w:val="32"/>
        <w:szCs w:val="32"/>
      </w:rPr>
      <w:fldChar w:fldCharType="begin"/>
    </w:r>
    <w:r>
      <w:rPr>
        <w:rFonts w:ascii="仿宋" w:hAnsi="仿宋" w:eastAsia="仿宋" w:cs="仿宋"/>
        <w:sz w:val="32"/>
        <w:szCs w:val="32"/>
      </w:rPr>
      <w:instrText xml:space="preserve">PAGE   \* MERGEFORMAT</w:instrText>
    </w:r>
    <w:r>
      <w:rPr>
        <w:rFonts w:ascii="仿宋" w:hAnsi="仿宋" w:eastAsia="仿宋" w:cs="仿宋"/>
        <w:sz w:val="32"/>
        <w:szCs w:val="32"/>
      </w:rPr>
      <w:fldChar w:fldCharType="separate"/>
    </w:r>
    <w:r>
      <w:rPr>
        <w:rFonts w:ascii="仿宋" w:hAnsi="仿宋" w:eastAsia="仿宋" w:cs="仿宋"/>
        <w:sz w:val="32"/>
        <w:szCs w:val="32"/>
        <w:lang w:val="zh-CN"/>
      </w:rPr>
      <w:t>1</w:t>
    </w:r>
    <w:r>
      <w:rPr>
        <w:rFonts w:ascii="仿宋" w:hAnsi="仿宋" w:eastAsia="仿宋" w:cs="仿宋"/>
        <w:sz w:val="32"/>
        <w:szCs w:val="32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CCB38"/>
    <w:multiLevelType w:val="singleLevel"/>
    <w:tmpl w:val="58BCCB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NlMjE1N2Y2ZWMzZDU0NzU4ZTI4ZDNiMDE1NmRhZWYifQ=="/>
  </w:docVars>
  <w:rsids>
    <w:rsidRoot w:val="00524AAA"/>
    <w:rsid w:val="000A796E"/>
    <w:rsid w:val="00101C7A"/>
    <w:rsid w:val="00131928"/>
    <w:rsid w:val="001A3CB4"/>
    <w:rsid w:val="001E0232"/>
    <w:rsid w:val="00206B22"/>
    <w:rsid w:val="002307B5"/>
    <w:rsid w:val="002C0317"/>
    <w:rsid w:val="00325594"/>
    <w:rsid w:val="0037750D"/>
    <w:rsid w:val="003C4C5D"/>
    <w:rsid w:val="003D1126"/>
    <w:rsid w:val="003D1369"/>
    <w:rsid w:val="003D22B1"/>
    <w:rsid w:val="004150B7"/>
    <w:rsid w:val="00453A06"/>
    <w:rsid w:val="00524AAA"/>
    <w:rsid w:val="005412A2"/>
    <w:rsid w:val="005730D6"/>
    <w:rsid w:val="005F4345"/>
    <w:rsid w:val="0068144F"/>
    <w:rsid w:val="00747D9E"/>
    <w:rsid w:val="007775CB"/>
    <w:rsid w:val="007B4EB3"/>
    <w:rsid w:val="007C484E"/>
    <w:rsid w:val="007F0D2E"/>
    <w:rsid w:val="00825F97"/>
    <w:rsid w:val="008327A0"/>
    <w:rsid w:val="00933068"/>
    <w:rsid w:val="00973104"/>
    <w:rsid w:val="00990CB9"/>
    <w:rsid w:val="009B2D48"/>
    <w:rsid w:val="009C264C"/>
    <w:rsid w:val="009F0612"/>
    <w:rsid w:val="00A12AE7"/>
    <w:rsid w:val="00A15ADE"/>
    <w:rsid w:val="00A6455D"/>
    <w:rsid w:val="00A95F51"/>
    <w:rsid w:val="00A9676E"/>
    <w:rsid w:val="00AC6968"/>
    <w:rsid w:val="00AE416F"/>
    <w:rsid w:val="00B13EFE"/>
    <w:rsid w:val="00B50088"/>
    <w:rsid w:val="00B500A4"/>
    <w:rsid w:val="00BA40C6"/>
    <w:rsid w:val="00BA6B82"/>
    <w:rsid w:val="00CD0F72"/>
    <w:rsid w:val="00D27A25"/>
    <w:rsid w:val="00D312BA"/>
    <w:rsid w:val="00D73351"/>
    <w:rsid w:val="00E000C9"/>
    <w:rsid w:val="00E24B37"/>
    <w:rsid w:val="00E474B2"/>
    <w:rsid w:val="00E87B0C"/>
    <w:rsid w:val="00E91C36"/>
    <w:rsid w:val="00F14752"/>
    <w:rsid w:val="00F311AF"/>
    <w:rsid w:val="00F66032"/>
    <w:rsid w:val="00FB5EA2"/>
    <w:rsid w:val="13421F91"/>
    <w:rsid w:val="26CE6F6C"/>
    <w:rsid w:val="2777798C"/>
    <w:rsid w:val="28BD33A3"/>
    <w:rsid w:val="2B2A4C38"/>
    <w:rsid w:val="3336020C"/>
    <w:rsid w:val="444A6A95"/>
    <w:rsid w:val="494447AB"/>
    <w:rsid w:val="50FE5FE4"/>
    <w:rsid w:val="51751B0B"/>
    <w:rsid w:val="58120EF7"/>
    <w:rsid w:val="5BAF22D6"/>
    <w:rsid w:val="634E0237"/>
    <w:rsid w:val="67D4423F"/>
    <w:rsid w:val="7638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751</Words>
  <Characters>4281</Characters>
  <Lines>35</Lines>
  <Paragraphs>10</Paragraphs>
  <TotalTime>2</TotalTime>
  <ScaleCrop>false</ScaleCrop>
  <LinksUpToDate>false</LinksUpToDate>
  <CharactersWithSpaces>5022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2017-11-10T09:22:00Z</dcterms:created>
  <dc:creator>旭东</dc:creator>
  <cp:lastModifiedBy>Administrator</cp:lastModifiedBy>
  <dcterms:modified xsi:type="dcterms:W3CDTF">2024-01-18T10:14:16Z</dcterms:modified>
  <dc:title>2017年部门预算公开督导整改要求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2CAE50B4E6E14AF893448F77F965B25F_12</vt:lpwstr>
  </property>
</Properties>
</file>