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成安县水利局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年部门预算公开情况说明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</w:t>
      </w:r>
      <w:r>
        <w:rPr>
          <w:rFonts w:hint="eastAsia" w:ascii="仿宋_GB2312" w:hAnsi="黑体" w:eastAsia="仿宋_GB2312" w:cs="仿宋_GB2312"/>
          <w:sz w:val="32"/>
          <w:szCs w:val="32"/>
        </w:rPr>
        <w:t>通知要求，现将成安县水利</w:t>
      </w:r>
      <w:r>
        <w:rPr>
          <w:rFonts w:hint="eastAsia" w:ascii="仿宋_GB2312" w:hAnsi="Times New Roman" w:eastAsia="仿宋_GB2312" w:cs="仿宋_GB2312"/>
          <w:sz w:val="32"/>
          <w:szCs w:val="32"/>
        </w:rPr>
        <w:t>局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  <w:bookmarkStart w:id="3" w:name="_GoBack"/>
      <w:bookmarkEnd w:id="3"/>
    </w:p>
    <w:p>
      <w:pPr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、部门职责：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成安县水利局主要职责：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负责《中华人民共和国水法》、《中华人民共和国防洪法》等法律、法规的组织实施和监督检查，研究拟定全县水利工作的方针政策、发展战略、中长期规划和年度计划。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统一管理全县水资源（含空中水、地表水、地下水）。组织拟定全县水长期供求计划、水量分配方案并监督实施；组织有关国民经济总体规划、城市规划及重大建设项目的水资源和防洪论证工作；组织实施取水许可制度和水资源费征收制度；发布全县水资源公报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拟定全县节约用水政策、编制节约用水规划，制定有关标准，组织、指导和监督全县节约用水工作。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（四）</w:t>
      </w:r>
      <w:r>
        <w:rPr>
          <w:rFonts w:hint="eastAsia" w:ascii="仿宋_GB2312" w:hAnsi="仿宋" w:eastAsia="仿宋_GB2312" w:cs="仿宋_GB2312"/>
          <w:sz w:val="32"/>
          <w:szCs w:val="32"/>
        </w:rPr>
        <w:t>拟定水资源保护规划；组织水功能区划和向不同的功能区水域排污的控制；审定水域纳污能力，提出限制排污总量的意见。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（五）</w:t>
      </w:r>
      <w:r>
        <w:rPr>
          <w:rFonts w:hint="eastAsia" w:ascii="仿宋_GB2312" w:hAnsi="仿宋" w:eastAsia="仿宋_GB2312" w:cs="仿宋_GB2312"/>
          <w:sz w:val="32"/>
          <w:szCs w:val="32"/>
        </w:rPr>
        <w:t>组织、指导水政监察和水行政执法；协调并仲裁部门间和乡镇区际间水事纠纷。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（六）</w:t>
      </w:r>
      <w:r>
        <w:rPr>
          <w:rFonts w:hint="eastAsia" w:ascii="仿宋_GB2312" w:hAnsi="仿宋" w:eastAsia="仿宋_GB2312" w:cs="仿宋_GB2312"/>
          <w:sz w:val="32"/>
          <w:szCs w:val="32"/>
        </w:rPr>
        <w:t>制定全县水利行业经济调节措施；对水利资金的使用进行宏观调节；指导水利行业供水及多种经营工作；贯彻执行国家有关水利的资产、价费、税收、信贷、财务等政策，配合有关部门制定本县水利政策措施并组织实施；按照国家有关规定监督管理水利系统国有资产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（七）</w:t>
      </w:r>
      <w:r>
        <w:rPr>
          <w:rFonts w:hint="eastAsia" w:ascii="仿宋_GB2312" w:hAnsi="仿宋" w:eastAsia="仿宋_GB2312" w:cs="仿宋_GB2312"/>
          <w:sz w:val="32"/>
          <w:szCs w:val="32"/>
        </w:rPr>
        <w:t>负责全县水利基建项目建议书、可行性报告和初步设计的编制、审查、申报；组织水利科学研究和技术推广；主管水利行业技术质量标准和水利工程规程、规范并监督实施。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（八）</w:t>
      </w:r>
      <w:r>
        <w:rPr>
          <w:rFonts w:hint="eastAsia" w:ascii="仿宋_GB2312" w:hAnsi="仿宋" w:eastAsia="仿宋_GB2312" w:cs="仿宋_GB2312"/>
          <w:sz w:val="32"/>
          <w:szCs w:val="32"/>
        </w:rPr>
        <w:t>组织、指导全县水利设施及其岸线的管理与保护；组织指导主要渠道的治理和开发；负责全县水利工程建设的行业管理；组织建设和管理具有控制性的或跨乡镇的重要水利工程。</w:t>
      </w:r>
    </w:p>
    <w:p>
      <w:pPr>
        <w:pStyle w:val="11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（九）</w:t>
      </w:r>
      <w:r>
        <w:rPr>
          <w:rFonts w:hint="eastAsia" w:ascii="仿宋_GB2312" w:hAnsi="仿宋" w:eastAsia="仿宋_GB2312" w:cs="仿宋_GB2312"/>
          <w:sz w:val="32"/>
          <w:szCs w:val="32"/>
        </w:rPr>
        <w:t>指导全县农村水利工作，组织协调农田水利基本建设、城乡供水和农村水利社会化服务体系建设。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（十）</w:t>
      </w:r>
      <w:r>
        <w:rPr>
          <w:rFonts w:hint="eastAsia" w:ascii="仿宋_GB2312" w:hAnsi="仿宋" w:eastAsia="仿宋_GB2312" w:cs="仿宋_GB2312"/>
          <w:sz w:val="32"/>
          <w:szCs w:val="32"/>
        </w:rPr>
        <w:t>行使国有资产的管理权、所有权，承担县城和农村供水行业的管理职能，组织协调县城和农村供水建设、管理、维修、维护和运行工作。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（十一）</w:t>
      </w:r>
      <w:r>
        <w:rPr>
          <w:rFonts w:hint="eastAsia" w:ascii="仿宋_GB2312" w:hAnsi="仿宋" w:eastAsia="仿宋_GB2312" w:cs="仿宋_GB2312"/>
          <w:sz w:val="32"/>
          <w:szCs w:val="32"/>
        </w:rPr>
        <w:t>负责水利方面科技、外事工作；指导全县水利队伍建设。</w:t>
      </w:r>
    </w:p>
    <w:p>
      <w:pPr>
        <w:pStyle w:val="11"/>
        <w:ind w:left="420"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（十二）</w:t>
      </w:r>
      <w:r>
        <w:rPr>
          <w:rFonts w:hint="eastAsia" w:ascii="仿宋_GB2312" w:hAnsi="仿宋" w:eastAsia="仿宋_GB2312" w:cs="仿宋_GB2312"/>
          <w:sz w:val="32"/>
          <w:szCs w:val="32"/>
        </w:rPr>
        <w:t>承担县防汛抗旱指挥部的日常工作，组织、协调、监督、指导全县防汛抗旱和城市防洪工作，对主渠道和重要水利工程实施防汛抗旱调度。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（十三）</w:t>
      </w:r>
      <w:r>
        <w:rPr>
          <w:rFonts w:hint="eastAsia" w:ascii="仿宋_GB2312" w:hAnsi="仿宋" w:eastAsia="仿宋_GB2312" w:cs="仿宋_GB2312"/>
          <w:sz w:val="32"/>
          <w:szCs w:val="32"/>
        </w:rPr>
        <w:t>承办县委、县政府交办的其它事项，承办县人大政协建议、提案事宜。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人员编制75名，其中领导职数6个。</w:t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、机构设置：</w:t>
      </w:r>
    </w:p>
    <w:p>
      <w:pPr>
        <w:jc w:val="center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部门机构设置情况</w:t>
      </w:r>
    </w:p>
    <w:tbl>
      <w:tblPr>
        <w:tblStyle w:val="5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成安县水利局机关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年预算收入</w:t>
      </w:r>
      <w:r>
        <w:rPr>
          <w:rFonts w:ascii="仿宋" w:hAnsi="仿宋" w:eastAsia="仿宋" w:cs="仿宋"/>
          <w:kern w:val="0"/>
          <w:sz w:val="32"/>
          <w:szCs w:val="32"/>
        </w:rPr>
        <w:t>1024.06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</w:t>
      </w:r>
      <w:r>
        <w:rPr>
          <w:rFonts w:hint="eastAsia" w:eastAsia="仿宋_GB2312" w:cs="仿宋_GB2312"/>
          <w:kern w:val="0"/>
          <w:sz w:val="32"/>
          <w:szCs w:val="32"/>
        </w:rPr>
        <w:t>一般公共预算拨款收入</w:t>
      </w:r>
      <w:r>
        <w:rPr>
          <w:rFonts w:ascii="仿宋" w:hAnsi="仿宋" w:eastAsia="仿宋" w:cs="仿宋"/>
          <w:kern w:val="0"/>
          <w:sz w:val="32"/>
          <w:szCs w:val="32"/>
        </w:rPr>
        <w:t>1024.06</w:t>
      </w:r>
      <w:r>
        <w:rPr>
          <w:rFonts w:hint="eastAsia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政府性基金收入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年支出预算</w:t>
      </w:r>
      <w:r>
        <w:rPr>
          <w:rFonts w:ascii="仿宋_GB2312" w:hAnsi="仿宋" w:eastAsia="仿宋_GB2312" w:cs="仿宋_GB2312"/>
          <w:kern w:val="0"/>
          <w:sz w:val="32"/>
          <w:szCs w:val="32"/>
        </w:rPr>
        <w:t>1024.06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万元，其中基本支出</w:t>
      </w:r>
      <w:r>
        <w:rPr>
          <w:rFonts w:ascii="仿宋_GB2312" w:hAnsi="Times New Roman" w:eastAsia="仿宋_GB2312" w:cs="仿宋_GB2312"/>
          <w:sz w:val="32"/>
          <w:szCs w:val="32"/>
        </w:rPr>
        <w:t>381.06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，包括人员经费和日常公用经费；项目支出</w:t>
      </w:r>
      <w:r>
        <w:rPr>
          <w:rFonts w:ascii="仿宋_GB2312" w:hAnsi="Times New Roman" w:eastAsia="仿宋_GB2312" w:cs="仿宋_GB2312"/>
          <w:sz w:val="32"/>
          <w:szCs w:val="32"/>
        </w:rPr>
        <w:t>643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万元，主要为南水北调水费、水利行业业务管理费用等。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年预算收支安排</w:t>
      </w:r>
      <w:r>
        <w:rPr>
          <w:rFonts w:ascii="仿宋_GB2312" w:hAnsi="Times New Roman" w:eastAsia="仿宋_GB2312" w:cs="仿宋_GB2312"/>
          <w:sz w:val="32"/>
          <w:szCs w:val="32"/>
        </w:rPr>
        <w:t>1024.06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万元，较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减少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7018.87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万元，其中：基本支出增加</w:t>
      </w:r>
      <w:r>
        <w:rPr>
          <w:rFonts w:ascii="仿宋_GB2312" w:hAnsi="Times New Roman" w:eastAsia="仿宋_GB2312" w:cs="仿宋_GB2312"/>
          <w:sz w:val="32"/>
          <w:szCs w:val="32"/>
        </w:rPr>
        <w:t>51.95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万元，主要是调资增加工资福利支出</w:t>
      </w:r>
      <w:r>
        <w:rPr>
          <w:rFonts w:hint="eastAsia" w:eastAsia="仿宋_GB2312" w:cs="仿宋_GB2312"/>
          <w:kern w:val="0"/>
          <w:sz w:val="32"/>
          <w:szCs w:val="32"/>
        </w:rPr>
        <w:t>，因退休人员增多、退休人员调资等原因增加对个人和家庭补助</w:t>
      </w:r>
      <w:r>
        <w:rPr>
          <w:rFonts w:hint="eastAsia" w:ascii="仿宋_GB2312" w:hAnsi="Times New Roman" w:eastAsia="仿宋_GB2312" w:cs="仿宋_GB2312"/>
          <w:color w:val="FF0000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项目支出减少</w:t>
      </w:r>
      <w:r>
        <w:rPr>
          <w:rFonts w:ascii="仿宋_GB2312" w:hAnsi="Times New Roman" w:eastAsia="仿宋_GB2312" w:cs="仿宋_GB2312"/>
          <w:sz w:val="32"/>
          <w:szCs w:val="32"/>
        </w:rPr>
        <w:t>7070.82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年预算中包含提前下达的省级以上专项资金</w:t>
      </w:r>
      <w:r>
        <w:rPr>
          <w:rFonts w:hint="eastAsia" w:eastAsia="仿宋_GB2312" w:cs="仿宋_GB2312"/>
          <w:kern w:val="0"/>
          <w:sz w:val="32"/>
          <w:szCs w:val="32"/>
        </w:rPr>
        <w:t>（地下水超采综合治理等）较多。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机关运行经费共计安排</w:t>
      </w:r>
      <w:r>
        <w:rPr>
          <w:rFonts w:ascii="仿宋_GB2312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万元，主要用于</w:t>
      </w:r>
      <w:r>
        <w:rPr>
          <w:rFonts w:hint="eastAsia" w:ascii="仿宋" w:hAnsi="仿宋" w:eastAsia="仿宋_GB2312" w:cs="仿宋_GB2312"/>
          <w:kern w:val="0"/>
          <w:sz w:val="32"/>
          <w:szCs w:val="32"/>
        </w:rPr>
        <w:t>：办公费、差旅费、交通费、会议费、招待费、其他支出等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sz w:val="32"/>
          <w:szCs w:val="32"/>
        </w:rPr>
        <w:t>年，我单位“三公”经费预算安排</w:t>
      </w:r>
      <w:r>
        <w:rPr>
          <w:rFonts w:ascii="仿宋_GB2312" w:hAnsi="仿宋" w:eastAsia="仿宋_GB2312" w:cs="仿宋_GB2312"/>
          <w:sz w:val="32"/>
          <w:szCs w:val="32"/>
        </w:rPr>
        <w:t>12.4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万元，其中因公出国（境）费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万元；公务用车购置及运维护费</w:t>
      </w:r>
      <w:r>
        <w:rPr>
          <w:rFonts w:ascii="仿宋_GB2312" w:hAnsi="仿宋" w:eastAsia="仿宋_GB2312" w:cs="仿宋_GB2312"/>
          <w:sz w:val="32"/>
          <w:szCs w:val="32"/>
        </w:rPr>
        <w:t>12.4</w:t>
      </w:r>
      <w:r>
        <w:rPr>
          <w:rFonts w:hint="eastAsia" w:ascii="仿宋_GB2312" w:hAnsi="仿宋" w:eastAsia="仿宋_GB2312" w:cs="仿宋_GB2312"/>
          <w:sz w:val="32"/>
          <w:szCs w:val="32"/>
        </w:rPr>
        <w:t>万元。（其中：公务用车购置费为</w:t>
      </w:r>
      <w:r>
        <w:rPr>
          <w:rFonts w:ascii="仿宋_GB2312" w:hAnsi="仿宋" w:eastAsia="仿宋_GB2312" w:cs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万元，公务用车运行维护费</w:t>
      </w:r>
      <w:r>
        <w:rPr>
          <w:rFonts w:ascii="仿宋_GB2312" w:hAnsi="仿宋" w:eastAsia="仿宋_GB2312" w:cs="仿宋_GB2312"/>
          <w:sz w:val="32"/>
          <w:szCs w:val="32"/>
        </w:rPr>
        <w:t>1.4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；公务接待费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万元。与</w:t>
      </w:r>
      <w:r>
        <w:rPr>
          <w:rFonts w:ascii="仿宋_GB2312" w:hAnsi="仿宋" w:eastAsia="仿宋_GB2312" w:cs="仿宋_GB2312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sz w:val="32"/>
          <w:szCs w:val="32"/>
        </w:rPr>
        <w:t>年比较，增加</w:t>
      </w:r>
      <w:r>
        <w:rPr>
          <w:rFonts w:ascii="仿宋_GB2312" w:hAnsi="仿宋" w:eastAsia="仿宋_GB2312" w:cs="仿宋_GB2312"/>
          <w:sz w:val="32"/>
          <w:szCs w:val="32"/>
        </w:rPr>
        <w:t>10.17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万元，主要原因是购置公务用车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辆</w:t>
      </w:r>
      <w:r>
        <w:rPr>
          <w:rFonts w:ascii="仿宋_GB2312" w:hAnsi="仿宋" w:eastAsia="仿宋_GB2312" w:cs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万元，公务用车运行维护费减少</w:t>
      </w:r>
      <w:r>
        <w:rPr>
          <w:rFonts w:ascii="仿宋_GB2312" w:hAnsi="仿宋" w:eastAsia="仿宋_GB2312" w:cs="仿宋_GB2312"/>
          <w:sz w:val="32"/>
          <w:szCs w:val="32"/>
        </w:rPr>
        <w:t>0.83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Times New Roman"/>
          <w:b/>
          <w:bCs/>
          <w:sz w:val="32"/>
          <w:szCs w:val="32"/>
        </w:rPr>
      </w:pPr>
      <w:bookmarkStart w:id="0" w:name="_Toc471398463"/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、总体绩效目标：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推进两项改革。一是全面推进河长制。按照国家、省推行河长制的工作部署，全面推进河长制各项工作，切实加强河湖管理保护，确保中央文件精神落地生根、取得实效。二是开展农业水权交易试点。在完成水权确权登记的基础上，利用中国水权交易平台，以成安县为试点，启动我县农业水权交易，并逐步在压采试点区推广。</w:t>
      </w:r>
    </w:p>
    <w:p>
      <w:pPr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抓好三个安全。一是供水安全。加大南水北调水源切换力度。充分发挥南水北调水厂作用，为全县工农业生产和生态环境建设提供可靠水源支撑。二是农村饮水安全。按照“十三五”农村饮水巩固提升标准，优先实施水毁饮水安全工程巩固提升。三是地下水安全。努力争取上级资金，继续推进河渠连通、高效节水工程和机井关停。</w:t>
      </w:r>
    </w:p>
    <w:p>
      <w:pPr>
        <w:spacing w:line="560" w:lineRule="exact"/>
        <w:ind w:firstLine="482" w:firstLineChars="150"/>
        <w:jc w:val="left"/>
        <w:outlineLvl w:val="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、部门职责及工作活动绩效目标指标：</w:t>
      </w:r>
    </w:p>
    <w:p>
      <w:pPr>
        <w:spacing w:line="560" w:lineRule="exact"/>
        <w:jc w:val="center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部门职责</w:t>
      </w:r>
      <w:r>
        <w:rPr>
          <w:rFonts w:ascii="仿宋_GB2312" w:hAnsi="Times New Roman" w:eastAsia="仿宋_GB2312" w:cs="仿宋_GB2312"/>
          <w:sz w:val="32"/>
          <w:szCs w:val="32"/>
        </w:rPr>
        <w:t>-</w:t>
      </w:r>
      <w:r>
        <w:rPr>
          <w:rFonts w:hint="eastAsia" w:ascii="仿宋_GB2312" w:hAnsi="Times New Roman" w:eastAsia="仿宋_GB2312" w:cs="仿宋_GB2312"/>
          <w:sz w:val="32"/>
          <w:szCs w:val="32"/>
        </w:rPr>
        <w:t>工作活动绩效目标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332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成安县水利局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水利水电项目建设与管理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水利水电项目的建设与维护管理。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按期完成水利水电项目建设和维修管护任务，对社会稳定和经济发展起到积极作用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水利工程建设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组织实施水利工程项目建设。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按期保质保量完成水利项目建设任务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项目完工率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水利工程运行与维护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指导河道堤防、水库、水闸、排灌泵站、水文等水利工程运行管理和加强对全县水利行业的安全生产监督、检查。对水利工程进行维修养护，确保工程安全运行。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编制全县水利工程运行与维护计划，指导河道堤防、水库、水闸、排灌泵站、水文等水利工程运行管理和加强对全县水利行业的安全生产监督、检查。对水利工程进行维修养护，确保工程安全运行。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年度维修养护工程质量全部合格，工程正常运行。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工程质量验收合格率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农田水利建设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建设小型农田水利设施，实施节水灌溉、灌区续建配套与节水改造等，推广综合节水技术，农业水价综合改革，开展乡镇水利站建设。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提高农业用水效率、改善农业生产条件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项目完工率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保障农村饮水安全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在全县范围内通过实施农村饮水安全项目，解决农村居民饮水不安全问题。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保障农村供水安全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水库移民安置及后期管理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落实水库移民政策，扶持移民发展生产，保持移民稳定。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增加移民收入，改善移民生产生活条件，促进移民稳定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移民政策落实率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农村水电建设与管理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开展水能资源调查评价、水能资源开发利用规划编制。农村水电建设、质量和安全监督管理、绿色小水电建设。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充分利用水能资源，提供清洁可再生能源，促进节能减排，保护生态环境，服务“三农”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项目完成率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农业灌溉水费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农业灌溉水费，进行全县农业灌溉。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保证全县农业灌溉用水。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农业灌溉水费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对全县农业灌溉进行全面覆盖。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全县农业灌溉进行全面覆盖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全面覆盖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南水北调水厂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523.00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供应全县生活用水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达到县城生活用水供应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南水北调水费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523.00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供应全县城镇生活用水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供应全县生活用水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达到城镇供水全覆盖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南水北调水厂建设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供应全县生活用水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供应全县生活用水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达到县城生活用水供应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水资源保护和生态建设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组织实施全县水资源管理和水土保持相关工作。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促进水资源可持续发展，保护生态环境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水资源管理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统一管理全县水资源，组织实施全县水资源节约、保护、配置、监督管理等工作。全面落实最严格水资源管理制度。协调实施跨流域调水，制定调水计划，组织做好输水管理工作。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促进水资源可持续发展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年度任务完成率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水土保持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组织全县水土保持工作。研究制定水土保持规划，承担水土流失综合防治工作；依法开展水土保持监督管理工作，组织全县水土流失监测、预报并公告；组织开展水土保持宣传教育工作。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保护和合理利用水土资源，改善生态环境，维护生态安全。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水土流失治理面积率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水利科技支撑和公共服务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组织指导全县水利事业建设的科技创新和技术示范推广，为水利事业科学发展提供公共支撑。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研制并示范推广水利工程和管理技术，提高水利事业管理水平。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水文测报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地表、地下水量水质监测，墒情监测，水文资料整编，水文设施运行、维护及更新，委托观测，水文情报、预报，水文信息系统运行。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为防汛、抗旱、减灾、水资源保护管理、水利工程建设准确、及时提供水文资料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水情报汛准确率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防汛抗旱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负责全县防汛抗旱组织管理、应急调度，指导水利行业信息化建设，建设应急度汛、抗旱应急、海堤、山洪灾害防治项目，支持基层防汛抗旱组织建设，储备管理防汛抗旱物资，建设水利信息化基础设施，提高全县抗御水旱灾害能力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发挥防汛抗旱减灾体系作用，最大限度地减少水旱灾害造成的人员伤亡和财产损失。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工程完成率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水利政务管理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依法依规履行机关日常管理职责。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依法依规履行机关日常管理职责，确保水利工作正常运行。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协调推动、普查统计、督促指导、对外合作、行政审批、业务监管、水利立法、执法、处理水事纠纷，监督检查、人事管理、表彰奖励及其他依法行政管理活动。</w:t>
            </w:r>
            <w:r>
              <w:rPr>
                <w:rFonts w:hint="eastAsia" w:ascii="仿宋" w:hAnsi="仿宋" w:eastAsia="仿宋" w:cs="仿宋"/>
                <w:lang w:eastAsia="zh-CN"/>
              </w:rPr>
              <w:t>县委、县政府</w:t>
            </w:r>
            <w:r>
              <w:rPr>
                <w:rFonts w:hint="eastAsia" w:ascii="仿宋" w:hAnsi="仿宋" w:eastAsia="仿宋" w:cs="仿宋"/>
              </w:rPr>
              <w:t>交办的其他事项等行政管理事项。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依法依规完成工作任务，推进科学决策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加强机关事务性管理，开展机关自身能力建设。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确保机关工作正常运行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水库移民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对水库移民的补助情况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水库移民补助的实施及管理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水库移民补助项目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对水库移民的补助及管理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对水库移民的补助进行核实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水库移民补助情况完成率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城西工业区居民、单位、工矿企业的生产生活用水水费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城西工业区居民、单位、工矿企业的生产生活用水供应及水费的征收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保证城西工业区居民、单位、工矿企业的生产生活用水供应及水费的征收。管道维修</w:t>
            </w:r>
            <w:r>
              <w:rPr>
                <w:rFonts w:ascii="仿宋" w:hAnsi="仿宋" w:eastAsia="仿宋" w:cs="仿宋"/>
              </w:rPr>
              <w:t>,</w:t>
            </w:r>
            <w:r>
              <w:rPr>
                <w:rFonts w:hint="eastAsia" w:ascii="仿宋" w:hAnsi="仿宋" w:eastAsia="仿宋" w:cs="仿宋"/>
              </w:rPr>
              <w:t>提高居民生活用水质量。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城西工业区居民、单位、工矿企业的生产生活用水供应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城西工业区居民、单位、工矿企业的生产生活用水供应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达到城西工业区生活用水供应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县城老城区居民、单位水费征收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供应县城老城区用水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供应县城居民生活供水、水费征收及维修管道，对社会稳定和经济发展起到积极作用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县城居民、单位水费征收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保证老城区居民生活供水、管道维修及水费征收。在全县范围内通过实施饮水安全项目，解决居民饮水不安全问题。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达到老城区生活用水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供应率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全县农村供水正常运行等相关工作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确保全县各供水站正常供水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实现全县各村供水全覆盖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　　全县农村供水正常运行等相关工作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确保全县各供水站正常供水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全县农村供水正常运行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保证正常运行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70</w:t>
            </w:r>
          </w:p>
        </w:tc>
      </w:tr>
    </w:tbl>
    <w:p>
      <w:pPr>
        <w:spacing w:line="560" w:lineRule="exact"/>
        <w:jc w:val="center"/>
        <w:outlineLvl w:val="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00" w:lineRule="exact"/>
        <w:jc w:val="left"/>
        <w:outlineLvl w:val="0"/>
        <w:rPr>
          <w:rFonts w:cs="Times New Roman"/>
        </w:rPr>
        <w:sectPr>
          <w:headerReference r:id="rId3" w:type="default"/>
          <w:pgSz w:w="16839" w:h="11907" w:orient="landscape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方正小标宋_GBK" w:eastAsia="方正小标宋_GBK" w:cs="Times New Roman"/>
          <w:sz w:val="32"/>
          <w:szCs w:val="32"/>
        </w:rPr>
      </w:pPr>
      <w:bookmarkStart w:id="1" w:name="_Toc471398468"/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年，我单位安排政府采购预算</w:t>
      </w:r>
      <w:r>
        <w:rPr>
          <w:rFonts w:ascii="仿宋_GB2312" w:hAnsi="Times New Roman" w:eastAsia="仿宋_GB2312" w:cs="仿宋_GB2312"/>
          <w:sz w:val="32"/>
          <w:szCs w:val="32"/>
        </w:rPr>
        <w:t>1.8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万元。具体内容见下表。</w:t>
      </w:r>
      <w:bookmarkEnd w:id="1"/>
      <w:bookmarkStart w:id="2" w:name="_Toc477341519"/>
    </w:p>
    <w:p>
      <w:pPr>
        <w:spacing w:line="560" w:lineRule="exact"/>
        <w:jc w:val="center"/>
        <w:outlineLvl w:val="0"/>
        <w:rPr>
          <w:rFonts w:ascii="方正小标宋_GBK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w:t>部门政府采购预算</w:t>
      </w:r>
      <w:bookmarkEnd w:id="2"/>
    </w:p>
    <w:tbl>
      <w:tblPr>
        <w:tblStyle w:val="5"/>
        <w:tblW w:w="153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176"/>
        <w:gridCol w:w="1088"/>
        <w:gridCol w:w="1327"/>
        <w:gridCol w:w="691"/>
        <w:gridCol w:w="964"/>
        <w:gridCol w:w="986"/>
        <w:gridCol w:w="964"/>
        <w:gridCol w:w="964"/>
        <w:gridCol w:w="964"/>
        <w:gridCol w:w="964"/>
        <w:gridCol w:w="964"/>
        <w:gridCol w:w="964"/>
        <w:gridCol w:w="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  <w:szCs w:val="24"/>
              </w:rPr>
            </w:pPr>
            <w:r>
              <w:rPr>
                <w:rFonts w:ascii="方正小标宋_GBK" w:cs="方正小标宋_GBK"/>
                <w:sz w:val="24"/>
                <w:szCs w:val="24"/>
              </w:rPr>
              <w:t>332</w:t>
            </w:r>
            <w:r>
              <w:rPr>
                <w:rFonts w:hint="eastAsia" w:ascii="方正小标宋_GBK"/>
                <w:sz w:val="24"/>
                <w:szCs w:val="24"/>
              </w:rPr>
              <w:t>成安县水利</w:t>
            </w:r>
            <w:r>
              <w:rPr>
                <w:rFonts w:hint="eastAsia" w:ascii="方正小标宋_GBK" w:eastAsia="方正小标宋_GBK" w:cs="方正小标宋_GBK"/>
                <w:sz w:val="24"/>
                <w:szCs w:val="24"/>
              </w:rPr>
              <w:t>局</w:t>
            </w:r>
          </w:p>
        </w:tc>
        <w:tc>
          <w:tcPr>
            <w:tcW w:w="669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36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政府采购项目来源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采购物品名称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政府采购目录序号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</w:p>
        </w:tc>
        <w:tc>
          <w:tcPr>
            <w:tcW w:w="66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tblHeader/>
          <w:jc w:val="center"/>
        </w:trPr>
        <w:tc>
          <w:tcPr>
            <w:tcW w:w="243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预算资金</w:t>
            </w: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其他来源收入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　计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办公家具购置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办公桌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A060205</w:t>
            </w:r>
          </w:p>
        </w:tc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0.08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办公家具购置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0.2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办公椅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A060301</w:t>
            </w:r>
          </w:p>
        </w:tc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0.01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0.2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0.2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0.2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成安县水利局上年末固定资产金额为</w:t>
      </w:r>
      <w:r>
        <w:rPr>
          <w:rFonts w:ascii="仿宋_GB2312" w:hAnsi="黑体" w:eastAsia="仿宋_GB2312" w:cs="仿宋_GB2312"/>
          <w:sz w:val="32"/>
          <w:szCs w:val="32"/>
        </w:rPr>
        <w:t>574.19</w:t>
      </w:r>
      <w:r>
        <w:rPr>
          <w:rFonts w:hint="eastAsia" w:ascii="仿宋_GB2312" w:hAnsi="黑体" w:eastAsia="仿宋_GB2312" w:cs="仿宋_GB2312"/>
          <w:sz w:val="32"/>
          <w:szCs w:val="32"/>
        </w:rPr>
        <w:t>万元，本年度拟购置固定资产</w:t>
      </w:r>
      <w:r>
        <w:rPr>
          <w:rFonts w:ascii="仿宋_GB2312" w:hAnsi="黑体" w:eastAsia="仿宋_GB2312" w:cs="仿宋_GB2312"/>
          <w:sz w:val="32"/>
          <w:szCs w:val="32"/>
        </w:rPr>
        <w:t>1.8</w:t>
      </w:r>
      <w:r>
        <w:rPr>
          <w:rFonts w:hint="eastAsia" w:ascii="仿宋_GB2312" w:hAnsi="黑体" w:eastAsia="仿宋_GB2312" w:cs="仿宋_GB2312"/>
          <w:sz w:val="32"/>
          <w:szCs w:val="32"/>
        </w:rPr>
        <w:t>万元，主要为办公家具，已列入政府采购预算。详见下表。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</w:p>
    <w:tbl>
      <w:tblPr>
        <w:tblStyle w:val="5"/>
        <w:tblW w:w="1297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6"/>
        <w:gridCol w:w="1224"/>
        <w:gridCol w:w="5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编制部门：成安县水利局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截止时间：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2016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目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数量</w:t>
            </w:r>
          </w:p>
        </w:tc>
        <w:tc>
          <w:tcPr>
            <w:tcW w:w="5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574.19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1946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44.49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1786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、单价在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515.76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、一般预算收入：县级财政当年拨付的资金。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、基本支出：为保障机构正常运转，完成日常工作任务，而发生的人员支出和公用支出。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、项目支出：是指在基本支出之外，为完成特定行政任务和事业发展目标，而发生的支出。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>
      <w:pPr>
        <w:tabs>
          <w:tab w:val="left" w:pos="11490"/>
        </w:tabs>
        <w:ind w:firstLine="960" w:firstLineChars="3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800" w:firstLineChars="2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Times New Roman"/>
        <w:sz w:val="24"/>
        <w:szCs w:val="24"/>
      </w:rPr>
    </w:pPr>
    <w:r>
      <w:rPr>
        <w:rFonts w:ascii="仿宋" w:hAnsi="仿宋" w:eastAsia="仿宋" w:cs="仿宋"/>
        <w:sz w:val="24"/>
        <w:szCs w:val="24"/>
      </w:rPr>
      <w:fldChar w:fldCharType="begin"/>
    </w:r>
    <w:r>
      <w:rPr>
        <w:rFonts w:ascii="仿宋" w:hAnsi="仿宋" w:eastAsia="仿宋" w:cs="仿宋"/>
        <w:sz w:val="24"/>
        <w:szCs w:val="24"/>
      </w:rPr>
      <w:instrText xml:space="preserve">PAGE   \* MERGEFORMAT</w:instrText>
    </w:r>
    <w:r>
      <w:rPr>
        <w:rFonts w:ascii="仿宋" w:hAnsi="仿宋" w:eastAsia="仿宋" w:cs="仿宋"/>
        <w:sz w:val="24"/>
        <w:szCs w:val="24"/>
      </w:rPr>
      <w:fldChar w:fldCharType="separate"/>
    </w:r>
    <w:r>
      <w:rPr>
        <w:rFonts w:ascii="仿宋" w:hAnsi="仿宋" w:eastAsia="仿宋" w:cs="仿宋"/>
        <w:sz w:val="24"/>
        <w:szCs w:val="24"/>
        <w:lang w:val="zh-CN"/>
      </w:rPr>
      <w:t>12</w:t>
    </w:r>
    <w:r>
      <w:rPr>
        <w:rFonts w:ascii="仿宋" w:hAnsi="仿宋" w:eastAsia="仿宋" w:cs="仿宋"/>
        <w:sz w:val="24"/>
        <w:szCs w:val="24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A"/>
    <w:rsid w:val="0004578F"/>
    <w:rsid w:val="00057AC8"/>
    <w:rsid w:val="000624C7"/>
    <w:rsid w:val="00073F13"/>
    <w:rsid w:val="00080A5A"/>
    <w:rsid w:val="000A796E"/>
    <w:rsid w:val="000D5AEA"/>
    <w:rsid w:val="00101C7A"/>
    <w:rsid w:val="00124D36"/>
    <w:rsid w:val="0012792D"/>
    <w:rsid w:val="00131928"/>
    <w:rsid w:val="00134AD5"/>
    <w:rsid w:val="001402F0"/>
    <w:rsid w:val="0014320C"/>
    <w:rsid w:val="0014419A"/>
    <w:rsid w:val="001A3CB4"/>
    <w:rsid w:val="001E0232"/>
    <w:rsid w:val="00206B22"/>
    <w:rsid w:val="0021183F"/>
    <w:rsid w:val="00223610"/>
    <w:rsid w:val="0023395E"/>
    <w:rsid w:val="0025412C"/>
    <w:rsid w:val="00270593"/>
    <w:rsid w:val="00273AF9"/>
    <w:rsid w:val="002B0964"/>
    <w:rsid w:val="002C0317"/>
    <w:rsid w:val="002D046F"/>
    <w:rsid w:val="002D05B8"/>
    <w:rsid w:val="002D340F"/>
    <w:rsid w:val="002F7AC9"/>
    <w:rsid w:val="003038CE"/>
    <w:rsid w:val="003069ED"/>
    <w:rsid w:val="0033146B"/>
    <w:rsid w:val="00371523"/>
    <w:rsid w:val="0037750D"/>
    <w:rsid w:val="003779A4"/>
    <w:rsid w:val="003C3F10"/>
    <w:rsid w:val="003C4C5D"/>
    <w:rsid w:val="003D22B1"/>
    <w:rsid w:val="003D2A1F"/>
    <w:rsid w:val="003E5451"/>
    <w:rsid w:val="0040161D"/>
    <w:rsid w:val="00404A82"/>
    <w:rsid w:val="00432089"/>
    <w:rsid w:val="00452A55"/>
    <w:rsid w:val="00453A06"/>
    <w:rsid w:val="00480474"/>
    <w:rsid w:val="00485AED"/>
    <w:rsid w:val="004868E4"/>
    <w:rsid w:val="00490249"/>
    <w:rsid w:val="00490E9A"/>
    <w:rsid w:val="00497BE6"/>
    <w:rsid w:val="004C6CE1"/>
    <w:rsid w:val="00505C51"/>
    <w:rsid w:val="00524AAA"/>
    <w:rsid w:val="005412A2"/>
    <w:rsid w:val="00554472"/>
    <w:rsid w:val="00565ABB"/>
    <w:rsid w:val="005725CE"/>
    <w:rsid w:val="00593619"/>
    <w:rsid w:val="0059726E"/>
    <w:rsid w:val="005A1846"/>
    <w:rsid w:val="005B3BB6"/>
    <w:rsid w:val="005F4345"/>
    <w:rsid w:val="00615C9A"/>
    <w:rsid w:val="006262C4"/>
    <w:rsid w:val="00626438"/>
    <w:rsid w:val="00636876"/>
    <w:rsid w:val="0064269C"/>
    <w:rsid w:val="006463EC"/>
    <w:rsid w:val="006615F1"/>
    <w:rsid w:val="00663C2C"/>
    <w:rsid w:val="00676C43"/>
    <w:rsid w:val="0069518A"/>
    <w:rsid w:val="006979A7"/>
    <w:rsid w:val="006C5971"/>
    <w:rsid w:val="006E25E1"/>
    <w:rsid w:val="006E3F29"/>
    <w:rsid w:val="00747D9E"/>
    <w:rsid w:val="00762CF4"/>
    <w:rsid w:val="007723F9"/>
    <w:rsid w:val="007775CB"/>
    <w:rsid w:val="007C484E"/>
    <w:rsid w:val="007D18BA"/>
    <w:rsid w:val="007E001B"/>
    <w:rsid w:val="007F0D2E"/>
    <w:rsid w:val="007F0F56"/>
    <w:rsid w:val="00825F97"/>
    <w:rsid w:val="00830186"/>
    <w:rsid w:val="008327A0"/>
    <w:rsid w:val="00844338"/>
    <w:rsid w:val="00866339"/>
    <w:rsid w:val="0086688D"/>
    <w:rsid w:val="008734A1"/>
    <w:rsid w:val="008A5E8C"/>
    <w:rsid w:val="008B1C76"/>
    <w:rsid w:val="008B2E78"/>
    <w:rsid w:val="008C2867"/>
    <w:rsid w:val="009108F1"/>
    <w:rsid w:val="009113FA"/>
    <w:rsid w:val="00933068"/>
    <w:rsid w:val="009536E5"/>
    <w:rsid w:val="00956B59"/>
    <w:rsid w:val="00965CD0"/>
    <w:rsid w:val="00970548"/>
    <w:rsid w:val="009825B0"/>
    <w:rsid w:val="00990CB9"/>
    <w:rsid w:val="009C264C"/>
    <w:rsid w:val="009D222A"/>
    <w:rsid w:val="009D275F"/>
    <w:rsid w:val="009E7F94"/>
    <w:rsid w:val="009F0612"/>
    <w:rsid w:val="00A12AE7"/>
    <w:rsid w:val="00A15ADE"/>
    <w:rsid w:val="00A302AC"/>
    <w:rsid w:val="00A36FC1"/>
    <w:rsid w:val="00A443E6"/>
    <w:rsid w:val="00A5174C"/>
    <w:rsid w:val="00A95F51"/>
    <w:rsid w:val="00AA23AC"/>
    <w:rsid w:val="00AC6968"/>
    <w:rsid w:val="00AD7AB5"/>
    <w:rsid w:val="00B13EFE"/>
    <w:rsid w:val="00B43C9F"/>
    <w:rsid w:val="00B50088"/>
    <w:rsid w:val="00B500A4"/>
    <w:rsid w:val="00B67BB5"/>
    <w:rsid w:val="00B75EC1"/>
    <w:rsid w:val="00BA4DC7"/>
    <w:rsid w:val="00BA6B82"/>
    <w:rsid w:val="00BA6EEF"/>
    <w:rsid w:val="00BD168A"/>
    <w:rsid w:val="00BD7F5C"/>
    <w:rsid w:val="00BF6801"/>
    <w:rsid w:val="00C2770E"/>
    <w:rsid w:val="00C4259A"/>
    <w:rsid w:val="00C53CF6"/>
    <w:rsid w:val="00C547CB"/>
    <w:rsid w:val="00C612A7"/>
    <w:rsid w:val="00C80575"/>
    <w:rsid w:val="00CE2464"/>
    <w:rsid w:val="00D02321"/>
    <w:rsid w:val="00D27A25"/>
    <w:rsid w:val="00D312BA"/>
    <w:rsid w:val="00D409C0"/>
    <w:rsid w:val="00D53009"/>
    <w:rsid w:val="00D73351"/>
    <w:rsid w:val="00D92F55"/>
    <w:rsid w:val="00DA1103"/>
    <w:rsid w:val="00DC71C8"/>
    <w:rsid w:val="00E06810"/>
    <w:rsid w:val="00E20E09"/>
    <w:rsid w:val="00E24B37"/>
    <w:rsid w:val="00E43FD0"/>
    <w:rsid w:val="00E87B0C"/>
    <w:rsid w:val="00EC6EBD"/>
    <w:rsid w:val="00ED7902"/>
    <w:rsid w:val="00F019CE"/>
    <w:rsid w:val="00F12708"/>
    <w:rsid w:val="00F14752"/>
    <w:rsid w:val="00F51A57"/>
    <w:rsid w:val="00F63202"/>
    <w:rsid w:val="00FE199B"/>
    <w:rsid w:val="31964168"/>
    <w:rsid w:val="3B915C47"/>
    <w:rsid w:val="3D0969D0"/>
    <w:rsid w:val="40384609"/>
    <w:rsid w:val="741F4A96"/>
    <w:rsid w:val="7E7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sz w:val="18"/>
      <w:szCs w:val="18"/>
    </w:rPr>
  </w:style>
  <w:style w:type="character" w:customStyle="1" w:styleId="8">
    <w:name w:val="页眉 Char"/>
    <w:link w:val="4"/>
    <w:locked/>
    <w:uiPriority w:val="99"/>
    <w:rPr>
      <w:sz w:val="18"/>
      <w:szCs w:val="18"/>
    </w:rPr>
  </w:style>
  <w:style w:type="paragraph" w:customStyle="1" w:styleId="9">
    <w:name w:val="列出段落1"/>
    <w:basedOn w:val="1"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locked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822</Words>
  <Characters>4686</Characters>
  <Lines>39</Lines>
  <Paragraphs>10</Paragraphs>
  <TotalTime>221</TotalTime>
  <ScaleCrop>false</ScaleCrop>
  <LinksUpToDate>false</LinksUpToDate>
  <CharactersWithSpaces>5498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2017-06-24T03:13:00Z</dcterms:created>
  <dc:creator>旭东</dc:creator>
  <cp:lastModifiedBy>Administrator</cp:lastModifiedBy>
  <cp:lastPrinted>2017-03-28T03:35:00Z</cp:lastPrinted>
  <dcterms:modified xsi:type="dcterms:W3CDTF">2024-09-09T03:42:17Z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1D4D489F64AB4187894C5D4DA4654BD3</vt:lpwstr>
  </property>
</Properties>
</file>