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31A6">
      <w:pPr>
        <w:jc w:val="center"/>
        <w:rPr>
          <w:rFonts w:cs="仿宋" w:asciiTheme="majorEastAsia" w:hAnsiTheme="majorEastAsia" w:eastAsiaTheme="majorEastAsia"/>
          <w:b/>
          <w:kern w:val="0"/>
          <w:sz w:val="44"/>
          <w:szCs w:val="44"/>
        </w:rPr>
      </w:pPr>
    </w:p>
    <w:p w14:paraId="34E984B4">
      <w:pPr>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成安县审计局2017年部门预算公开情况说明</w:t>
      </w:r>
    </w:p>
    <w:p w14:paraId="44156244">
      <w:pPr>
        <w:ind w:firstLine="640" w:firstLineChars="200"/>
        <w:rPr>
          <w:rFonts w:ascii="黑体" w:hAnsi="黑体" w:eastAsia="黑体" w:cs="黑体"/>
          <w:bCs/>
          <w:sz w:val="32"/>
          <w:szCs w:val="32"/>
        </w:rPr>
      </w:pPr>
    </w:p>
    <w:p w14:paraId="775C3E9B">
      <w:pPr>
        <w:ind w:firstLine="640" w:firstLineChars="200"/>
        <w:rPr>
          <w:rFonts w:ascii="仿宋" w:hAnsi="仿宋" w:eastAsia="仿宋" w:cs="仿宋"/>
          <w:b/>
          <w:kern w:val="0"/>
          <w:sz w:val="32"/>
          <w:szCs w:val="32"/>
        </w:rPr>
      </w:pPr>
      <w:r>
        <w:rPr>
          <w:rFonts w:hint="eastAsia" w:ascii="黑体" w:hAnsi="黑体" w:eastAsia="黑体" w:cs="黑体"/>
          <w:bCs/>
          <w:sz w:val="32"/>
          <w:szCs w:val="32"/>
        </w:rPr>
        <w:t>一、部门职责及机构设置情况</w:t>
      </w:r>
    </w:p>
    <w:p w14:paraId="0C4CBEA2">
      <w:pPr>
        <w:ind w:firstLine="630" w:firstLineChars="196"/>
        <w:rPr>
          <w:rFonts w:ascii="楷体" w:hAnsi="楷体" w:eastAsia="楷体" w:cs="仿宋"/>
          <w:b/>
          <w:kern w:val="0"/>
          <w:sz w:val="32"/>
          <w:szCs w:val="32"/>
        </w:rPr>
      </w:pPr>
      <w:r>
        <w:rPr>
          <w:rFonts w:hint="eastAsia" w:ascii="楷体" w:hAnsi="楷体" w:eastAsia="楷体" w:cs="仿宋"/>
          <w:b/>
          <w:kern w:val="0"/>
          <w:sz w:val="32"/>
          <w:szCs w:val="32"/>
        </w:rPr>
        <w:t>部门职责：</w:t>
      </w:r>
    </w:p>
    <w:p w14:paraId="65DB7007">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审计局在县政府和市审计局的领导下，负责县域内的审计工作。对县政府和市审计局负责并报告工作。审计业务以市审计局领导为主，主要对县财政预算执行、对县政府各部门，下设人民政府的财政收支、党政领导干部和国有控股企业领导人的任期经济责任、对地方金融机构全民所有制企业事业单位以及其他国有资产单位的财务收支进行审计监督，监督国有资产保值增值，监督社会中价组织执行法规情况，接受市审计局委派的审计项目。审计监督工作实行以有关法规为标准的统一领导、分级审计的原则，独立行使审计监督权。审计局的主要职责是：</w:t>
      </w:r>
    </w:p>
    <w:p w14:paraId="2AB8635F">
      <w:pPr>
        <w:ind w:firstLine="640" w:firstLineChars="200"/>
        <w:rPr>
          <w:rFonts w:ascii="仿宋_GB2312" w:hAnsi="仿宋" w:eastAsia="仿宋_GB2312" w:cs="仿宋"/>
          <w:sz w:val="32"/>
          <w:szCs w:val="32"/>
        </w:rPr>
      </w:pPr>
      <w:r>
        <w:rPr>
          <w:rFonts w:hint="eastAsia" w:ascii="仿宋" w:hAnsi="仿宋" w:eastAsia="仿宋" w:cs="仿宋"/>
          <w:sz w:val="32"/>
          <w:szCs w:val="32"/>
        </w:rPr>
        <w:t>（一）</w:t>
      </w:r>
      <w:r>
        <w:rPr>
          <w:rFonts w:hint="eastAsia" w:ascii="仿宋_GB2312" w:hAnsi="仿宋" w:eastAsia="仿宋_GB2312" w:cs="仿宋"/>
          <w:sz w:val="32"/>
          <w:szCs w:val="32"/>
        </w:rPr>
        <w:t>组织领导全县审计工作，编制全县审计工作长远计划，年度计划，确定年度工作重点，研究制定年度工作重点，研究制定地方性审计业务法规和规章制度，指导行业和专项资金审计。</w:t>
      </w:r>
    </w:p>
    <w:p w14:paraId="6FC171E1">
      <w:pPr>
        <w:ind w:firstLine="640" w:firstLineChars="200"/>
        <w:rPr>
          <w:rFonts w:ascii="仿宋_GB2312" w:hAnsi="仿宋" w:eastAsia="仿宋_GB2312" w:cs="仿宋"/>
          <w:sz w:val="32"/>
          <w:szCs w:val="32"/>
        </w:rPr>
      </w:pPr>
      <w:r>
        <w:rPr>
          <w:rFonts w:hint="eastAsia" w:ascii="仿宋" w:hAnsi="仿宋" w:eastAsia="仿宋" w:cs="仿宋"/>
          <w:sz w:val="32"/>
          <w:szCs w:val="32"/>
        </w:rPr>
        <w:t>（二）</w:t>
      </w:r>
      <w:r>
        <w:rPr>
          <w:rFonts w:hint="eastAsia" w:ascii="仿宋_GB2312" w:hAnsi="仿宋" w:eastAsia="仿宋_GB2312" w:cs="仿宋"/>
          <w:sz w:val="32"/>
          <w:szCs w:val="32"/>
        </w:rPr>
        <w:t>直接进行下列审计</w:t>
      </w:r>
    </w:p>
    <w:p w14:paraId="5F31240D">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县政府各部门和接受县财政拨款的财政财务收支及资金使用效益。</w:t>
      </w:r>
    </w:p>
    <w:p w14:paraId="1501CB76">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县政府各部门和乡（镇）人民政府的预算外资金的收支及使用效益。</w:t>
      </w:r>
    </w:p>
    <w:p w14:paraId="309340A1">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县政府财政预算执行情况。</w:t>
      </w:r>
    </w:p>
    <w:p w14:paraId="5D714CF8">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乡（镇）政府的财政预算、决算。</w:t>
      </w:r>
    </w:p>
    <w:p w14:paraId="5CAB8273">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党政领导干部和国有控股企业领导人员任期经济责任。</w:t>
      </w:r>
    </w:p>
    <w:p w14:paraId="2DED7FE8">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对县属与国计民生有重大关系、上交利税或接受财政补贴较多或亏损额较大的县办国有企业实行定期审计。</w:t>
      </w:r>
    </w:p>
    <w:p w14:paraId="7EE02212">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地方金融、保险机构以及非银行金融机构的财务审计。</w:t>
      </w:r>
    </w:p>
    <w:p w14:paraId="1480FA43">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基本建设资金来源有开工前、施工中和竣工决算审计。</w:t>
      </w:r>
    </w:p>
    <w:p w14:paraId="3EC76791">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县政府各部门管理和社会团体受县政府委托管理</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保障资金、社会捐赠以及其他有关资金。</w:t>
      </w:r>
    </w:p>
    <w:p w14:paraId="584AC713">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县政府各部门及乡（镇）借用国外资金和使用的国外援助资金。</w:t>
      </w:r>
    </w:p>
    <w:p w14:paraId="5CE76CEC">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国有资产占控股地位或主要地位企业的资产、负债、损益。</w:t>
      </w:r>
    </w:p>
    <w:p w14:paraId="339BF303">
      <w:pPr>
        <w:numPr>
          <w:ilvl w:val="0"/>
          <w:numId w:val="1"/>
        </w:numPr>
        <w:ind w:left="0" w:firstLine="640" w:firstLineChars="200"/>
        <w:rPr>
          <w:rFonts w:ascii="仿宋_GB2312" w:hAnsi="仿宋" w:eastAsia="仿宋_GB2312" w:cs="仿宋"/>
          <w:sz w:val="32"/>
          <w:szCs w:val="32"/>
        </w:rPr>
      </w:pPr>
      <w:r>
        <w:rPr>
          <w:rFonts w:hint="eastAsia" w:ascii="仿宋_GB2312" w:hAnsi="仿宋" w:eastAsia="仿宋_GB2312" w:cs="仿宋"/>
          <w:sz w:val="32"/>
          <w:szCs w:val="32"/>
        </w:rPr>
        <w:t>对其他法律、行政法规规定应当审计的项目。</w:t>
      </w:r>
    </w:p>
    <w:p w14:paraId="7FDEE736">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（三）对上级审计机关授权的国家金融保险企业的财务、信贷、现金、外汇管理以及我县辖区内的中央、省、市属企业事业的单位审计。</w:t>
      </w:r>
    </w:p>
    <w:p w14:paraId="5C21CEF8">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（四）以危害社会主义经济和严重贪污、侵占国家资财、严重损失浪费及损害国家利益等行为进行专案审计。</w:t>
      </w:r>
    </w:p>
    <w:p w14:paraId="1981E533">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（五）对审计中发现的宏观管理方面的问题，进行专题审计或审计调查，并向县政府反映情况提出建议。</w:t>
      </w:r>
    </w:p>
    <w:p w14:paraId="3041AF59">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（六）指导和监察审计事务所。</w:t>
      </w:r>
    </w:p>
    <w:p w14:paraId="50B476C6">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（七）指导、监督县属部门、单位内部审计工作。</w:t>
      </w:r>
    </w:p>
    <w:p w14:paraId="323B4F19">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（八）对社会中介组织执行有关财经法规情况实行审计监督。</w:t>
      </w:r>
    </w:p>
    <w:p w14:paraId="778BF367">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（九）组织审计人员培训。</w:t>
      </w:r>
    </w:p>
    <w:p w14:paraId="2CED59F5">
      <w:pPr>
        <w:widowControl/>
        <w:spacing w:line="360" w:lineRule="auto"/>
        <w:ind w:firstLine="627" w:firstLineChars="196"/>
        <w:jc w:val="left"/>
        <w:rPr>
          <w:rFonts w:hint="eastAsia" w:ascii="仿宋_GB2312" w:hAnsi="仿宋" w:eastAsia="仿宋_GB2312" w:cs="仿宋"/>
          <w:sz w:val="32"/>
          <w:szCs w:val="32"/>
        </w:rPr>
      </w:pPr>
      <w:r>
        <w:rPr>
          <w:rFonts w:hint="eastAsia" w:ascii="仿宋_GB2312" w:hAnsi="仿宋" w:eastAsia="仿宋_GB2312" w:cs="仿宋"/>
          <w:sz w:val="32"/>
          <w:szCs w:val="32"/>
        </w:rPr>
        <w:t>（十）承办县政府和市审计局交办的其他事项。</w:t>
      </w:r>
    </w:p>
    <w:p w14:paraId="4B6EA838">
      <w:pPr>
        <w:widowControl/>
        <w:spacing w:line="360" w:lineRule="auto"/>
        <w:ind w:firstLine="630" w:firstLineChars="196"/>
        <w:jc w:val="left"/>
        <w:rPr>
          <w:rFonts w:ascii="楷体" w:hAnsi="楷体" w:eastAsia="楷体"/>
          <w:b/>
          <w:bCs/>
          <w:kern w:val="0"/>
          <w:sz w:val="32"/>
          <w:szCs w:val="32"/>
        </w:rPr>
      </w:pPr>
      <w:r>
        <w:rPr>
          <w:rFonts w:hint="eastAsia" w:ascii="楷体" w:hAnsi="楷体" w:eastAsia="楷体" w:cs="宋体"/>
          <w:b/>
          <w:bCs/>
          <w:kern w:val="0"/>
          <w:sz w:val="32"/>
          <w:szCs w:val="32"/>
        </w:rPr>
        <w:t>人员编制和领导职数</w:t>
      </w:r>
    </w:p>
    <w:p w14:paraId="30493AD2">
      <w:pPr>
        <w:widowControl/>
        <w:spacing w:line="360" w:lineRule="auto"/>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人员编制68名，其中领导职数5个。</w:t>
      </w:r>
    </w:p>
    <w:p w14:paraId="7C5CD33C">
      <w:pPr>
        <w:ind w:firstLine="640" w:firstLineChars="200"/>
        <w:rPr>
          <w:rFonts w:ascii="仿宋_GB2312" w:hAnsi="仿宋" w:eastAsia="仿宋_GB2312" w:cs="仿宋"/>
          <w:sz w:val="32"/>
          <w:szCs w:val="32"/>
        </w:rPr>
      </w:pPr>
    </w:p>
    <w:p w14:paraId="6DD00A7E">
      <w:pPr>
        <w:widowControl/>
        <w:spacing w:line="360" w:lineRule="auto"/>
        <w:ind w:firstLine="482" w:firstLineChars="150"/>
        <w:jc w:val="left"/>
        <w:rPr>
          <w:rFonts w:ascii="楷体" w:hAnsi="楷体" w:eastAsia="楷体" w:cs="仿宋"/>
          <w:b/>
          <w:kern w:val="0"/>
          <w:sz w:val="32"/>
          <w:szCs w:val="32"/>
        </w:rPr>
      </w:pPr>
      <w:r>
        <w:rPr>
          <w:rFonts w:hint="eastAsia" w:ascii="楷体" w:hAnsi="楷体" w:eastAsia="楷体" w:cs="仿宋"/>
          <w:b/>
          <w:kern w:val="0"/>
          <w:sz w:val="32"/>
          <w:szCs w:val="32"/>
        </w:rPr>
        <w:t>内设机构：</w:t>
      </w:r>
    </w:p>
    <w:p w14:paraId="0F514063">
      <w:pPr>
        <w:pStyle w:val="6"/>
        <w:widowControl/>
        <w:spacing w:line="360" w:lineRule="auto"/>
        <w:ind w:firstLine="642"/>
        <w:jc w:val="center"/>
        <w:rPr>
          <w:rFonts w:ascii="仿宋" w:hAnsi="仿宋" w:eastAsia="仿宋" w:cs="仿宋"/>
          <w:b/>
          <w:sz w:val="32"/>
          <w:szCs w:val="32"/>
        </w:rPr>
      </w:pPr>
      <w:r>
        <w:rPr>
          <w:rFonts w:hint="eastAsia" w:ascii="仿宋" w:hAnsi="仿宋" w:eastAsia="仿宋" w:cs="仿宋"/>
          <w:b/>
          <w:sz w:val="32"/>
          <w:szCs w:val="32"/>
        </w:rPr>
        <w:t>部门机构设置情况</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3"/>
        <w:gridCol w:w="1772"/>
        <w:gridCol w:w="2040"/>
        <w:gridCol w:w="4889"/>
      </w:tblGrid>
      <w:tr w14:paraId="6490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3" w:type="dxa"/>
          </w:tcPr>
          <w:p w14:paraId="763493CF">
            <w:pPr>
              <w:pStyle w:val="6"/>
              <w:widowControl/>
              <w:jc w:val="center"/>
              <w:rPr>
                <w:rFonts w:ascii="仿宋" w:hAnsi="仿宋" w:eastAsia="仿宋" w:cs="仿宋"/>
                <w:sz w:val="32"/>
                <w:szCs w:val="32"/>
              </w:rPr>
            </w:pPr>
            <w:r>
              <w:rPr>
                <w:rFonts w:hint="eastAsia" w:ascii="仿宋" w:hAnsi="仿宋" w:eastAsia="仿宋" w:cs="仿宋"/>
                <w:sz w:val="32"/>
                <w:szCs w:val="32"/>
              </w:rPr>
              <w:t>单位名称</w:t>
            </w:r>
          </w:p>
        </w:tc>
        <w:tc>
          <w:tcPr>
            <w:tcW w:w="1772" w:type="dxa"/>
          </w:tcPr>
          <w:p w14:paraId="46D4810C">
            <w:pPr>
              <w:pStyle w:val="6"/>
              <w:widowControl/>
              <w:jc w:val="center"/>
              <w:rPr>
                <w:rFonts w:ascii="仿宋" w:hAnsi="仿宋" w:eastAsia="仿宋" w:cs="仿宋"/>
                <w:sz w:val="32"/>
                <w:szCs w:val="32"/>
              </w:rPr>
            </w:pPr>
            <w:r>
              <w:rPr>
                <w:rFonts w:hint="eastAsia" w:ascii="仿宋" w:hAnsi="仿宋" w:eastAsia="仿宋" w:cs="仿宋"/>
                <w:sz w:val="32"/>
                <w:szCs w:val="32"/>
              </w:rPr>
              <w:t>单位性质</w:t>
            </w:r>
          </w:p>
        </w:tc>
        <w:tc>
          <w:tcPr>
            <w:tcW w:w="2040" w:type="dxa"/>
          </w:tcPr>
          <w:p w14:paraId="456995C6">
            <w:pPr>
              <w:pStyle w:val="6"/>
              <w:widowControl/>
              <w:jc w:val="center"/>
              <w:rPr>
                <w:rFonts w:ascii="仿宋" w:hAnsi="仿宋" w:eastAsia="仿宋" w:cs="仿宋"/>
                <w:sz w:val="32"/>
                <w:szCs w:val="32"/>
              </w:rPr>
            </w:pPr>
            <w:r>
              <w:rPr>
                <w:rFonts w:hint="eastAsia" w:ascii="仿宋" w:hAnsi="仿宋" w:eastAsia="仿宋" w:cs="仿宋"/>
                <w:sz w:val="32"/>
                <w:szCs w:val="32"/>
              </w:rPr>
              <w:t>单位规格</w:t>
            </w:r>
          </w:p>
        </w:tc>
        <w:tc>
          <w:tcPr>
            <w:tcW w:w="4889" w:type="dxa"/>
          </w:tcPr>
          <w:p w14:paraId="46F305CE">
            <w:pPr>
              <w:pStyle w:val="6"/>
              <w:widowControl/>
              <w:jc w:val="center"/>
              <w:rPr>
                <w:rFonts w:ascii="仿宋" w:hAnsi="仿宋" w:eastAsia="仿宋" w:cs="仿宋"/>
                <w:sz w:val="32"/>
                <w:szCs w:val="32"/>
              </w:rPr>
            </w:pPr>
            <w:r>
              <w:rPr>
                <w:rFonts w:hint="eastAsia" w:ascii="仿宋" w:hAnsi="仿宋" w:eastAsia="仿宋" w:cs="仿宋"/>
                <w:sz w:val="32"/>
                <w:szCs w:val="32"/>
              </w:rPr>
              <w:t>经费保障形式</w:t>
            </w:r>
          </w:p>
        </w:tc>
      </w:tr>
      <w:tr w14:paraId="0D9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3" w:type="dxa"/>
          </w:tcPr>
          <w:p w14:paraId="4794FD0A">
            <w:pPr>
              <w:pStyle w:val="6"/>
              <w:widowControl/>
              <w:jc w:val="center"/>
              <w:rPr>
                <w:rFonts w:ascii="仿宋" w:hAnsi="仿宋" w:eastAsia="仿宋" w:cs="仿宋"/>
                <w:sz w:val="32"/>
                <w:szCs w:val="32"/>
              </w:rPr>
            </w:pPr>
            <w:r>
              <w:rPr>
                <w:rFonts w:ascii="仿宋" w:hAnsi="仿宋" w:eastAsia="仿宋" w:cs="仿宋"/>
                <w:sz w:val="32"/>
                <w:szCs w:val="32"/>
              </w:rPr>
              <w:t>成安县</w:t>
            </w:r>
            <w:r>
              <w:rPr>
                <w:rFonts w:hint="eastAsia" w:ascii="仿宋" w:hAnsi="仿宋" w:eastAsia="仿宋" w:cs="仿宋"/>
                <w:sz w:val="32"/>
                <w:szCs w:val="32"/>
              </w:rPr>
              <w:t>审计</w:t>
            </w:r>
            <w:r>
              <w:rPr>
                <w:rFonts w:ascii="仿宋" w:hAnsi="仿宋" w:eastAsia="仿宋" w:cs="仿宋"/>
                <w:sz w:val="32"/>
                <w:szCs w:val="32"/>
              </w:rPr>
              <w:t>局</w:t>
            </w:r>
          </w:p>
        </w:tc>
        <w:tc>
          <w:tcPr>
            <w:tcW w:w="1772" w:type="dxa"/>
          </w:tcPr>
          <w:p w14:paraId="6BC6B7EC">
            <w:pPr>
              <w:pStyle w:val="6"/>
              <w:widowControl/>
              <w:jc w:val="center"/>
              <w:rPr>
                <w:rFonts w:ascii="仿宋" w:hAnsi="仿宋" w:eastAsia="仿宋" w:cs="仿宋"/>
                <w:sz w:val="32"/>
                <w:szCs w:val="32"/>
              </w:rPr>
            </w:pPr>
            <w:r>
              <w:rPr>
                <w:rFonts w:hint="eastAsia" w:ascii="仿宋" w:hAnsi="仿宋" w:eastAsia="仿宋" w:cs="仿宋"/>
                <w:sz w:val="32"/>
                <w:szCs w:val="32"/>
              </w:rPr>
              <w:t>行政</w:t>
            </w:r>
          </w:p>
        </w:tc>
        <w:tc>
          <w:tcPr>
            <w:tcW w:w="2040" w:type="dxa"/>
          </w:tcPr>
          <w:p w14:paraId="20299EE4">
            <w:pPr>
              <w:pStyle w:val="6"/>
              <w:widowControl/>
              <w:jc w:val="center"/>
              <w:rPr>
                <w:rFonts w:ascii="仿宋" w:hAnsi="仿宋" w:eastAsia="仿宋" w:cs="仿宋"/>
                <w:sz w:val="32"/>
                <w:szCs w:val="32"/>
              </w:rPr>
            </w:pPr>
            <w:r>
              <w:rPr>
                <w:rFonts w:hint="eastAsia" w:ascii="仿宋" w:hAnsi="仿宋" w:eastAsia="仿宋" w:cs="仿宋"/>
                <w:sz w:val="32"/>
                <w:szCs w:val="32"/>
              </w:rPr>
              <w:t>正科级</w:t>
            </w:r>
          </w:p>
        </w:tc>
        <w:tc>
          <w:tcPr>
            <w:tcW w:w="4889" w:type="dxa"/>
          </w:tcPr>
          <w:p w14:paraId="7DD07294">
            <w:pPr>
              <w:pStyle w:val="6"/>
              <w:widowControl/>
              <w:jc w:val="center"/>
              <w:rPr>
                <w:rFonts w:ascii="仿宋" w:hAnsi="仿宋" w:eastAsia="仿宋" w:cs="仿宋"/>
                <w:sz w:val="32"/>
                <w:szCs w:val="32"/>
              </w:rPr>
            </w:pPr>
            <w:r>
              <w:rPr>
                <w:rFonts w:hint="eastAsia" w:ascii="仿宋" w:hAnsi="仿宋" w:eastAsia="仿宋" w:cs="仿宋"/>
                <w:sz w:val="32"/>
                <w:szCs w:val="32"/>
              </w:rPr>
              <w:t>财政拨款</w:t>
            </w:r>
          </w:p>
        </w:tc>
      </w:tr>
    </w:tbl>
    <w:p w14:paraId="4D156EB6">
      <w:pPr>
        <w:widowControl/>
        <w:spacing w:line="360" w:lineRule="auto"/>
        <w:ind w:firstLine="640" w:firstLineChars="200"/>
        <w:jc w:val="left"/>
        <w:rPr>
          <w:rFonts w:ascii="仿宋_GB2312" w:hAnsi="仿宋" w:eastAsia="仿宋_GB2312" w:cs="仿宋"/>
          <w:bCs/>
          <w:kern w:val="0"/>
          <w:sz w:val="32"/>
          <w:szCs w:val="32"/>
        </w:rPr>
      </w:pPr>
      <w:r>
        <w:rPr>
          <w:rFonts w:hint="eastAsia" w:ascii="仿宋" w:hAnsi="仿宋" w:eastAsia="仿宋" w:cs="仿宋"/>
          <w:bCs/>
          <w:kern w:val="0"/>
          <w:sz w:val="32"/>
          <w:szCs w:val="32"/>
        </w:rPr>
        <w:t>我单位内设4个内部机构。</w:t>
      </w:r>
      <w:r>
        <w:rPr>
          <w:rFonts w:hint="eastAsia" w:ascii="仿宋_GB2312" w:hAnsi="仿宋" w:eastAsia="仿宋_GB2312" w:cs="仿宋"/>
          <w:bCs/>
          <w:kern w:val="0"/>
          <w:sz w:val="32"/>
          <w:szCs w:val="32"/>
        </w:rPr>
        <w:t>办公室主要负责：（1）负责机关行政事务和保密、保卫、卫生、计划生育、综合治理工作，承担文书、档案、打字文印、接待、信访等工作，负责机关财务收支及财产车辆管理，负责筹备重要会议。（2）负责对局机关及下属事业单位职工的调配、任免、录用提出初步意见，并报有关部门审批及考核、奖惩、工资福利管理。负责编制全县审计系统干部业务培训计划，组织指导干部审计培训工作，负责本局老干部服务工作。（3）负责编制县审计工作制度计划、长远规划，负责全县审计统计工作，负责对审计业务工作检查和审计项目质量考核、验收，分析研究全县审计工作情况并负责业务工作总结。（4）负责宣传贯彻审计法规，草拟地方性审计规章制度及收集、整理财经法规资料，负责全局宣传教育、执法检查和有关法律咨询，承办审计案件应诉工作。</w:t>
      </w:r>
    </w:p>
    <w:p w14:paraId="5BE5A384">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2</w:t>
      </w:r>
      <w:r>
        <w:rPr>
          <w:rFonts w:hint="eastAsia" w:ascii="仿宋_GB2312" w:hAnsi="仿宋" w:eastAsia="仿宋_GB2312" w:cs="仿宋"/>
          <w:bCs/>
          <w:kern w:val="0"/>
          <w:sz w:val="32"/>
          <w:szCs w:val="32"/>
        </w:rPr>
        <w:t>、业务科室主要负责：（1）负责审计乡（镇）财政预决算外资金管理情况和县财政预算执行情况，负责起草县政府每年向县人大常委会提出审计机关对财政预算执行和其他财政收支的审计报告。（2）负责审计上级审计机关授权的县级国家金融机构和驻县地方金融和非银行金融机构的财务现金、外汇收支计划的执行及结果，负责审计上级审计机关授权的在我县辖区内的烟草、邮电、石油等中央省、市属企业的资产、负债、损益情况。（3）按照计划进行专项资金审计专题审计调查（4）负责审计县政府各部门管理固定资产投资、施工企业的财务收支及其经济效益。具体落实建设项目资金来源、使用情况和经济效益进行开工前、施工中及竣工决算审计。（5）负责审计县直党、政、群机关和县直事业单位的财政、财务收支，负责对文教、卫生、民政事业费及其他专项事业费的审计，负责对社会保障事业、社会福利保险事业和社会公用事业的审计。（6）负责审计县属中外合资、中外合作企业的财政收支及经济效益的真实合法、合规，审计县属企业事业单位使用国外贷款、援款。按要求对内、外提供审计报告。</w:t>
      </w:r>
    </w:p>
    <w:p w14:paraId="09C5A08C">
      <w:pPr>
        <w:widowControl/>
        <w:spacing w:line="360" w:lineRule="auto"/>
        <w:ind w:firstLine="627" w:firstLineChars="196"/>
        <w:jc w:val="left"/>
        <w:rPr>
          <w:rFonts w:ascii="黑体" w:hAnsi="黑体" w:eastAsia="黑体" w:cs="黑体"/>
          <w:bCs/>
          <w:sz w:val="32"/>
          <w:szCs w:val="32"/>
        </w:rPr>
      </w:pPr>
      <w:r>
        <w:rPr>
          <w:rFonts w:hint="eastAsia" w:ascii="黑体" w:hAnsi="黑体" w:eastAsia="黑体" w:cs="黑体"/>
          <w:bCs/>
          <w:sz w:val="32"/>
          <w:szCs w:val="32"/>
        </w:rPr>
        <w:t>二、部门预算安排的总体情况</w:t>
      </w:r>
    </w:p>
    <w:p w14:paraId="3D431105">
      <w:pPr>
        <w:widowControl/>
        <w:spacing w:line="360" w:lineRule="auto"/>
        <w:ind w:firstLine="627" w:firstLineChars="196"/>
        <w:jc w:val="left"/>
        <w:rPr>
          <w:rFonts w:ascii="仿宋" w:hAnsi="仿宋" w:eastAsia="仿宋" w:cs="方正仿宋_GBK"/>
          <w:sz w:val="32"/>
          <w:szCs w:val="32"/>
        </w:rPr>
      </w:pPr>
      <w:r>
        <w:rPr>
          <w:rFonts w:hint="eastAsia" w:ascii="仿宋" w:hAnsi="仿宋" w:eastAsia="仿宋" w:cs="方正仿宋_GBK"/>
          <w:sz w:val="32"/>
          <w:szCs w:val="32"/>
        </w:rPr>
        <w:t>按照预算管理有关规定，目前我部门预算的编制实行综合预算制度，即全部收入和支出都反映在预算中</w:t>
      </w:r>
    </w:p>
    <w:p w14:paraId="516AA859">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0ADF6EA7">
      <w:pPr>
        <w:spacing w:line="560" w:lineRule="exact"/>
        <w:ind w:firstLine="640"/>
        <w:rPr>
          <w:rFonts w:ascii="仿宋" w:hAnsi="仿宋" w:eastAsia="仿宋" w:cs="方正仿宋_GBK"/>
          <w:sz w:val="32"/>
          <w:szCs w:val="32"/>
        </w:rPr>
      </w:pPr>
      <w:r>
        <w:rPr>
          <w:rFonts w:ascii="仿宋" w:hAnsi="仿宋" w:eastAsia="仿宋" w:cs="Times New Roman"/>
          <w:sz w:val="32"/>
          <w:szCs w:val="32"/>
        </w:rPr>
        <w:t>2017</w:t>
      </w:r>
      <w:r>
        <w:rPr>
          <w:rFonts w:hint="eastAsia" w:ascii="仿宋" w:hAnsi="仿宋" w:eastAsia="仿宋" w:cs="方正仿宋_GBK"/>
          <w:sz w:val="32"/>
          <w:szCs w:val="32"/>
        </w:rPr>
        <w:t>年预算收入218.06万元，其中：一般公共预算收入218.06万元，政府性基金收入0万元，国有资本经营收入0万元，事业收入0万元，其他收入0万元。</w:t>
      </w:r>
    </w:p>
    <w:p w14:paraId="0CF4DC62">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18FB6EF5">
      <w:pPr>
        <w:spacing w:line="560" w:lineRule="exact"/>
        <w:ind w:firstLine="640"/>
        <w:rPr>
          <w:rFonts w:ascii="仿宋" w:hAnsi="仿宋" w:eastAsia="仿宋" w:cs="方正仿宋_GBK"/>
          <w:sz w:val="32"/>
          <w:szCs w:val="32"/>
        </w:rPr>
      </w:pPr>
      <w:r>
        <w:rPr>
          <w:rFonts w:ascii="仿宋" w:hAnsi="仿宋" w:eastAsia="仿宋" w:cs="Times New Roman"/>
          <w:sz w:val="32"/>
          <w:szCs w:val="32"/>
        </w:rPr>
        <w:t>2017</w:t>
      </w:r>
      <w:r>
        <w:rPr>
          <w:rFonts w:hint="eastAsia" w:ascii="仿宋" w:hAnsi="仿宋" w:eastAsia="仿宋" w:cs="方正仿宋_GBK"/>
          <w:sz w:val="32"/>
          <w:szCs w:val="32"/>
        </w:rPr>
        <w:t>年支出预算218.06万元，其中基本支出218.06万元，包括人员经费和日常公用经费，主要为办公经支出、电脑采购等。</w:t>
      </w:r>
    </w:p>
    <w:p w14:paraId="236F4553">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11B0B976">
      <w:pPr>
        <w:widowControl/>
        <w:spacing w:line="360" w:lineRule="auto"/>
        <w:ind w:firstLine="627" w:firstLineChars="196"/>
        <w:jc w:val="left"/>
        <w:rPr>
          <w:rFonts w:ascii="仿宋" w:hAnsi="仿宋" w:eastAsia="仿宋"/>
          <w:sz w:val="32"/>
          <w:szCs w:val="32"/>
        </w:rPr>
      </w:pPr>
      <w:r>
        <w:rPr>
          <w:rFonts w:ascii="仿宋" w:hAnsi="仿宋" w:eastAsia="仿宋" w:cs="Times New Roman"/>
          <w:sz w:val="32"/>
          <w:szCs w:val="32"/>
        </w:rPr>
        <w:t>2017</w:t>
      </w:r>
      <w:r>
        <w:rPr>
          <w:rFonts w:hint="eastAsia" w:ascii="仿宋" w:hAnsi="仿宋" w:eastAsia="仿宋" w:cs="方正仿宋_GBK"/>
          <w:sz w:val="32"/>
          <w:szCs w:val="32"/>
        </w:rPr>
        <w:t>年预算收支安排218.06万元，较</w:t>
      </w:r>
      <w:r>
        <w:rPr>
          <w:rFonts w:ascii="仿宋" w:hAnsi="仿宋" w:eastAsia="仿宋" w:cs="Times New Roman"/>
          <w:sz w:val="32"/>
          <w:szCs w:val="32"/>
        </w:rPr>
        <w:t>2016</w:t>
      </w:r>
      <w:r>
        <w:rPr>
          <w:rFonts w:hint="eastAsia" w:ascii="仿宋" w:hAnsi="仿宋" w:eastAsia="仿宋" w:cs="方正仿宋_GBK"/>
          <w:sz w:val="32"/>
          <w:szCs w:val="32"/>
        </w:rPr>
        <w:t>年预算减少40.08万元，</w:t>
      </w:r>
      <w:r>
        <w:rPr>
          <w:rFonts w:hint="eastAsia" w:ascii="仿宋" w:hAnsi="仿宋" w:eastAsia="仿宋" w:cs="仿宋_GB2312"/>
          <w:kern w:val="0"/>
          <w:sz w:val="32"/>
          <w:szCs w:val="32"/>
        </w:rPr>
        <w:t>积极贯彻落实《</w:t>
      </w:r>
      <w:r>
        <w:rPr>
          <w:rFonts w:hint="eastAsia" w:ascii="仿宋" w:hAnsi="仿宋" w:eastAsia="仿宋" w:cs="仿宋_GB2312"/>
          <w:kern w:val="0"/>
          <w:sz w:val="32"/>
          <w:szCs w:val="32"/>
          <w:lang w:val="en-US" w:eastAsia="zh-CN"/>
        </w:rPr>
        <w:t>中华人民共和国</w:t>
      </w:r>
      <w:bookmarkStart w:id="0" w:name="_GoBack"/>
      <w:bookmarkEnd w:id="0"/>
      <w:r>
        <w:rPr>
          <w:rFonts w:hint="eastAsia" w:ascii="仿宋" w:hAnsi="仿宋" w:eastAsia="仿宋" w:cs="仿宋_GB2312"/>
          <w:kern w:val="0"/>
          <w:sz w:val="32"/>
          <w:szCs w:val="32"/>
        </w:rPr>
        <w:t>预算法》，按照讲求绩效的原则，对于当年未使用的预算，在调整预算中予以调减。</w:t>
      </w:r>
    </w:p>
    <w:p w14:paraId="04B682E1">
      <w:pPr>
        <w:widowControl/>
        <w:tabs>
          <w:tab w:val="left" w:pos="5115"/>
        </w:tabs>
        <w:spacing w:line="360" w:lineRule="auto"/>
        <w:ind w:firstLine="960" w:firstLineChars="300"/>
        <w:jc w:val="left"/>
        <w:rPr>
          <w:rFonts w:ascii="黑体" w:hAnsi="黑体" w:eastAsia="黑体" w:cs="仿宋_GB2312"/>
          <w:kern w:val="0"/>
          <w:sz w:val="32"/>
          <w:szCs w:val="32"/>
        </w:rPr>
      </w:pPr>
      <w:r>
        <w:rPr>
          <w:rFonts w:hint="eastAsia" w:ascii="黑体" w:hAnsi="黑体" w:eastAsia="黑体" w:cs="仿宋_GB2312"/>
          <w:kern w:val="0"/>
          <w:sz w:val="32"/>
          <w:szCs w:val="32"/>
        </w:rPr>
        <w:t>三、机关运行经费安排情况</w:t>
      </w:r>
      <w:r>
        <w:rPr>
          <w:rFonts w:ascii="黑体" w:hAnsi="黑体" w:eastAsia="黑体" w:cs="仿宋_GB2312"/>
          <w:kern w:val="0"/>
          <w:sz w:val="32"/>
          <w:szCs w:val="32"/>
        </w:rPr>
        <w:tab/>
      </w:r>
    </w:p>
    <w:p w14:paraId="62EB62A6">
      <w:pPr>
        <w:widowControl/>
        <w:spacing w:line="360" w:lineRule="auto"/>
        <w:ind w:firstLine="960" w:firstLineChars="300"/>
        <w:jc w:val="left"/>
        <w:rPr>
          <w:rFonts w:ascii="仿宋" w:hAnsi="仿宋" w:eastAsia="仿宋" w:cs="仿宋_GB2312"/>
          <w:kern w:val="0"/>
          <w:sz w:val="32"/>
          <w:szCs w:val="32"/>
        </w:rPr>
      </w:pPr>
      <w:r>
        <w:rPr>
          <w:rFonts w:hint="eastAsia" w:ascii="仿宋" w:hAnsi="仿宋" w:eastAsia="仿宋" w:cs="仿宋"/>
          <w:sz w:val="32"/>
          <w:szCs w:val="32"/>
        </w:rPr>
        <w:t>2017年，我单位</w:t>
      </w:r>
      <w:r>
        <w:rPr>
          <w:rFonts w:hint="eastAsia" w:ascii="仿宋" w:hAnsi="仿宋" w:eastAsia="仿宋" w:cs="仿宋_GB2312"/>
          <w:kern w:val="0"/>
          <w:sz w:val="32"/>
          <w:szCs w:val="32"/>
        </w:rPr>
        <w:t>日常公用经费安排</w:t>
      </w:r>
      <w:r>
        <w:rPr>
          <w:rFonts w:hint="eastAsia" w:ascii="仿宋" w:hAnsi="仿宋" w:eastAsia="仿宋" w:cs="仿宋_GB2312"/>
          <w:b/>
          <w:kern w:val="0"/>
          <w:sz w:val="32"/>
          <w:szCs w:val="32"/>
        </w:rPr>
        <w:t>8</w:t>
      </w:r>
      <w:r>
        <w:rPr>
          <w:rFonts w:hint="eastAsia" w:ascii="仿宋" w:hAnsi="仿宋" w:eastAsia="仿宋" w:cs="仿宋_GB2312"/>
          <w:kern w:val="0"/>
          <w:sz w:val="32"/>
          <w:szCs w:val="32"/>
        </w:rPr>
        <w:t>万元，包括：办公费、差旅费、水费、电费、会议费、招待费、转移支付，其他支出等。</w:t>
      </w:r>
      <w:r>
        <w:rPr>
          <w:rFonts w:ascii="仿宋" w:hAnsi="仿宋" w:eastAsia="仿宋" w:cs="Calibri"/>
          <w:kern w:val="0"/>
          <w:sz w:val="32"/>
          <w:szCs w:val="32"/>
        </w:rPr>
        <w:t>人员经费支出</w:t>
      </w:r>
      <w:r>
        <w:rPr>
          <w:rFonts w:hint="eastAsia" w:ascii="仿宋" w:hAnsi="仿宋" w:eastAsia="仿宋" w:cs="Calibri"/>
          <w:kern w:val="0"/>
          <w:sz w:val="32"/>
          <w:szCs w:val="32"/>
        </w:rPr>
        <w:t>218.06</w:t>
      </w:r>
      <w:r>
        <w:rPr>
          <w:rFonts w:ascii="仿宋" w:hAnsi="仿宋" w:eastAsia="仿宋" w:cs="Calibri"/>
          <w:kern w:val="0"/>
          <w:sz w:val="32"/>
          <w:szCs w:val="32"/>
        </w:rPr>
        <w:t>万元，同比去年增长</w:t>
      </w:r>
      <w:r>
        <w:rPr>
          <w:rFonts w:hint="eastAsia" w:ascii="仿宋" w:hAnsi="仿宋" w:eastAsia="仿宋" w:cs="Calibri"/>
          <w:kern w:val="0"/>
          <w:sz w:val="32"/>
          <w:szCs w:val="32"/>
        </w:rPr>
        <w:t>3.05</w:t>
      </w:r>
      <w:r>
        <w:rPr>
          <w:rFonts w:ascii="仿宋" w:hAnsi="仿宋" w:eastAsia="仿宋" w:cs="Calibri"/>
          <w:kern w:val="0"/>
          <w:sz w:val="32"/>
          <w:szCs w:val="32"/>
        </w:rPr>
        <w:t>%。增长原因是201</w:t>
      </w:r>
      <w:r>
        <w:rPr>
          <w:rFonts w:hint="eastAsia" w:ascii="仿宋" w:hAnsi="仿宋" w:eastAsia="仿宋" w:cs="Calibri"/>
          <w:kern w:val="0"/>
          <w:sz w:val="32"/>
          <w:szCs w:val="32"/>
        </w:rPr>
        <w:t>6</w:t>
      </w:r>
      <w:r>
        <w:rPr>
          <w:rFonts w:ascii="仿宋" w:hAnsi="仿宋" w:eastAsia="仿宋" w:cs="Calibri"/>
          <w:kern w:val="0"/>
          <w:sz w:val="32"/>
          <w:szCs w:val="32"/>
        </w:rPr>
        <w:t>年机关事业单位统一调高了工资标准。其中，工资福利支出</w:t>
      </w:r>
      <w:r>
        <w:rPr>
          <w:rFonts w:hint="eastAsia" w:ascii="仿宋" w:hAnsi="仿宋" w:eastAsia="仿宋" w:cs="Calibri"/>
          <w:kern w:val="0"/>
          <w:sz w:val="32"/>
          <w:szCs w:val="32"/>
        </w:rPr>
        <w:t>168.59</w:t>
      </w:r>
      <w:r>
        <w:rPr>
          <w:rFonts w:ascii="仿宋" w:hAnsi="仿宋" w:eastAsia="仿宋" w:cs="Calibri"/>
          <w:kern w:val="0"/>
          <w:sz w:val="32"/>
          <w:szCs w:val="32"/>
        </w:rPr>
        <w:t>万元，对个人和家庭的补助支出</w:t>
      </w:r>
      <w:r>
        <w:rPr>
          <w:rFonts w:hint="eastAsia" w:ascii="仿宋" w:hAnsi="仿宋" w:eastAsia="仿宋" w:cs="Calibri"/>
          <w:kern w:val="0"/>
          <w:sz w:val="32"/>
          <w:szCs w:val="32"/>
        </w:rPr>
        <w:t>49.47</w:t>
      </w:r>
      <w:r>
        <w:rPr>
          <w:rFonts w:ascii="仿宋" w:hAnsi="仿宋" w:eastAsia="仿宋" w:cs="Calibri"/>
          <w:kern w:val="0"/>
          <w:sz w:val="32"/>
          <w:szCs w:val="32"/>
        </w:rPr>
        <w:t>万元。</w:t>
      </w:r>
    </w:p>
    <w:p w14:paraId="4F7737B3">
      <w:pPr>
        <w:widowControl/>
        <w:spacing w:line="360" w:lineRule="auto"/>
        <w:ind w:left="420" w:leftChars="200"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2396D53F">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2017年度“三公”预算支出8万元，其中，因公出国（境）费0元，安排公务用车维护费4万元，（其中公务用车购置费0元，公务用车运行维护费4万元），公务接等费4万元，2017年“三公”经费预算减少了1.2%。由于2016年公车拍卖，2017年实行车补，油修费用预算</w:t>
      </w:r>
      <w:r>
        <w:rPr>
          <w:rFonts w:hint="eastAsia" w:ascii="仿宋" w:hAnsi="仿宋" w:eastAsia="仿宋" w:cs="仿宋_GB2312"/>
          <w:kern w:val="0"/>
          <w:sz w:val="32"/>
          <w:szCs w:val="32"/>
          <w:lang w:val="en-US" w:eastAsia="zh-CN"/>
        </w:rPr>
        <w:t>安</w:t>
      </w:r>
      <w:r>
        <w:rPr>
          <w:rFonts w:hint="eastAsia" w:ascii="仿宋" w:hAnsi="仿宋" w:eastAsia="仿宋" w:cs="仿宋_GB2312"/>
          <w:kern w:val="0"/>
          <w:sz w:val="32"/>
          <w:szCs w:val="32"/>
        </w:rPr>
        <w:t>排减少。</w:t>
      </w:r>
    </w:p>
    <w:p w14:paraId="30E272AC">
      <w:pPr>
        <w:spacing w:line="560" w:lineRule="exact"/>
        <w:ind w:firstLine="960" w:firstLineChars="300"/>
        <w:rPr>
          <w:rFonts w:ascii="黑体" w:hAnsi="黑体" w:eastAsia="黑体" w:cs="Times New Roman"/>
          <w:sz w:val="32"/>
          <w:szCs w:val="32"/>
        </w:rPr>
      </w:pPr>
      <w:r>
        <w:rPr>
          <w:rFonts w:hint="eastAsia" w:ascii="黑体" w:hAnsi="黑体" w:eastAsia="黑体" w:cs="黑体"/>
          <w:sz w:val="32"/>
          <w:szCs w:val="32"/>
        </w:rPr>
        <w:t>五、绩效预算信息</w:t>
      </w:r>
    </w:p>
    <w:p w14:paraId="6BD01E5C">
      <w:pPr>
        <w:ind w:firstLine="640" w:firstLineChars="200"/>
        <w:jc w:val="left"/>
        <w:rPr>
          <w:rFonts w:ascii="仿宋_GB2312" w:eastAsia="仿宋_GB2312"/>
          <w:bCs/>
          <w:sz w:val="32"/>
          <w:szCs w:val="32"/>
        </w:rPr>
      </w:pPr>
      <w:r>
        <w:rPr>
          <w:rFonts w:hint="eastAsia" w:ascii="仿宋_GB2312" w:eastAsia="仿宋_GB2312"/>
          <w:bCs/>
          <w:sz w:val="32"/>
          <w:szCs w:val="32"/>
        </w:rPr>
        <w:t>绩效预算的总体目标:结合财政制度改革深化预算执行审计, 围绕全省经济工作中心，搞好各项专项资金审计认真完成省委省政府交办的重要审计事项，积极配合纪检、监察和司法等部门搞好审计查证工作，充分发挥审计监督在反腐败中的积极作用</w:t>
      </w:r>
    </w:p>
    <w:p w14:paraId="5E562241">
      <w:pPr>
        <w:ind w:firstLine="4640" w:firstLineChars="1450"/>
        <w:outlineLvl w:val="0"/>
        <w:rPr>
          <w:rFonts w:ascii="仿宋" w:hAnsi="仿宋" w:eastAsia="仿宋"/>
          <w:sz w:val="32"/>
          <w:szCs w:val="32"/>
        </w:rPr>
      </w:pPr>
      <w:r>
        <w:rPr>
          <w:rFonts w:hint="eastAsia" w:ascii="仿宋" w:hAnsi="仿宋" w:eastAsia="仿宋"/>
          <w:sz w:val="32"/>
          <w:szCs w:val="32"/>
        </w:rPr>
        <w:t>部门职责-工作活动绩效目标</w:t>
      </w:r>
    </w:p>
    <w:tbl>
      <w:tblPr>
        <w:tblStyle w:val="7"/>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01086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1B1A16BA">
            <w:pPr>
              <w:spacing w:line="300" w:lineRule="exact"/>
              <w:jc w:val="left"/>
              <w:rPr>
                <w:rFonts w:ascii="方正小标宋_GBK" w:eastAsia="方正小标宋_GBK"/>
                <w:sz w:val="24"/>
              </w:rPr>
            </w:pPr>
            <w:r>
              <w:rPr>
                <w:rFonts w:ascii="方正小标宋_GBK" w:eastAsia="方正小标宋_GBK"/>
                <w:sz w:val="24"/>
              </w:rPr>
              <w:t>319</w:t>
            </w:r>
            <w:r>
              <w:rPr>
                <w:rFonts w:hint="eastAsia" w:ascii="方正小标宋_GBK" w:eastAsia="方正小标宋_GBK"/>
                <w:sz w:val="24"/>
              </w:rPr>
              <w:t>成安县审计局</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0A25A9EB">
            <w:pPr>
              <w:spacing w:line="300" w:lineRule="exact"/>
              <w:jc w:val="right"/>
              <w:rPr>
                <w:rFonts w:ascii="方正书宋_GBK" w:eastAsia="方正书宋_GBK"/>
                <w:sz w:val="24"/>
              </w:rPr>
            </w:pPr>
            <w:r>
              <w:rPr>
                <w:rFonts w:hint="eastAsia" w:ascii="方正书宋_GBK" w:eastAsia="方正书宋_GBK"/>
                <w:sz w:val="24"/>
              </w:rPr>
              <w:t>单位：万元</w:t>
            </w:r>
          </w:p>
        </w:tc>
      </w:tr>
      <w:tr w14:paraId="3B09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05110C6F">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39217B9A">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0E294EEE">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590BECF7">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0CDA0192">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758878B6">
            <w:pPr>
              <w:spacing w:line="300" w:lineRule="exact"/>
              <w:jc w:val="center"/>
              <w:rPr>
                <w:rFonts w:ascii="方正书宋_GBK" w:eastAsia="方正书宋_GBK"/>
                <w:b/>
              </w:rPr>
            </w:pPr>
            <w:r>
              <w:rPr>
                <w:rFonts w:hint="eastAsia" w:ascii="方正书宋_GBK" w:eastAsia="方正书宋_GBK"/>
                <w:b/>
              </w:rPr>
              <w:t>评价标准</w:t>
            </w:r>
          </w:p>
        </w:tc>
      </w:tr>
      <w:tr w14:paraId="6D400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632E334B">
            <w:pPr>
              <w:spacing w:line="300" w:lineRule="exact"/>
              <w:jc w:val="left"/>
              <w:outlineLvl w:val="0"/>
            </w:pPr>
          </w:p>
        </w:tc>
        <w:tc>
          <w:tcPr>
            <w:tcW w:w="1276" w:type="dxa"/>
            <w:vMerge w:val="continue"/>
            <w:shd w:val="clear" w:color="auto" w:fill="auto"/>
            <w:vAlign w:val="center"/>
          </w:tcPr>
          <w:p w14:paraId="246386FB">
            <w:pPr>
              <w:spacing w:line="300" w:lineRule="exact"/>
              <w:jc w:val="left"/>
              <w:outlineLvl w:val="0"/>
            </w:pPr>
          </w:p>
        </w:tc>
        <w:tc>
          <w:tcPr>
            <w:tcW w:w="2976" w:type="dxa"/>
            <w:vMerge w:val="continue"/>
            <w:shd w:val="clear" w:color="auto" w:fill="auto"/>
            <w:vAlign w:val="center"/>
          </w:tcPr>
          <w:p w14:paraId="02BB58E1">
            <w:pPr>
              <w:spacing w:line="300" w:lineRule="exact"/>
              <w:jc w:val="left"/>
              <w:outlineLvl w:val="0"/>
            </w:pPr>
          </w:p>
        </w:tc>
        <w:tc>
          <w:tcPr>
            <w:tcW w:w="2976" w:type="dxa"/>
            <w:vMerge w:val="continue"/>
            <w:shd w:val="clear" w:color="auto" w:fill="auto"/>
            <w:vAlign w:val="center"/>
          </w:tcPr>
          <w:p w14:paraId="755C2ECF">
            <w:pPr>
              <w:spacing w:line="300" w:lineRule="exact"/>
              <w:jc w:val="left"/>
              <w:outlineLvl w:val="0"/>
            </w:pPr>
          </w:p>
        </w:tc>
        <w:tc>
          <w:tcPr>
            <w:tcW w:w="1417" w:type="dxa"/>
            <w:vMerge w:val="continue"/>
            <w:shd w:val="clear" w:color="auto" w:fill="auto"/>
            <w:vAlign w:val="center"/>
          </w:tcPr>
          <w:p w14:paraId="0D0A3402">
            <w:pPr>
              <w:spacing w:line="300" w:lineRule="exact"/>
              <w:jc w:val="left"/>
              <w:outlineLvl w:val="0"/>
            </w:pPr>
          </w:p>
        </w:tc>
        <w:tc>
          <w:tcPr>
            <w:tcW w:w="737" w:type="dxa"/>
            <w:shd w:val="clear" w:color="auto" w:fill="auto"/>
            <w:vAlign w:val="center"/>
          </w:tcPr>
          <w:p w14:paraId="18A1D75C">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64755731">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410AA25E">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7580089F">
            <w:pPr>
              <w:spacing w:line="300" w:lineRule="exact"/>
              <w:jc w:val="center"/>
              <w:rPr>
                <w:rFonts w:ascii="方正书宋_GBK" w:eastAsia="方正书宋_GBK"/>
                <w:b/>
              </w:rPr>
            </w:pPr>
            <w:r>
              <w:rPr>
                <w:rFonts w:hint="eastAsia" w:ascii="方正书宋_GBK" w:eastAsia="方正书宋_GBK"/>
                <w:b/>
              </w:rPr>
              <w:t>差</w:t>
            </w:r>
          </w:p>
        </w:tc>
      </w:tr>
      <w:tr w14:paraId="1AD9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E2730F9">
            <w:pPr>
              <w:spacing w:line="300" w:lineRule="exact"/>
              <w:jc w:val="left"/>
              <w:rPr>
                <w:rFonts w:ascii="方正书宋_GBK" w:eastAsia="方正书宋_GBK"/>
                <w:b/>
              </w:rPr>
            </w:pPr>
            <w:r>
              <w:rPr>
                <w:rFonts w:hint="eastAsia" w:ascii="方正书宋_GBK" w:eastAsia="方正书宋_GBK"/>
                <w:b/>
              </w:rPr>
              <w:t>审计业务</w:t>
            </w:r>
          </w:p>
        </w:tc>
        <w:tc>
          <w:tcPr>
            <w:tcW w:w="1276" w:type="dxa"/>
            <w:shd w:val="clear" w:color="auto" w:fill="auto"/>
            <w:vAlign w:val="center"/>
          </w:tcPr>
          <w:p w14:paraId="1E0EAB76">
            <w:pPr>
              <w:spacing w:line="300" w:lineRule="exact"/>
              <w:jc w:val="left"/>
              <w:rPr>
                <w:rFonts w:ascii="方正书宋_GBK" w:eastAsia="方正书宋_GBK"/>
              </w:rPr>
            </w:pPr>
          </w:p>
        </w:tc>
        <w:tc>
          <w:tcPr>
            <w:tcW w:w="2976" w:type="dxa"/>
            <w:shd w:val="clear" w:color="auto" w:fill="auto"/>
            <w:vAlign w:val="center"/>
          </w:tcPr>
          <w:p w14:paraId="35E4C70F">
            <w:pPr>
              <w:spacing w:line="300" w:lineRule="exact"/>
              <w:jc w:val="left"/>
              <w:rPr>
                <w:rFonts w:ascii="方正书宋_GBK" w:eastAsia="方正书宋_GBK"/>
              </w:rPr>
            </w:pPr>
            <w:r>
              <w:rPr>
                <w:rFonts w:hint="eastAsia" w:ascii="方正书宋_GBK" w:eastAsia="方正书宋_GBK"/>
              </w:rPr>
              <w:t>主管县级审计工作。</w:t>
            </w:r>
          </w:p>
        </w:tc>
        <w:tc>
          <w:tcPr>
            <w:tcW w:w="2976" w:type="dxa"/>
            <w:shd w:val="clear" w:color="auto" w:fill="auto"/>
            <w:vAlign w:val="center"/>
          </w:tcPr>
          <w:p w14:paraId="247AE383">
            <w:pPr>
              <w:spacing w:line="300" w:lineRule="exact"/>
              <w:jc w:val="left"/>
              <w:rPr>
                <w:rFonts w:ascii="方正书宋_GBK" w:eastAsia="方正书宋_GBK"/>
              </w:rPr>
            </w:pPr>
            <w:r>
              <w:rPr>
                <w:rFonts w:hint="eastAsia" w:ascii="方正书宋_GBK" w:eastAsia="方正书宋_GBK"/>
              </w:rPr>
              <w:t>主管全县审计工作。通过财政财务收支审计真实、合法和效益情况，维护国家财政经济秩序，促进廉政建设，保障国民经济的健康运行。</w:t>
            </w:r>
          </w:p>
        </w:tc>
        <w:tc>
          <w:tcPr>
            <w:tcW w:w="1417" w:type="dxa"/>
            <w:shd w:val="clear" w:color="auto" w:fill="auto"/>
            <w:vAlign w:val="center"/>
          </w:tcPr>
          <w:p w14:paraId="4A935BC7">
            <w:pPr>
              <w:spacing w:line="300" w:lineRule="exact"/>
              <w:jc w:val="left"/>
              <w:rPr>
                <w:rFonts w:ascii="方正书宋_GBK" w:eastAsia="方正书宋_GBK"/>
              </w:rPr>
            </w:pPr>
          </w:p>
        </w:tc>
        <w:tc>
          <w:tcPr>
            <w:tcW w:w="737" w:type="dxa"/>
            <w:shd w:val="clear" w:color="auto" w:fill="auto"/>
            <w:vAlign w:val="center"/>
          </w:tcPr>
          <w:p w14:paraId="6889221C">
            <w:pPr>
              <w:spacing w:line="300" w:lineRule="exact"/>
              <w:jc w:val="center"/>
              <w:rPr>
                <w:rFonts w:ascii="方正书宋_GBK" w:eastAsia="方正书宋_GBK"/>
              </w:rPr>
            </w:pPr>
          </w:p>
        </w:tc>
        <w:tc>
          <w:tcPr>
            <w:tcW w:w="737" w:type="dxa"/>
            <w:shd w:val="clear" w:color="auto" w:fill="auto"/>
            <w:vAlign w:val="center"/>
          </w:tcPr>
          <w:p w14:paraId="4AEB3575">
            <w:pPr>
              <w:spacing w:line="300" w:lineRule="exact"/>
              <w:jc w:val="center"/>
              <w:rPr>
                <w:rFonts w:ascii="方正书宋_GBK" w:eastAsia="方正书宋_GBK"/>
              </w:rPr>
            </w:pPr>
          </w:p>
        </w:tc>
        <w:tc>
          <w:tcPr>
            <w:tcW w:w="737" w:type="dxa"/>
            <w:shd w:val="clear" w:color="auto" w:fill="auto"/>
            <w:vAlign w:val="center"/>
          </w:tcPr>
          <w:p w14:paraId="2EE9A8BC">
            <w:pPr>
              <w:spacing w:line="300" w:lineRule="exact"/>
              <w:jc w:val="center"/>
              <w:rPr>
                <w:rFonts w:ascii="方正书宋_GBK" w:eastAsia="方正书宋_GBK"/>
              </w:rPr>
            </w:pPr>
          </w:p>
        </w:tc>
        <w:tc>
          <w:tcPr>
            <w:tcW w:w="737" w:type="dxa"/>
            <w:shd w:val="clear" w:color="auto" w:fill="auto"/>
            <w:vAlign w:val="center"/>
          </w:tcPr>
          <w:p w14:paraId="65A3963A">
            <w:pPr>
              <w:spacing w:line="300" w:lineRule="exact"/>
              <w:jc w:val="center"/>
              <w:rPr>
                <w:rFonts w:ascii="方正书宋_GBK" w:eastAsia="方正书宋_GBK"/>
              </w:rPr>
            </w:pPr>
          </w:p>
        </w:tc>
      </w:tr>
      <w:tr w14:paraId="1430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0A9A144">
            <w:pPr>
              <w:spacing w:line="300" w:lineRule="exact"/>
              <w:jc w:val="left"/>
              <w:rPr>
                <w:rFonts w:ascii="方正书宋_GBK" w:eastAsia="方正书宋_GBK"/>
                <w:b/>
              </w:rPr>
            </w:pPr>
            <w:r>
              <w:rPr>
                <w:rFonts w:hint="eastAsia" w:ascii="方正书宋_GBK" w:eastAsia="方正书宋_GBK"/>
                <w:b/>
              </w:rPr>
              <w:t>　　审计业务</w:t>
            </w:r>
          </w:p>
        </w:tc>
        <w:tc>
          <w:tcPr>
            <w:tcW w:w="1276" w:type="dxa"/>
            <w:shd w:val="clear" w:color="auto" w:fill="auto"/>
            <w:vAlign w:val="center"/>
          </w:tcPr>
          <w:p w14:paraId="615C60FD">
            <w:pPr>
              <w:spacing w:line="300" w:lineRule="exact"/>
              <w:jc w:val="left"/>
              <w:rPr>
                <w:rFonts w:ascii="方正书宋_GBK" w:eastAsia="方正书宋_GBK"/>
              </w:rPr>
            </w:pPr>
          </w:p>
        </w:tc>
        <w:tc>
          <w:tcPr>
            <w:tcW w:w="2976" w:type="dxa"/>
            <w:shd w:val="clear" w:color="auto" w:fill="auto"/>
            <w:vAlign w:val="center"/>
          </w:tcPr>
          <w:p w14:paraId="28873EA4">
            <w:pPr>
              <w:spacing w:line="300" w:lineRule="exact"/>
              <w:jc w:val="left"/>
              <w:rPr>
                <w:rFonts w:ascii="方正书宋_GBK" w:eastAsia="方正书宋_GBK"/>
              </w:rPr>
            </w:pPr>
            <w:r>
              <w:rPr>
                <w:rFonts w:hint="eastAsia" w:ascii="方正书宋_GBK" w:eastAsia="方正书宋_GBK"/>
              </w:rPr>
              <w:t>审计本级财政部门组织本级预算执行情况，审计下级人民政府的预算执行和决算情况，审计其他财政收支情况，审计其他取得财政资金的单位和项目接受、运用财政资金的真实、合法和效益情况</w:t>
            </w:r>
            <w:r>
              <w:rPr>
                <w:rFonts w:ascii="方正书宋_GBK" w:eastAsia="方正书宋_GBK"/>
              </w:rPr>
              <w:t>,</w:t>
            </w:r>
            <w:r>
              <w:rPr>
                <w:rFonts w:hint="eastAsia" w:ascii="方正书宋_GBK" w:eastAsia="方正书宋_GBK"/>
              </w:rPr>
              <w:t>实施领导干部经济责任审计等审计。</w:t>
            </w:r>
          </w:p>
        </w:tc>
        <w:tc>
          <w:tcPr>
            <w:tcW w:w="2976" w:type="dxa"/>
            <w:shd w:val="clear" w:color="auto" w:fill="auto"/>
            <w:vAlign w:val="center"/>
          </w:tcPr>
          <w:p w14:paraId="5114F9F0">
            <w:pPr>
              <w:spacing w:line="300" w:lineRule="exact"/>
              <w:jc w:val="left"/>
              <w:rPr>
                <w:rFonts w:ascii="方正书宋_GBK" w:eastAsia="方正书宋_GBK"/>
              </w:rPr>
            </w:pPr>
            <w:r>
              <w:rPr>
                <w:rFonts w:hint="eastAsia" w:ascii="方正书宋_GBK" w:eastAsia="方正书宋_GBK"/>
              </w:rPr>
              <w:t>通过审计财政、财务收支真实、合法和效益，维护国家财政经济秩序、促进廉政建设、保障国民经济的健康发展。</w:t>
            </w:r>
          </w:p>
        </w:tc>
        <w:tc>
          <w:tcPr>
            <w:tcW w:w="1417" w:type="dxa"/>
            <w:shd w:val="clear" w:color="auto" w:fill="auto"/>
            <w:vAlign w:val="center"/>
          </w:tcPr>
          <w:p w14:paraId="53676F13">
            <w:pPr>
              <w:spacing w:line="300" w:lineRule="exact"/>
              <w:jc w:val="left"/>
              <w:rPr>
                <w:rFonts w:ascii="方正书宋_GBK" w:eastAsia="方正书宋_GBK"/>
              </w:rPr>
            </w:pPr>
            <w:r>
              <w:rPr>
                <w:rFonts w:hint="eastAsia" w:ascii="方正书宋_GBK" w:eastAsia="方正书宋_GBK"/>
              </w:rPr>
              <w:t>审计决定落实率</w:t>
            </w:r>
          </w:p>
        </w:tc>
        <w:tc>
          <w:tcPr>
            <w:tcW w:w="737" w:type="dxa"/>
            <w:shd w:val="clear" w:color="auto" w:fill="auto"/>
            <w:vAlign w:val="center"/>
          </w:tcPr>
          <w:p w14:paraId="238D06F1">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14:paraId="489EB26E">
            <w:pPr>
              <w:spacing w:line="300" w:lineRule="exact"/>
              <w:jc w:val="center"/>
              <w:rPr>
                <w:rFonts w:ascii="方正书宋_GBK" w:eastAsia="方正书宋_GBK"/>
              </w:rPr>
            </w:pPr>
          </w:p>
        </w:tc>
        <w:tc>
          <w:tcPr>
            <w:tcW w:w="737" w:type="dxa"/>
            <w:shd w:val="clear" w:color="auto" w:fill="auto"/>
            <w:vAlign w:val="center"/>
          </w:tcPr>
          <w:p w14:paraId="7F6F70ED">
            <w:pPr>
              <w:spacing w:line="300" w:lineRule="exact"/>
              <w:jc w:val="center"/>
              <w:rPr>
                <w:rFonts w:ascii="方正书宋_GBK" w:eastAsia="方正书宋_GBK"/>
              </w:rPr>
            </w:pPr>
          </w:p>
        </w:tc>
        <w:tc>
          <w:tcPr>
            <w:tcW w:w="737" w:type="dxa"/>
            <w:shd w:val="clear" w:color="auto" w:fill="auto"/>
            <w:vAlign w:val="center"/>
          </w:tcPr>
          <w:p w14:paraId="45EE56C3">
            <w:pPr>
              <w:spacing w:line="300" w:lineRule="exact"/>
              <w:jc w:val="center"/>
              <w:rPr>
                <w:rFonts w:ascii="方正书宋_GBK" w:eastAsia="方正书宋_GBK"/>
              </w:rPr>
            </w:pPr>
          </w:p>
        </w:tc>
      </w:tr>
      <w:tr w14:paraId="1A5B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349E1A3">
            <w:pPr>
              <w:spacing w:line="300" w:lineRule="exact"/>
              <w:jc w:val="left"/>
              <w:rPr>
                <w:rFonts w:ascii="方正书宋_GBK" w:eastAsia="方正书宋_GBK"/>
                <w:b/>
              </w:rPr>
            </w:pPr>
            <w:r>
              <w:rPr>
                <w:rFonts w:hint="eastAsia" w:ascii="方正书宋_GBK" w:eastAsia="方正书宋_GBK"/>
                <w:b/>
              </w:rPr>
              <w:t>　　专项审计调查</w:t>
            </w:r>
          </w:p>
        </w:tc>
        <w:tc>
          <w:tcPr>
            <w:tcW w:w="1276" w:type="dxa"/>
            <w:shd w:val="clear" w:color="auto" w:fill="auto"/>
            <w:vAlign w:val="center"/>
          </w:tcPr>
          <w:p w14:paraId="030A6E89">
            <w:pPr>
              <w:spacing w:line="300" w:lineRule="exact"/>
              <w:jc w:val="left"/>
              <w:rPr>
                <w:rFonts w:ascii="方正书宋_GBK" w:eastAsia="方正书宋_GBK"/>
              </w:rPr>
            </w:pPr>
          </w:p>
        </w:tc>
        <w:tc>
          <w:tcPr>
            <w:tcW w:w="2976" w:type="dxa"/>
            <w:shd w:val="clear" w:color="auto" w:fill="auto"/>
            <w:vAlign w:val="center"/>
          </w:tcPr>
          <w:p w14:paraId="686FB029">
            <w:pPr>
              <w:spacing w:line="300" w:lineRule="exact"/>
              <w:jc w:val="left"/>
              <w:rPr>
                <w:rFonts w:ascii="方正书宋_GBK" w:eastAsia="方正书宋_GBK"/>
              </w:rPr>
            </w:pPr>
            <w:r>
              <w:rPr>
                <w:rFonts w:hint="eastAsia" w:ascii="方正书宋_GBK" w:eastAsia="方正书宋_GBK"/>
              </w:rPr>
              <w:t>对经济领域中带有全局性、普遍性、倾向性的特定事项进行系统调查了解并向县政府报告情况和结果。</w:t>
            </w:r>
          </w:p>
        </w:tc>
        <w:tc>
          <w:tcPr>
            <w:tcW w:w="2976" w:type="dxa"/>
            <w:shd w:val="clear" w:color="auto" w:fill="auto"/>
            <w:vAlign w:val="center"/>
          </w:tcPr>
          <w:p w14:paraId="76B78F64">
            <w:pPr>
              <w:spacing w:line="300" w:lineRule="exact"/>
              <w:jc w:val="left"/>
              <w:rPr>
                <w:rFonts w:ascii="方正书宋_GBK" w:eastAsia="方正书宋_GBK"/>
              </w:rPr>
            </w:pPr>
            <w:r>
              <w:rPr>
                <w:rFonts w:hint="eastAsia" w:ascii="方正书宋_GBK" w:eastAsia="方正书宋_GBK"/>
              </w:rPr>
              <w:t>通过专项审计调查，综合分析，向有关部门反映情况，揭露问题、提出解决问题的建议，为政府决策提供依据，为国家宏观调控服务</w:t>
            </w:r>
          </w:p>
        </w:tc>
        <w:tc>
          <w:tcPr>
            <w:tcW w:w="1417" w:type="dxa"/>
            <w:shd w:val="clear" w:color="auto" w:fill="auto"/>
            <w:vAlign w:val="center"/>
          </w:tcPr>
          <w:p w14:paraId="7729BA22">
            <w:pPr>
              <w:spacing w:line="300" w:lineRule="exact"/>
              <w:jc w:val="left"/>
              <w:rPr>
                <w:rFonts w:ascii="方正书宋_GBK" w:eastAsia="方正书宋_GBK"/>
              </w:rPr>
            </w:pPr>
            <w:r>
              <w:rPr>
                <w:rFonts w:hint="eastAsia" w:ascii="方正书宋_GBK" w:eastAsia="方正书宋_GBK"/>
              </w:rPr>
              <w:t>专项审计完成率</w:t>
            </w:r>
          </w:p>
        </w:tc>
        <w:tc>
          <w:tcPr>
            <w:tcW w:w="737" w:type="dxa"/>
            <w:shd w:val="clear" w:color="auto" w:fill="auto"/>
            <w:vAlign w:val="center"/>
          </w:tcPr>
          <w:p w14:paraId="1F359BC2">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14:paraId="09E15376">
            <w:pPr>
              <w:spacing w:line="300" w:lineRule="exact"/>
              <w:jc w:val="center"/>
              <w:rPr>
                <w:rFonts w:ascii="方正书宋_GBK" w:eastAsia="方正书宋_GBK"/>
              </w:rPr>
            </w:pPr>
          </w:p>
        </w:tc>
        <w:tc>
          <w:tcPr>
            <w:tcW w:w="737" w:type="dxa"/>
            <w:shd w:val="clear" w:color="auto" w:fill="auto"/>
            <w:vAlign w:val="center"/>
          </w:tcPr>
          <w:p w14:paraId="2A566EE7">
            <w:pPr>
              <w:spacing w:line="300" w:lineRule="exact"/>
              <w:jc w:val="center"/>
              <w:rPr>
                <w:rFonts w:ascii="方正书宋_GBK" w:eastAsia="方正书宋_GBK"/>
              </w:rPr>
            </w:pPr>
          </w:p>
        </w:tc>
        <w:tc>
          <w:tcPr>
            <w:tcW w:w="737" w:type="dxa"/>
            <w:shd w:val="clear" w:color="auto" w:fill="auto"/>
            <w:vAlign w:val="center"/>
          </w:tcPr>
          <w:p w14:paraId="6363F784">
            <w:pPr>
              <w:spacing w:line="300" w:lineRule="exact"/>
              <w:jc w:val="center"/>
              <w:rPr>
                <w:rFonts w:ascii="方正书宋_GBK" w:eastAsia="方正书宋_GBK"/>
              </w:rPr>
            </w:pPr>
          </w:p>
        </w:tc>
      </w:tr>
      <w:tr w14:paraId="13C9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8143B06">
            <w:pPr>
              <w:spacing w:line="300" w:lineRule="exact"/>
              <w:jc w:val="left"/>
              <w:rPr>
                <w:rFonts w:ascii="方正书宋_GBK" w:eastAsia="方正书宋_GBK"/>
                <w:b/>
              </w:rPr>
            </w:pPr>
            <w:r>
              <w:rPr>
                <w:rFonts w:hint="eastAsia" w:ascii="方正书宋_GBK" w:eastAsia="方正书宋_GBK"/>
                <w:b/>
              </w:rPr>
              <w:t>审计管理</w:t>
            </w:r>
          </w:p>
        </w:tc>
        <w:tc>
          <w:tcPr>
            <w:tcW w:w="1276" w:type="dxa"/>
            <w:shd w:val="clear" w:color="auto" w:fill="auto"/>
            <w:vAlign w:val="center"/>
          </w:tcPr>
          <w:p w14:paraId="6937881E">
            <w:pPr>
              <w:spacing w:line="300" w:lineRule="exact"/>
              <w:jc w:val="left"/>
              <w:rPr>
                <w:rFonts w:ascii="方正书宋_GBK" w:eastAsia="方正书宋_GBK"/>
              </w:rPr>
            </w:pPr>
          </w:p>
        </w:tc>
        <w:tc>
          <w:tcPr>
            <w:tcW w:w="2976" w:type="dxa"/>
            <w:shd w:val="clear" w:color="auto" w:fill="auto"/>
            <w:vAlign w:val="center"/>
          </w:tcPr>
          <w:p w14:paraId="2F6CBA5C">
            <w:pPr>
              <w:spacing w:line="300" w:lineRule="exact"/>
              <w:jc w:val="left"/>
              <w:rPr>
                <w:rFonts w:ascii="方正书宋_GBK" w:eastAsia="方正书宋_GBK"/>
              </w:rPr>
            </w:pPr>
            <w:r>
              <w:rPr>
                <w:rFonts w:hint="eastAsia" w:ascii="方正书宋_GBK" w:eastAsia="方正书宋_GBK"/>
              </w:rPr>
              <w:t>进行内部审计管理和审计法制管理。</w:t>
            </w:r>
          </w:p>
        </w:tc>
        <w:tc>
          <w:tcPr>
            <w:tcW w:w="2976" w:type="dxa"/>
            <w:shd w:val="clear" w:color="auto" w:fill="auto"/>
            <w:vAlign w:val="center"/>
          </w:tcPr>
          <w:p w14:paraId="74980E41">
            <w:pPr>
              <w:spacing w:line="300" w:lineRule="exact"/>
              <w:jc w:val="left"/>
              <w:rPr>
                <w:rFonts w:ascii="方正书宋_GBK" w:eastAsia="方正书宋_GBK"/>
              </w:rPr>
            </w:pPr>
            <w:r>
              <w:rPr>
                <w:rFonts w:hint="eastAsia" w:ascii="方正书宋_GBK" w:eastAsia="方正书宋_GBK"/>
              </w:rPr>
              <w:t>进行内部审计管理和审计法制管理。通过建立健全法规，加大内部审计管理制度提高审计质量和审计机关法制管理水平。</w:t>
            </w:r>
          </w:p>
        </w:tc>
        <w:tc>
          <w:tcPr>
            <w:tcW w:w="1417" w:type="dxa"/>
            <w:shd w:val="clear" w:color="auto" w:fill="auto"/>
            <w:vAlign w:val="center"/>
          </w:tcPr>
          <w:p w14:paraId="000CAC05">
            <w:pPr>
              <w:spacing w:line="300" w:lineRule="exact"/>
              <w:jc w:val="left"/>
              <w:rPr>
                <w:rFonts w:ascii="方正书宋_GBK" w:eastAsia="方正书宋_GBK"/>
              </w:rPr>
            </w:pPr>
          </w:p>
        </w:tc>
        <w:tc>
          <w:tcPr>
            <w:tcW w:w="737" w:type="dxa"/>
            <w:shd w:val="clear" w:color="auto" w:fill="auto"/>
            <w:vAlign w:val="center"/>
          </w:tcPr>
          <w:p w14:paraId="75CCE4AF">
            <w:pPr>
              <w:spacing w:line="300" w:lineRule="exact"/>
              <w:jc w:val="center"/>
              <w:rPr>
                <w:rFonts w:ascii="方正书宋_GBK" w:eastAsia="方正书宋_GBK"/>
              </w:rPr>
            </w:pPr>
          </w:p>
        </w:tc>
        <w:tc>
          <w:tcPr>
            <w:tcW w:w="737" w:type="dxa"/>
            <w:shd w:val="clear" w:color="auto" w:fill="auto"/>
            <w:vAlign w:val="center"/>
          </w:tcPr>
          <w:p w14:paraId="19E1057F">
            <w:pPr>
              <w:spacing w:line="300" w:lineRule="exact"/>
              <w:jc w:val="center"/>
              <w:rPr>
                <w:rFonts w:ascii="方正书宋_GBK" w:eastAsia="方正书宋_GBK"/>
              </w:rPr>
            </w:pPr>
          </w:p>
        </w:tc>
        <w:tc>
          <w:tcPr>
            <w:tcW w:w="737" w:type="dxa"/>
            <w:shd w:val="clear" w:color="auto" w:fill="auto"/>
            <w:vAlign w:val="center"/>
          </w:tcPr>
          <w:p w14:paraId="220A3243">
            <w:pPr>
              <w:spacing w:line="300" w:lineRule="exact"/>
              <w:jc w:val="center"/>
              <w:rPr>
                <w:rFonts w:ascii="方正书宋_GBK" w:eastAsia="方正书宋_GBK"/>
              </w:rPr>
            </w:pPr>
          </w:p>
        </w:tc>
        <w:tc>
          <w:tcPr>
            <w:tcW w:w="737" w:type="dxa"/>
            <w:shd w:val="clear" w:color="auto" w:fill="auto"/>
            <w:vAlign w:val="center"/>
          </w:tcPr>
          <w:p w14:paraId="384634DF">
            <w:pPr>
              <w:spacing w:line="300" w:lineRule="exact"/>
              <w:jc w:val="center"/>
              <w:rPr>
                <w:rFonts w:ascii="方正书宋_GBK" w:eastAsia="方正书宋_GBK"/>
              </w:rPr>
            </w:pPr>
          </w:p>
        </w:tc>
      </w:tr>
      <w:tr w14:paraId="711F5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5BF0A4B">
            <w:pPr>
              <w:spacing w:line="300" w:lineRule="exact"/>
              <w:jc w:val="left"/>
              <w:rPr>
                <w:rFonts w:ascii="方正书宋_GBK" w:eastAsia="方正书宋_GBK"/>
                <w:b/>
              </w:rPr>
            </w:pPr>
            <w:r>
              <w:rPr>
                <w:rFonts w:hint="eastAsia" w:ascii="方正书宋_GBK" w:eastAsia="方正书宋_GBK"/>
                <w:b/>
              </w:rPr>
              <w:t>　　内部审计管理</w:t>
            </w:r>
          </w:p>
        </w:tc>
        <w:tc>
          <w:tcPr>
            <w:tcW w:w="1276" w:type="dxa"/>
            <w:shd w:val="clear" w:color="auto" w:fill="auto"/>
            <w:vAlign w:val="center"/>
          </w:tcPr>
          <w:p w14:paraId="73C4FDD3">
            <w:pPr>
              <w:spacing w:line="300" w:lineRule="exact"/>
              <w:jc w:val="left"/>
              <w:rPr>
                <w:rFonts w:ascii="方正书宋_GBK" w:eastAsia="方正书宋_GBK"/>
              </w:rPr>
            </w:pPr>
          </w:p>
        </w:tc>
        <w:tc>
          <w:tcPr>
            <w:tcW w:w="2976" w:type="dxa"/>
            <w:shd w:val="clear" w:color="auto" w:fill="auto"/>
            <w:vAlign w:val="center"/>
          </w:tcPr>
          <w:p w14:paraId="3659FAB0">
            <w:pPr>
              <w:spacing w:line="300" w:lineRule="exact"/>
              <w:jc w:val="left"/>
              <w:rPr>
                <w:rFonts w:ascii="方正书宋_GBK" w:eastAsia="方正书宋_GBK"/>
              </w:rPr>
            </w:pPr>
            <w:r>
              <w:rPr>
                <w:rFonts w:hint="eastAsia" w:ascii="方正书宋_GBK" w:eastAsia="方正书宋_GBK"/>
              </w:rPr>
              <w:t>制定内部审计措施并组织落实；制定内部审计业务规章、制度、管理办法等并开展监督检查；指导内部审计业务，受理内部审计业务咨询；提供内部审计成果；协调内部审计和国家审计间工作等。</w:t>
            </w:r>
          </w:p>
        </w:tc>
        <w:tc>
          <w:tcPr>
            <w:tcW w:w="2976" w:type="dxa"/>
            <w:shd w:val="clear" w:color="auto" w:fill="auto"/>
            <w:vAlign w:val="center"/>
          </w:tcPr>
          <w:p w14:paraId="02AD183C">
            <w:pPr>
              <w:spacing w:line="300" w:lineRule="exact"/>
              <w:jc w:val="left"/>
              <w:rPr>
                <w:rFonts w:ascii="方正书宋_GBK" w:eastAsia="方正书宋_GBK"/>
              </w:rPr>
            </w:pPr>
            <w:r>
              <w:rPr>
                <w:rFonts w:hint="eastAsia" w:ascii="方正书宋_GBK" w:eastAsia="方正书宋_GBK"/>
              </w:rPr>
              <w:t>受理内审业务咨询，提高内部审计质量；协调内部审计和国家审计间工作，保障内部审计工作的顺利进行；控制费用标准严格。</w:t>
            </w:r>
          </w:p>
        </w:tc>
        <w:tc>
          <w:tcPr>
            <w:tcW w:w="1417" w:type="dxa"/>
            <w:shd w:val="clear" w:color="auto" w:fill="auto"/>
            <w:vAlign w:val="center"/>
          </w:tcPr>
          <w:p w14:paraId="361580CD">
            <w:pPr>
              <w:spacing w:line="300" w:lineRule="exact"/>
              <w:jc w:val="left"/>
              <w:rPr>
                <w:rFonts w:ascii="方正书宋_GBK" w:eastAsia="方正书宋_GBK"/>
              </w:rPr>
            </w:pPr>
            <w:r>
              <w:rPr>
                <w:rFonts w:hint="eastAsia" w:ascii="方正书宋_GBK" w:eastAsia="方正书宋_GBK"/>
              </w:rPr>
              <w:t>内审业务办结率</w:t>
            </w:r>
          </w:p>
        </w:tc>
        <w:tc>
          <w:tcPr>
            <w:tcW w:w="737" w:type="dxa"/>
            <w:shd w:val="clear" w:color="auto" w:fill="auto"/>
            <w:vAlign w:val="center"/>
          </w:tcPr>
          <w:p w14:paraId="63CBA747">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14:paraId="5F083DDD">
            <w:pPr>
              <w:spacing w:line="300" w:lineRule="exact"/>
              <w:jc w:val="center"/>
              <w:rPr>
                <w:rFonts w:ascii="方正书宋_GBK" w:eastAsia="方正书宋_GBK"/>
              </w:rPr>
            </w:pPr>
          </w:p>
        </w:tc>
        <w:tc>
          <w:tcPr>
            <w:tcW w:w="737" w:type="dxa"/>
            <w:shd w:val="clear" w:color="auto" w:fill="auto"/>
            <w:vAlign w:val="center"/>
          </w:tcPr>
          <w:p w14:paraId="32EB04B1">
            <w:pPr>
              <w:spacing w:line="300" w:lineRule="exact"/>
              <w:jc w:val="center"/>
              <w:rPr>
                <w:rFonts w:ascii="方正书宋_GBK" w:eastAsia="方正书宋_GBK"/>
              </w:rPr>
            </w:pPr>
          </w:p>
        </w:tc>
        <w:tc>
          <w:tcPr>
            <w:tcW w:w="737" w:type="dxa"/>
            <w:shd w:val="clear" w:color="auto" w:fill="auto"/>
            <w:vAlign w:val="center"/>
          </w:tcPr>
          <w:p w14:paraId="136AB145">
            <w:pPr>
              <w:spacing w:line="300" w:lineRule="exact"/>
              <w:jc w:val="center"/>
              <w:rPr>
                <w:rFonts w:ascii="方正书宋_GBK" w:eastAsia="方正书宋_GBK"/>
              </w:rPr>
            </w:pPr>
          </w:p>
        </w:tc>
      </w:tr>
      <w:tr w14:paraId="47B50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AEC6A93">
            <w:pPr>
              <w:spacing w:line="300" w:lineRule="exact"/>
              <w:jc w:val="left"/>
              <w:rPr>
                <w:rFonts w:ascii="方正书宋_GBK" w:eastAsia="方正书宋_GBK"/>
                <w:b/>
              </w:rPr>
            </w:pPr>
            <w:r>
              <w:rPr>
                <w:rFonts w:hint="eastAsia" w:ascii="方正书宋_GBK" w:eastAsia="方正书宋_GBK"/>
                <w:b/>
              </w:rPr>
              <w:t>审计政务管理</w:t>
            </w:r>
          </w:p>
        </w:tc>
        <w:tc>
          <w:tcPr>
            <w:tcW w:w="1276" w:type="dxa"/>
            <w:shd w:val="clear" w:color="auto" w:fill="auto"/>
            <w:vAlign w:val="center"/>
          </w:tcPr>
          <w:p w14:paraId="53F4104C">
            <w:pPr>
              <w:spacing w:line="300" w:lineRule="exact"/>
              <w:jc w:val="left"/>
              <w:rPr>
                <w:rFonts w:ascii="方正书宋_GBK" w:eastAsia="方正书宋_GBK"/>
              </w:rPr>
            </w:pPr>
          </w:p>
        </w:tc>
        <w:tc>
          <w:tcPr>
            <w:tcW w:w="2976" w:type="dxa"/>
            <w:shd w:val="clear" w:color="auto" w:fill="auto"/>
            <w:vAlign w:val="center"/>
          </w:tcPr>
          <w:p w14:paraId="0878EF9C">
            <w:pPr>
              <w:spacing w:line="300" w:lineRule="exact"/>
              <w:jc w:val="left"/>
              <w:rPr>
                <w:rFonts w:ascii="方正书宋_GBK" w:eastAsia="方正书宋_GBK"/>
              </w:rPr>
            </w:pPr>
            <w:r>
              <w:rPr>
                <w:rFonts w:hint="eastAsia" w:ascii="方正书宋_GBK" w:eastAsia="方正书宋_GBK"/>
              </w:rPr>
              <w:t>包括系统综合业务管理和机关综合事务管理。</w:t>
            </w:r>
          </w:p>
        </w:tc>
        <w:tc>
          <w:tcPr>
            <w:tcW w:w="2976" w:type="dxa"/>
            <w:shd w:val="clear" w:color="auto" w:fill="auto"/>
            <w:vAlign w:val="center"/>
          </w:tcPr>
          <w:p w14:paraId="4AA61DDA">
            <w:pPr>
              <w:spacing w:line="300" w:lineRule="exact"/>
              <w:jc w:val="left"/>
              <w:rPr>
                <w:rFonts w:ascii="方正书宋_GBK" w:eastAsia="方正书宋_GBK"/>
              </w:rPr>
            </w:pPr>
            <w:r>
              <w:rPr>
                <w:rFonts w:hint="eastAsia" w:ascii="方正书宋_GBK" w:eastAsia="方正书宋_GBK"/>
              </w:rPr>
              <w:t>包括系统综合业务管理和机关综合事务管理。充分发挥参谋助手作用和综合协调作用，推进审计事业科学协调发展。</w:t>
            </w:r>
          </w:p>
        </w:tc>
        <w:tc>
          <w:tcPr>
            <w:tcW w:w="1417" w:type="dxa"/>
            <w:shd w:val="clear" w:color="auto" w:fill="auto"/>
            <w:vAlign w:val="center"/>
          </w:tcPr>
          <w:p w14:paraId="23228F78">
            <w:pPr>
              <w:spacing w:line="300" w:lineRule="exact"/>
              <w:jc w:val="left"/>
              <w:rPr>
                <w:rFonts w:ascii="方正书宋_GBK" w:eastAsia="方正书宋_GBK"/>
              </w:rPr>
            </w:pPr>
          </w:p>
        </w:tc>
        <w:tc>
          <w:tcPr>
            <w:tcW w:w="737" w:type="dxa"/>
            <w:shd w:val="clear" w:color="auto" w:fill="auto"/>
            <w:vAlign w:val="center"/>
          </w:tcPr>
          <w:p w14:paraId="5598AC62">
            <w:pPr>
              <w:spacing w:line="300" w:lineRule="exact"/>
              <w:jc w:val="center"/>
              <w:rPr>
                <w:rFonts w:ascii="方正书宋_GBK" w:eastAsia="方正书宋_GBK"/>
              </w:rPr>
            </w:pPr>
          </w:p>
        </w:tc>
        <w:tc>
          <w:tcPr>
            <w:tcW w:w="737" w:type="dxa"/>
            <w:shd w:val="clear" w:color="auto" w:fill="auto"/>
            <w:vAlign w:val="center"/>
          </w:tcPr>
          <w:p w14:paraId="1D16BB9A">
            <w:pPr>
              <w:spacing w:line="300" w:lineRule="exact"/>
              <w:jc w:val="center"/>
              <w:rPr>
                <w:rFonts w:ascii="方正书宋_GBK" w:eastAsia="方正书宋_GBK"/>
              </w:rPr>
            </w:pPr>
          </w:p>
        </w:tc>
        <w:tc>
          <w:tcPr>
            <w:tcW w:w="737" w:type="dxa"/>
            <w:shd w:val="clear" w:color="auto" w:fill="auto"/>
            <w:vAlign w:val="center"/>
          </w:tcPr>
          <w:p w14:paraId="027D9098">
            <w:pPr>
              <w:spacing w:line="300" w:lineRule="exact"/>
              <w:jc w:val="center"/>
              <w:rPr>
                <w:rFonts w:ascii="方正书宋_GBK" w:eastAsia="方正书宋_GBK"/>
              </w:rPr>
            </w:pPr>
          </w:p>
        </w:tc>
        <w:tc>
          <w:tcPr>
            <w:tcW w:w="737" w:type="dxa"/>
            <w:shd w:val="clear" w:color="auto" w:fill="auto"/>
            <w:vAlign w:val="center"/>
          </w:tcPr>
          <w:p w14:paraId="0BE6826E">
            <w:pPr>
              <w:spacing w:line="300" w:lineRule="exact"/>
              <w:jc w:val="center"/>
              <w:rPr>
                <w:rFonts w:ascii="方正书宋_GBK" w:eastAsia="方正书宋_GBK"/>
              </w:rPr>
            </w:pPr>
          </w:p>
        </w:tc>
      </w:tr>
      <w:tr w14:paraId="31FC0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B6A87E3">
            <w:pPr>
              <w:spacing w:line="300" w:lineRule="exact"/>
              <w:jc w:val="left"/>
              <w:rPr>
                <w:rFonts w:ascii="方正书宋_GBK" w:eastAsia="方正书宋_GBK"/>
                <w:b/>
              </w:rPr>
            </w:pPr>
            <w:r>
              <w:rPr>
                <w:rFonts w:hint="eastAsia" w:ascii="方正书宋_GBK" w:eastAsia="方正书宋_GBK"/>
                <w:b/>
              </w:rPr>
              <w:t>　　综合业务管理</w:t>
            </w:r>
          </w:p>
        </w:tc>
        <w:tc>
          <w:tcPr>
            <w:tcW w:w="1276" w:type="dxa"/>
            <w:shd w:val="clear" w:color="auto" w:fill="auto"/>
            <w:vAlign w:val="center"/>
          </w:tcPr>
          <w:p w14:paraId="5876CAC0">
            <w:pPr>
              <w:spacing w:line="300" w:lineRule="exact"/>
              <w:jc w:val="left"/>
              <w:rPr>
                <w:rFonts w:ascii="方正书宋_GBK" w:eastAsia="方正书宋_GBK"/>
              </w:rPr>
            </w:pPr>
          </w:p>
        </w:tc>
        <w:tc>
          <w:tcPr>
            <w:tcW w:w="2976" w:type="dxa"/>
            <w:shd w:val="clear" w:color="auto" w:fill="auto"/>
            <w:vAlign w:val="center"/>
          </w:tcPr>
          <w:p w14:paraId="33528BFD">
            <w:pPr>
              <w:spacing w:line="300" w:lineRule="exact"/>
              <w:jc w:val="left"/>
              <w:rPr>
                <w:rFonts w:ascii="方正书宋_GBK" w:eastAsia="方正书宋_GBK"/>
              </w:rPr>
            </w:pPr>
            <w:r>
              <w:rPr>
                <w:rFonts w:hint="eastAsia" w:ascii="方正书宋_GBK" w:eastAsia="方正书宋_GBK"/>
              </w:rPr>
              <w:t>组织开展信息化建设、教育培训、审计理论研究，抓好新闻宣传和文化建设、政务信息公开，开展审计服务和业务咨询。</w:t>
            </w:r>
          </w:p>
        </w:tc>
        <w:tc>
          <w:tcPr>
            <w:tcW w:w="2976" w:type="dxa"/>
            <w:shd w:val="clear" w:color="auto" w:fill="auto"/>
            <w:vAlign w:val="center"/>
          </w:tcPr>
          <w:p w14:paraId="7091E0D7">
            <w:pPr>
              <w:spacing w:line="300" w:lineRule="exact"/>
              <w:jc w:val="left"/>
              <w:rPr>
                <w:rFonts w:ascii="方正书宋_GBK" w:eastAsia="方正书宋_GBK"/>
              </w:rPr>
            </w:pPr>
            <w:r>
              <w:rPr>
                <w:rFonts w:hint="eastAsia" w:ascii="方正书宋_GBK" w:eastAsia="方正书宋_GBK"/>
              </w:rPr>
              <w:t>信息保障安全有效，信息化建设稳步推进；加强宣传引导；提高人员业务水平；促进审计文化研究，推动审计事业发展。</w:t>
            </w:r>
          </w:p>
        </w:tc>
        <w:tc>
          <w:tcPr>
            <w:tcW w:w="1417" w:type="dxa"/>
            <w:shd w:val="clear" w:color="auto" w:fill="auto"/>
            <w:vAlign w:val="center"/>
          </w:tcPr>
          <w:p w14:paraId="100D7F96">
            <w:pPr>
              <w:spacing w:line="300" w:lineRule="exact"/>
              <w:jc w:val="left"/>
              <w:rPr>
                <w:rFonts w:ascii="方正书宋_GBK" w:eastAsia="方正书宋_GBK"/>
              </w:rPr>
            </w:pPr>
            <w:r>
              <w:rPr>
                <w:rFonts w:hint="eastAsia" w:ascii="方正书宋_GBK" w:eastAsia="方正书宋_GBK"/>
              </w:rPr>
              <w:t>综合业务保障率</w:t>
            </w:r>
          </w:p>
        </w:tc>
        <w:tc>
          <w:tcPr>
            <w:tcW w:w="737" w:type="dxa"/>
            <w:shd w:val="clear" w:color="auto" w:fill="auto"/>
            <w:vAlign w:val="center"/>
          </w:tcPr>
          <w:p w14:paraId="0B6488DA">
            <w:pPr>
              <w:spacing w:line="300" w:lineRule="exact"/>
              <w:jc w:val="center"/>
              <w:rPr>
                <w:rFonts w:ascii="方正书宋_GBK" w:eastAsia="方正书宋_GBK"/>
              </w:rPr>
            </w:pPr>
            <w:r>
              <w:rPr>
                <w:rFonts w:hint="eastAsia" w:ascii="方正书宋_GBK" w:eastAsia="方正书宋_GBK"/>
              </w:rPr>
              <w:t>优</w:t>
            </w:r>
          </w:p>
        </w:tc>
        <w:tc>
          <w:tcPr>
            <w:tcW w:w="737" w:type="dxa"/>
            <w:shd w:val="clear" w:color="auto" w:fill="auto"/>
            <w:vAlign w:val="center"/>
          </w:tcPr>
          <w:p w14:paraId="28428B48">
            <w:pPr>
              <w:spacing w:line="300" w:lineRule="exact"/>
              <w:jc w:val="center"/>
              <w:rPr>
                <w:rFonts w:ascii="方正书宋_GBK" w:eastAsia="方正书宋_GBK"/>
              </w:rPr>
            </w:pPr>
          </w:p>
        </w:tc>
        <w:tc>
          <w:tcPr>
            <w:tcW w:w="737" w:type="dxa"/>
            <w:shd w:val="clear" w:color="auto" w:fill="auto"/>
            <w:vAlign w:val="center"/>
          </w:tcPr>
          <w:p w14:paraId="60840353">
            <w:pPr>
              <w:spacing w:line="300" w:lineRule="exact"/>
              <w:jc w:val="center"/>
              <w:rPr>
                <w:rFonts w:ascii="方正书宋_GBK" w:eastAsia="方正书宋_GBK"/>
              </w:rPr>
            </w:pPr>
          </w:p>
        </w:tc>
        <w:tc>
          <w:tcPr>
            <w:tcW w:w="737" w:type="dxa"/>
            <w:shd w:val="clear" w:color="auto" w:fill="auto"/>
            <w:vAlign w:val="center"/>
          </w:tcPr>
          <w:p w14:paraId="7EFC060B">
            <w:pPr>
              <w:spacing w:line="300" w:lineRule="exact"/>
              <w:jc w:val="center"/>
              <w:rPr>
                <w:rFonts w:ascii="方正书宋_GBK" w:eastAsia="方正书宋_GBK"/>
              </w:rPr>
            </w:pPr>
          </w:p>
        </w:tc>
      </w:tr>
    </w:tbl>
    <w:p w14:paraId="068E2C70">
      <w:pPr>
        <w:autoSpaceDE w:val="0"/>
        <w:autoSpaceDN w:val="0"/>
        <w:adjustRightIn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六、政府采购预算情况</w:t>
      </w:r>
    </w:p>
    <w:p w14:paraId="7133187E">
      <w:pPr>
        <w:widowControl/>
        <w:spacing w:line="360" w:lineRule="auto"/>
        <w:ind w:firstLine="640" w:firstLineChars="200"/>
        <w:jc w:val="left"/>
        <w:rPr>
          <w:rFonts w:ascii="Calibri" w:hAnsi="Calibri" w:eastAsia="仿宋_GB2312" w:cs="Calibri"/>
          <w:b/>
          <w:kern w:val="0"/>
          <w:sz w:val="32"/>
          <w:szCs w:val="32"/>
        </w:rPr>
      </w:pPr>
      <w:r>
        <w:rPr>
          <w:rFonts w:ascii="仿宋" w:hAnsi="仿宋" w:eastAsia="仿宋" w:cs="Times New Roman"/>
          <w:sz w:val="32"/>
          <w:szCs w:val="32"/>
        </w:rPr>
        <w:t>2017</w:t>
      </w:r>
      <w:r>
        <w:rPr>
          <w:rFonts w:hint="eastAsia" w:ascii="仿宋" w:hAnsi="仿宋" w:eastAsia="仿宋" w:cs="方正仿宋_GBK"/>
          <w:sz w:val="32"/>
          <w:szCs w:val="32"/>
        </w:rPr>
        <w:t>年，我单位安排政府采购预算6.4万元。</w:t>
      </w:r>
      <w:r>
        <w:rPr>
          <w:rFonts w:hint="eastAsia" w:ascii="仿宋_GB2312" w:hAnsi="微软雅黑" w:eastAsia="仿宋_GB2312" w:cs="仿宋_GB2312"/>
          <w:kern w:val="0"/>
          <w:sz w:val="32"/>
          <w:szCs w:val="32"/>
        </w:rPr>
        <w:t>其中有</w:t>
      </w:r>
      <w:r>
        <w:rPr>
          <w:rFonts w:ascii="仿宋_GB2312" w:hAnsi="Calibri" w:eastAsia="仿宋_GB2312" w:cs="仿宋_GB2312"/>
          <w:kern w:val="0"/>
          <w:sz w:val="32"/>
          <w:szCs w:val="32"/>
        </w:rPr>
        <w:t>微</w:t>
      </w:r>
      <w:r>
        <w:rPr>
          <w:rFonts w:hint="eastAsia" w:ascii="仿宋_GB2312" w:hAnsi="Calibri" w:eastAsia="仿宋_GB2312" w:cs="仿宋_GB2312"/>
          <w:kern w:val="0"/>
          <w:sz w:val="32"/>
          <w:szCs w:val="32"/>
        </w:rPr>
        <w:t>机16台单价4000元，共计64000元。</w:t>
      </w:r>
      <w:r>
        <w:rPr>
          <w:rFonts w:ascii="仿宋_GB2312" w:hAnsi="Calibri" w:eastAsia="仿宋_GB2312" w:cs="仿宋_GB2312"/>
          <w:kern w:val="0"/>
          <w:sz w:val="32"/>
          <w:szCs w:val="32"/>
        </w:rPr>
        <w:t>本年拟用于政府采购</w:t>
      </w:r>
      <w:r>
        <w:rPr>
          <w:rFonts w:hint="eastAsia" w:ascii="仿宋_GB2312" w:hAnsi="Calibri" w:eastAsia="仿宋_GB2312" w:cs="仿宋_GB2312"/>
          <w:kern w:val="0"/>
          <w:sz w:val="32"/>
          <w:szCs w:val="32"/>
        </w:rPr>
        <w:t>64000元，微机16台，单价4000元。</w:t>
      </w:r>
      <w:r>
        <w:rPr>
          <w:rFonts w:hint="eastAsia" w:ascii="仿宋" w:hAnsi="仿宋" w:eastAsia="仿宋" w:cs="方正仿宋_GBK"/>
          <w:sz w:val="32"/>
          <w:szCs w:val="32"/>
        </w:rPr>
        <w:t>具体内容见下表</w:t>
      </w:r>
      <w:r>
        <w:rPr>
          <w:rFonts w:hint="eastAsia" w:ascii="宋体" w:hAnsi="宋体" w:eastAsia="宋体" w:cs="方正仿宋_GBK"/>
          <w:sz w:val="32"/>
          <w:szCs w:val="32"/>
        </w:rPr>
        <w:t>。</w:t>
      </w:r>
    </w:p>
    <w:p w14:paraId="0CFAA79C">
      <w:pPr>
        <w:spacing w:line="560" w:lineRule="exact"/>
        <w:jc w:val="center"/>
        <w:outlineLvl w:val="0"/>
        <w:rPr>
          <w:rFonts w:ascii="仿宋" w:hAnsi="仿宋" w:eastAsia="仿宋" w:cs="方正小标宋_GBK"/>
          <w:sz w:val="32"/>
          <w:szCs w:val="32"/>
        </w:rPr>
      </w:pPr>
      <w:r>
        <w:rPr>
          <w:rFonts w:hint="eastAsia" w:ascii="仿宋" w:hAnsi="仿宋" w:eastAsia="仿宋" w:cs="方正小标宋_GBK"/>
          <w:sz w:val="32"/>
          <w:szCs w:val="32"/>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0"/>
        <w:gridCol w:w="992"/>
        <w:gridCol w:w="1134"/>
        <w:gridCol w:w="992"/>
        <w:gridCol w:w="851"/>
        <w:gridCol w:w="708"/>
        <w:gridCol w:w="708"/>
        <w:gridCol w:w="1097"/>
        <w:gridCol w:w="992"/>
        <w:gridCol w:w="888"/>
        <w:gridCol w:w="710"/>
        <w:gridCol w:w="709"/>
        <w:gridCol w:w="708"/>
        <w:gridCol w:w="933"/>
      </w:tblGrid>
      <w:tr w14:paraId="2161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115" w:type="dxa"/>
            <w:gridSpan w:val="7"/>
            <w:tcBorders>
              <w:top w:val="single" w:color="FFFFFF" w:sz="6" w:space="0"/>
              <w:left w:val="single" w:color="FFFFFF" w:sz="6" w:space="0"/>
              <w:right w:val="single" w:color="FFFFFF" w:sz="6" w:space="0"/>
            </w:tcBorders>
            <w:vAlign w:val="center"/>
          </w:tcPr>
          <w:p w14:paraId="61C05FA1">
            <w:pPr>
              <w:spacing w:line="280" w:lineRule="exact"/>
              <w:jc w:val="left"/>
              <w:rPr>
                <w:rFonts w:ascii="仿宋" w:hAnsi="仿宋" w:eastAsia="仿宋" w:cs="Times New Roman"/>
                <w:sz w:val="24"/>
                <w:szCs w:val="24"/>
              </w:rPr>
            </w:pPr>
            <w:r>
              <w:rPr>
                <w:rFonts w:hint="eastAsia" w:ascii="仿宋" w:hAnsi="仿宋" w:eastAsia="仿宋" w:cs="Times New Roman"/>
                <w:sz w:val="24"/>
                <w:szCs w:val="24"/>
              </w:rPr>
              <w:t>部门（单位）：319成安县审计局</w:t>
            </w:r>
          </w:p>
        </w:tc>
        <w:tc>
          <w:tcPr>
            <w:tcW w:w="6037" w:type="dxa"/>
            <w:gridSpan w:val="7"/>
            <w:tcBorders>
              <w:top w:val="single" w:color="FFFFFF" w:sz="6" w:space="0"/>
              <w:left w:val="single" w:color="FFFFFF" w:sz="6" w:space="0"/>
              <w:right w:val="single" w:color="FFFFFF" w:sz="6" w:space="0"/>
            </w:tcBorders>
            <w:vAlign w:val="center"/>
          </w:tcPr>
          <w:p w14:paraId="2D888554">
            <w:pPr>
              <w:spacing w:line="280" w:lineRule="exact"/>
              <w:jc w:val="right"/>
              <w:rPr>
                <w:rFonts w:ascii="仿宋" w:hAnsi="仿宋" w:eastAsia="仿宋" w:cs="Times New Roman"/>
                <w:sz w:val="24"/>
                <w:szCs w:val="24"/>
              </w:rPr>
            </w:pPr>
            <w:r>
              <w:rPr>
                <w:rFonts w:hint="eastAsia" w:ascii="仿宋" w:hAnsi="仿宋" w:eastAsia="仿宋" w:cs="Times New Roman"/>
                <w:sz w:val="24"/>
                <w:szCs w:val="24"/>
              </w:rPr>
              <w:t>单位：万元</w:t>
            </w:r>
          </w:p>
        </w:tc>
      </w:tr>
      <w:tr w14:paraId="76673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22" w:type="dxa"/>
            <w:gridSpan w:val="2"/>
            <w:vAlign w:val="center"/>
          </w:tcPr>
          <w:p w14:paraId="4ECF5436">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政府采购项目</w:t>
            </w:r>
          </w:p>
          <w:p w14:paraId="49C5526F">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来源</w:t>
            </w:r>
          </w:p>
        </w:tc>
        <w:tc>
          <w:tcPr>
            <w:tcW w:w="1134" w:type="dxa"/>
            <w:vMerge w:val="restart"/>
            <w:vAlign w:val="center"/>
          </w:tcPr>
          <w:p w14:paraId="72919480">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采购物品名称</w:t>
            </w:r>
          </w:p>
        </w:tc>
        <w:tc>
          <w:tcPr>
            <w:tcW w:w="992" w:type="dxa"/>
            <w:vMerge w:val="restart"/>
            <w:vAlign w:val="center"/>
          </w:tcPr>
          <w:p w14:paraId="6A5B8C00">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政府采购目录序号</w:t>
            </w:r>
          </w:p>
        </w:tc>
        <w:tc>
          <w:tcPr>
            <w:tcW w:w="851" w:type="dxa"/>
            <w:vMerge w:val="restart"/>
            <w:vAlign w:val="center"/>
          </w:tcPr>
          <w:p w14:paraId="4EE0C3E8">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数量单位</w:t>
            </w:r>
          </w:p>
        </w:tc>
        <w:tc>
          <w:tcPr>
            <w:tcW w:w="708" w:type="dxa"/>
            <w:vMerge w:val="restart"/>
            <w:vAlign w:val="center"/>
          </w:tcPr>
          <w:p w14:paraId="2BA9EED0">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数量</w:t>
            </w:r>
          </w:p>
        </w:tc>
        <w:tc>
          <w:tcPr>
            <w:tcW w:w="708" w:type="dxa"/>
            <w:vMerge w:val="restart"/>
            <w:vAlign w:val="center"/>
          </w:tcPr>
          <w:p w14:paraId="0127EF8A">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单价</w:t>
            </w:r>
          </w:p>
        </w:tc>
        <w:tc>
          <w:tcPr>
            <w:tcW w:w="6037" w:type="dxa"/>
            <w:gridSpan w:val="7"/>
            <w:vAlign w:val="center"/>
          </w:tcPr>
          <w:p w14:paraId="304A53C4">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政府采购金额</w:t>
            </w:r>
          </w:p>
        </w:tc>
      </w:tr>
      <w:tr w14:paraId="605A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2" w:hRule="atLeast"/>
          <w:tblHeader/>
          <w:jc w:val="center"/>
        </w:trPr>
        <w:tc>
          <w:tcPr>
            <w:tcW w:w="1730" w:type="dxa"/>
            <w:vMerge w:val="restart"/>
            <w:vAlign w:val="center"/>
          </w:tcPr>
          <w:p w14:paraId="483DAAB4">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项目名称</w:t>
            </w:r>
          </w:p>
        </w:tc>
        <w:tc>
          <w:tcPr>
            <w:tcW w:w="992" w:type="dxa"/>
            <w:vMerge w:val="restart"/>
            <w:vAlign w:val="center"/>
          </w:tcPr>
          <w:p w14:paraId="2A50385F">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预算资金</w:t>
            </w:r>
          </w:p>
        </w:tc>
        <w:tc>
          <w:tcPr>
            <w:tcW w:w="1134" w:type="dxa"/>
            <w:vMerge w:val="continue"/>
            <w:vAlign w:val="center"/>
          </w:tcPr>
          <w:p w14:paraId="587B6519">
            <w:pPr>
              <w:spacing w:line="280" w:lineRule="exact"/>
              <w:jc w:val="left"/>
              <w:outlineLvl w:val="0"/>
              <w:rPr>
                <w:rFonts w:ascii="仿宋" w:hAnsi="仿宋" w:eastAsia="仿宋" w:cs="Times New Roman"/>
                <w:sz w:val="24"/>
                <w:szCs w:val="24"/>
              </w:rPr>
            </w:pPr>
          </w:p>
        </w:tc>
        <w:tc>
          <w:tcPr>
            <w:tcW w:w="992" w:type="dxa"/>
            <w:vMerge w:val="continue"/>
            <w:vAlign w:val="center"/>
          </w:tcPr>
          <w:p w14:paraId="2E62C69F">
            <w:pPr>
              <w:spacing w:line="280" w:lineRule="exact"/>
              <w:jc w:val="left"/>
              <w:outlineLvl w:val="0"/>
              <w:rPr>
                <w:rFonts w:ascii="仿宋" w:hAnsi="仿宋" w:eastAsia="仿宋" w:cs="Times New Roman"/>
                <w:sz w:val="24"/>
                <w:szCs w:val="24"/>
              </w:rPr>
            </w:pPr>
          </w:p>
        </w:tc>
        <w:tc>
          <w:tcPr>
            <w:tcW w:w="851" w:type="dxa"/>
            <w:vMerge w:val="continue"/>
            <w:vAlign w:val="center"/>
          </w:tcPr>
          <w:p w14:paraId="5988457A">
            <w:pPr>
              <w:spacing w:line="280" w:lineRule="exact"/>
              <w:jc w:val="left"/>
              <w:outlineLvl w:val="0"/>
              <w:rPr>
                <w:rFonts w:ascii="仿宋" w:hAnsi="仿宋" w:eastAsia="仿宋" w:cs="Times New Roman"/>
                <w:sz w:val="24"/>
                <w:szCs w:val="24"/>
              </w:rPr>
            </w:pPr>
          </w:p>
        </w:tc>
        <w:tc>
          <w:tcPr>
            <w:tcW w:w="708" w:type="dxa"/>
            <w:vMerge w:val="continue"/>
            <w:vAlign w:val="center"/>
          </w:tcPr>
          <w:p w14:paraId="1BD8C81D">
            <w:pPr>
              <w:spacing w:line="280" w:lineRule="exact"/>
              <w:jc w:val="left"/>
              <w:outlineLvl w:val="0"/>
              <w:rPr>
                <w:rFonts w:ascii="仿宋" w:hAnsi="仿宋" w:eastAsia="仿宋" w:cs="Times New Roman"/>
                <w:sz w:val="24"/>
                <w:szCs w:val="24"/>
              </w:rPr>
            </w:pPr>
          </w:p>
        </w:tc>
        <w:tc>
          <w:tcPr>
            <w:tcW w:w="708" w:type="dxa"/>
            <w:vMerge w:val="continue"/>
            <w:vAlign w:val="center"/>
          </w:tcPr>
          <w:p w14:paraId="3E219DE4">
            <w:pPr>
              <w:spacing w:line="280" w:lineRule="exact"/>
              <w:jc w:val="left"/>
              <w:outlineLvl w:val="0"/>
              <w:rPr>
                <w:rFonts w:ascii="仿宋" w:hAnsi="仿宋" w:eastAsia="仿宋" w:cs="Times New Roman"/>
                <w:sz w:val="24"/>
                <w:szCs w:val="24"/>
              </w:rPr>
            </w:pPr>
          </w:p>
        </w:tc>
        <w:tc>
          <w:tcPr>
            <w:tcW w:w="1097" w:type="dxa"/>
            <w:vMerge w:val="restart"/>
            <w:vAlign w:val="center"/>
          </w:tcPr>
          <w:p w14:paraId="17CC7967">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总计</w:t>
            </w:r>
          </w:p>
        </w:tc>
        <w:tc>
          <w:tcPr>
            <w:tcW w:w="4007" w:type="dxa"/>
            <w:gridSpan w:val="5"/>
            <w:vAlign w:val="center"/>
          </w:tcPr>
          <w:p w14:paraId="68482D0A">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当年部门预算安排资金</w:t>
            </w:r>
          </w:p>
        </w:tc>
        <w:tc>
          <w:tcPr>
            <w:tcW w:w="933" w:type="dxa"/>
            <w:vMerge w:val="restart"/>
            <w:vAlign w:val="center"/>
          </w:tcPr>
          <w:p w14:paraId="77874F4D">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其他渠道资金</w:t>
            </w:r>
          </w:p>
        </w:tc>
      </w:tr>
      <w:tr w14:paraId="6769D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69" w:hRule="atLeast"/>
          <w:tblHeader/>
          <w:jc w:val="center"/>
        </w:trPr>
        <w:tc>
          <w:tcPr>
            <w:tcW w:w="1730" w:type="dxa"/>
            <w:vMerge w:val="continue"/>
            <w:vAlign w:val="center"/>
          </w:tcPr>
          <w:p w14:paraId="38E4A4EB">
            <w:pPr>
              <w:spacing w:line="280" w:lineRule="exact"/>
              <w:jc w:val="left"/>
              <w:outlineLvl w:val="0"/>
              <w:rPr>
                <w:rFonts w:ascii="仿宋" w:hAnsi="仿宋" w:eastAsia="仿宋" w:cs="Times New Roman"/>
                <w:sz w:val="24"/>
                <w:szCs w:val="24"/>
              </w:rPr>
            </w:pPr>
          </w:p>
        </w:tc>
        <w:tc>
          <w:tcPr>
            <w:tcW w:w="992" w:type="dxa"/>
            <w:vMerge w:val="continue"/>
            <w:vAlign w:val="center"/>
          </w:tcPr>
          <w:p w14:paraId="7965DE79">
            <w:pPr>
              <w:spacing w:line="280" w:lineRule="exact"/>
              <w:jc w:val="left"/>
              <w:outlineLvl w:val="0"/>
              <w:rPr>
                <w:rFonts w:ascii="仿宋" w:hAnsi="仿宋" w:eastAsia="仿宋" w:cs="Times New Roman"/>
                <w:sz w:val="24"/>
                <w:szCs w:val="24"/>
              </w:rPr>
            </w:pPr>
          </w:p>
        </w:tc>
        <w:tc>
          <w:tcPr>
            <w:tcW w:w="1134" w:type="dxa"/>
            <w:vMerge w:val="continue"/>
            <w:vAlign w:val="center"/>
          </w:tcPr>
          <w:p w14:paraId="23D1293B">
            <w:pPr>
              <w:spacing w:line="280" w:lineRule="exact"/>
              <w:jc w:val="left"/>
              <w:outlineLvl w:val="0"/>
              <w:rPr>
                <w:rFonts w:ascii="仿宋" w:hAnsi="仿宋" w:eastAsia="仿宋" w:cs="Times New Roman"/>
                <w:sz w:val="24"/>
                <w:szCs w:val="24"/>
              </w:rPr>
            </w:pPr>
          </w:p>
        </w:tc>
        <w:tc>
          <w:tcPr>
            <w:tcW w:w="992" w:type="dxa"/>
            <w:vMerge w:val="continue"/>
            <w:vAlign w:val="center"/>
          </w:tcPr>
          <w:p w14:paraId="53D669DC">
            <w:pPr>
              <w:spacing w:line="280" w:lineRule="exact"/>
              <w:jc w:val="left"/>
              <w:outlineLvl w:val="0"/>
              <w:rPr>
                <w:rFonts w:ascii="仿宋" w:hAnsi="仿宋" w:eastAsia="仿宋" w:cs="Times New Roman"/>
                <w:sz w:val="24"/>
                <w:szCs w:val="24"/>
              </w:rPr>
            </w:pPr>
          </w:p>
        </w:tc>
        <w:tc>
          <w:tcPr>
            <w:tcW w:w="851" w:type="dxa"/>
            <w:vMerge w:val="continue"/>
            <w:vAlign w:val="center"/>
          </w:tcPr>
          <w:p w14:paraId="10CA4DCA">
            <w:pPr>
              <w:spacing w:line="280" w:lineRule="exact"/>
              <w:jc w:val="left"/>
              <w:outlineLvl w:val="0"/>
              <w:rPr>
                <w:rFonts w:ascii="仿宋" w:hAnsi="仿宋" w:eastAsia="仿宋" w:cs="Times New Roman"/>
                <w:sz w:val="24"/>
                <w:szCs w:val="24"/>
              </w:rPr>
            </w:pPr>
          </w:p>
        </w:tc>
        <w:tc>
          <w:tcPr>
            <w:tcW w:w="708" w:type="dxa"/>
            <w:vMerge w:val="continue"/>
            <w:vAlign w:val="center"/>
          </w:tcPr>
          <w:p w14:paraId="02293DB1">
            <w:pPr>
              <w:spacing w:line="280" w:lineRule="exact"/>
              <w:jc w:val="left"/>
              <w:outlineLvl w:val="0"/>
              <w:rPr>
                <w:rFonts w:ascii="仿宋" w:hAnsi="仿宋" w:eastAsia="仿宋" w:cs="Times New Roman"/>
                <w:sz w:val="24"/>
                <w:szCs w:val="24"/>
              </w:rPr>
            </w:pPr>
          </w:p>
        </w:tc>
        <w:tc>
          <w:tcPr>
            <w:tcW w:w="708" w:type="dxa"/>
            <w:vMerge w:val="continue"/>
            <w:vAlign w:val="center"/>
          </w:tcPr>
          <w:p w14:paraId="17A5D1E7">
            <w:pPr>
              <w:spacing w:line="280" w:lineRule="exact"/>
              <w:jc w:val="left"/>
              <w:outlineLvl w:val="0"/>
              <w:rPr>
                <w:rFonts w:ascii="仿宋" w:hAnsi="仿宋" w:eastAsia="仿宋" w:cs="Times New Roman"/>
                <w:sz w:val="24"/>
                <w:szCs w:val="24"/>
              </w:rPr>
            </w:pPr>
          </w:p>
        </w:tc>
        <w:tc>
          <w:tcPr>
            <w:tcW w:w="1097" w:type="dxa"/>
            <w:vMerge w:val="continue"/>
            <w:vAlign w:val="center"/>
          </w:tcPr>
          <w:p w14:paraId="62783299">
            <w:pPr>
              <w:spacing w:line="280" w:lineRule="exact"/>
              <w:jc w:val="left"/>
              <w:outlineLvl w:val="0"/>
              <w:rPr>
                <w:rFonts w:ascii="仿宋" w:hAnsi="仿宋" w:eastAsia="仿宋" w:cs="Times New Roman"/>
                <w:sz w:val="24"/>
                <w:szCs w:val="24"/>
              </w:rPr>
            </w:pPr>
          </w:p>
        </w:tc>
        <w:tc>
          <w:tcPr>
            <w:tcW w:w="992" w:type="dxa"/>
            <w:vAlign w:val="center"/>
          </w:tcPr>
          <w:p w14:paraId="7CFA21FD">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888" w:type="dxa"/>
            <w:vAlign w:val="center"/>
          </w:tcPr>
          <w:p w14:paraId="3444F7B0">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一般公共预算拨款</w:t>
            </w:r>
          </w:p>
        </w:tc>
        <w:tc>
          <w:tcPr>
            <w:tcW w:w="710" w:type="dxa"/>
            <w:vAlign w:val="center"/>
          </w:tcPr>
          <w:p w14:paraId="493732A7">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基金预算拨款</w:t>
            </w:r>
          </w:p>
        </w:tc>
        <w:tc>
          <w:tcPr>
            <w:tcW w:w="709" w:type="dxa"/>
            <w:vAlign w:val="center"/>
          </w:tcPr>
          <w:p w14:paraId="7F71179F">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财政专户核拨</w:t>
            </w:r>
          </w:p>
        </w:tc>
        <w:tc>
          <w:tcPr>
            <w:tcW w:w="708" w:type="dxa"/>
            <w:vAlign w:val="center"/>
          </w:tcPr>
          <w:p w14:paraId="4FAE0F7A">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其他来源收入</w:t>
            </w:r>
          </w:p>
        </w:tc>
        <w:tc>
          <w:tcPr>
            <w:tcW w:w="933" w:type="dxa"/>
            <w:vMerge w:val="continue"/>
            <w:vAlign w:val="center"/>
          </w:tcPr>
          <w:p w14:paraId="0968A8DD">
            <w:pPr>
              <w:spacing w:line="280" w:lineRule="exact"/>
              <w:jc w:val="left"/>
              <w:outlineLvl w:val="0"/>
              <w:rPr>
                <w:rFonts w:ascii="仿宋" w:hAnsi="仿宋" w:eastAsia="仿宋" w:cs="Times New Roman"/>
                <w:sz w:val="24"/>
                <w:szCs w:val="24"/>
              </w:rPr>
            </w:pPr>
          </w:p>
        </w:tc>
      </w:tr>
      <w:tr w14:paraId="36C71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atLeast"/>
          <w:jc w:val="center"/>
        </w:trPr>
        <w:tc>
          <w:tcPr>
            <w:tcW w:w="1730" w:type="dxa"/>
            <w:vAlign w:val="center"/>
          </w:tcPr>
          <w:p w14:paraId="5DF92F99">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合　计</w:t>
            </w:r>
          </w:p>
        </w:tc>
        <w:tc>
          <w:tcPr>
            <w:tcW w:w="992" w:type="dxa"/>
            <w:vAlign w:val="center"/>
          </w:tcPr>
          <w:p w14:paraId="6A95267A">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1134" w:type="dxa"/>
            <w:vAlign w:val="center"/>
          </w:tcPr>
          <w:p w14:paraId="3E13BE9D">
            <w:pPr>
              <w:spacing w:line="280" w:lineRule="exact"/>
              <w:jc w:val="center"/>
              <w:rPr>
                <w:rFonts w:ascii="仿宋" w:hAnsi="仿宋" w:eastAsia="仿宋" w:cs="Times New Roman"/>
                <w:sz w:val="24"/>
                <w:szCs w:val="24"/>
              </w:rPr>
            </w:pPr>
          </w:p>
        </w:tc>
        <w:tc>
          <w:tcPr>
            <w:tcW w:w="992" w:type="dxa"/>
            <w:vAlign w:val="center"/>
          </w:tcPr>
          <w:p w14:paraId="7EC60B06">
            <w:pPr>
              <w:spacing w:line="280" w:lineRule="exact"/>
              <w:jc w:val="center"/>
              <w:rPr>
                <w:rFonts w:ascii="仿宋" w:hAnsi="仿宋" w:eastAsia="仿宋" w:cs="Times New Roman"/>
                <w:sz w:val="24"/>
                <w:szCs w:val="24"/>
              </w:rPr>
            </w:pPr>
          </w:p>
        </w:tc>
        <w:tc>
          <w:tcPr>
            <w:tcW w:w="851" w:type="dxa"/>
            <w:vAlign w:val="center"/>
          </w:tcPr>
          <w:p w14:paraId="0DF55A75">
            <w:pPr>
              <w:spacing w:line="280" w:lineRule="exact"/>
              <w:jc w:val="center"/>
              <w:rPr>
                <w:rFonts w:ascii="仿宋" w:hAnsi="仿宋" w:eastAsia="仿宋" w:cs="Times New Roman"/>
                <w:sz w:val="24"/>
                <w:szCs w:val="24"/>
              </w:rPr>
            </w:pPr>
          </w:p>
        </w:tc>
        <w:tc>
          <w:tcPr>
            <w:tcW w:w="708" w:type="dxa"/>
            <w:vAlign w:val="center"/>
          </w:tcPr>
          <w:p w14:paraId="3C676405">
            <w:pPr>
              <w:spacing w:line="280" w:lineRule="exact"/>
              <w:jc w:val="center"/>
              <w:rPr>
                <w:rFonts w:ascii="仿宋" w:hAnsi="仿宋" w:eastAsia="仿宋" w:cs="Times New Roman"/>
                <w:sz w:val="24"/>
                <w:szCs w:val="24"/>
              </w:rPr>
            </w:pPr>
          </w:p>
        </w:tc>
        <w:tc>
          <w:tcPr>
            <w:tcW w:w="708" w:type="dxa"/>
            <w:vAlign w:val="center"/>
          </w:tcPr>
          <w:p w14:paraId="2444E853">
            <w:pPr>
              <w:spacing w:line="280" w:lineRule="exact"/>
              <w:jc w:val="center"/>
              <w:rPr>
                <w:rFonts w:ascii="仿宋" w:hAnsi="仿宋" w:eastAsia="仿宋" w:cs="Times New Roman"/>
                <w:sz w:val="24"/>
                <w:szCs w:val="24"/>
              </w:rPr>
            </w:pPr>
          </w:p>
        </w:tc>
        <w:tc>
          <w:tcPr>
            <w:tcW w:w="1097" w:type="dxa"/>
            <w:vAlign w:val="center"/>
          </w:tcPr>
          <w:p w14:paraId="0C255102">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992" w:type="dxa"/>
            <w:vAlign w:val="center"/>
          </w:tcPr>
          <w:p w14:paraId="7CAD1120">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888" w:type="dxa"/>
            <w:vAlign w:val="center"/>
          </w:tcPr>
          <w:p w14:paraId="23FEEAF5">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710" w:type="dxa"/>
            <w:vAlign w:val="center"/>
          </w:tcPr>
          <w:p w14:paraId="4555AD60">
            <w:pPr>
              <w:spacing w:line="280" w:lineRule="exact"/>
              <w:jc w:val="center"/>
              <w:rPr>
                <w:rFonts w:ascii="仿宋" w:hAnsi="仿宋" w:eastAsia="仿宋" w:cs="Times New Roman"/>
                <w:sz w:val="24"/>
                <w:szCs w:val="24"/>
              </w:rPr>
            </w:pPr>
          </w:p>
        </w:tc>
        <w:tc>
          <w:tcPr>
            <w:tcW w:w="709" w:type="dxa"/>
            <w:vAlign w:val="center"/>
          </w:tcPr>
          <w:p w14:paraId="43091BA3">
            <w:pPr>
              <w:spacing w:line="280" w:lineRule="exact"/>
              <w:jc w:val="center"/>
              <w:rPr>
                <w:rFonts w:ascii="仿宋" w:hAnsi="仿宋" w:eastAsia="仿宋" w:cs="Times New Roman"/>
                <w:sz w:val="24"/>
                <w:szCs w:val="24"/>
              </w:rPr>
            </w:pPr>
          </w:p>
        </w:tc>
        <w:tc>
          <w:tcPr>
            <w:tcW w:w="708" w:type="dxa"/>
            <w:vAlign w:val="center"/>
          </w:tcPr>
          <w:p w14:paraId="7ADD131A">
            <w:pPr>
              <w:spacing w:line="280" w:lineRule="exact"/>
              <w:jc w:val="center"/>
              <w:rPr>
                <w:rFonts w:ascii="仿宋" w:hAnsi="仿宋" w:eastAsia="仿宋" w:cs="Times New Roman"/>
                <w:sz w:val="24"/>
                <w:szCs w:val="24"/>
              </w:rPr>
            </w:pPr>
          </w:p>
        </w:tc>
        <w:tc>
          <w:tcPr>
            <w:tcW w:w="933" w:type="dxa"/>
            <w:vAlign w:val="center"/>
          </w:tcPr>
          <w:p w14:paraId="2CB9B1EC">
            <w:pPr>
              <w:spacing w:line="280" w:lineRule="exact"/>
              <w:jc w:val="center"/>
              <w:rPr>
                <w:rFonts w:ascii="仿宋" w:hAnsi="仿宋" w:eastAsia="仿宋" w:cs="Times New Roman"/>
                <w:sz w:val="24"/>
                <w:szCs w:val="24"/>
              </w:rPr>
            </w:pPr>
          </w:p>
        </w:tc>
      </w:tr>
      <w:tr w14:paraId="57C1C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9" w:hRule="atLeast"/>
          <w:jc w:val="center"/>
        </w:trPr>
        <w:tc>
          <w:tcPr>
            <w:tcW w:w="1730" w:type="dxa"/>
            <w:vAlign w:val="center"/>
          </w:tcPr>
          <w:p w14:paraId="52415488">
            <w:pPr>
              <w:spacing w:line="280" w:lineRule="exact"/>
              <w:jc w:val="center"/>
              <w:rPr>
                <w:rFonts w:ascii="仿宋" w:hAnsi="仿宋" w:eastAsia="仿宋" w:cs="Times New Roman"/>
                <w:sz w:val="24"/>
                <w:szCs w:val="24"/>
              </w:rPr>
            </w:pPr>
            <w:r>
              <w:rPr>
                <w:rFonts w:hint="eastAsia" w:ascii="仿宋" w:hAnsi="仿宋" w:eastAsia="仿宋"/>
                <w:sz w:val="24"/>
                <w:szCs w:val="24"/>
              </w:rPr>
              <w:t>日常公用经费</w:t>
            </w:r>
          </w:p>
        </w:tc>
        <w:tc>
          <w:tcPr>
            <w:tcW w:w="992" w:type="dxa"/>
            <w:vAlign w:val="center"/>
          </w:tcPr>
          <w:p w14:paraId="13CD35F6">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1134" w:type="dxa"/>
            <w:vAlign w:val="center"/>
          </w:tcPr>
          <w:p w14:paraId="5CF893BE">
            <w:pPr>
              <w:spacing w:line="280" w:lineRule="exact"/>
              <w:jc w:val="center"/>
              <w:rPr>
                <w:rFonts w:ascii="仿宋" w:hAnsi="仿宋" w:eastAsia="仿宋" w:cs="Times New Roman"/>
                <w:sz w:val="24"/>
                <w:szCs w:val="24"/>
              </w:rPr>
            </w:pPr>
            <w:r>
              <w:rPr>
                <w:rFonts w:ascii="仿宋" w:hAnsi="仿宋" w:eastAsia="仿宋" w:cs="Times New Roman"/>
                <w:sz w:val="24"/>
                <w:szCs w:val="24"/>
              </w:rPr>
              <w:t>计算机</w:t>
            </w:r>
          </w:p>
        </w:tc>
        <w:tc>
          <w:tcPr>
            <w:tcW w:w="992" w:type="dxa"/>
            <w:vAlign w:val="center"/>
          </w:tcPr>
          <w:p w14:paraId="14478923">
            <w:pPr>
              <w:spacing w:line="280" w:lineRule="exact"/>
              <w:jc w:val="center"/>
              <w:rPr>
                <w:rFonts w:ascii="仿宋" w:hAnsi="仿宋" w:eastAsia="仿宋" w:cs="Times New Roman"/>
                <w:sz w:val="24"/>
                <w:szCs w:val="24"/>
              </w:rPr>
            </w:pPr>
          </w:p>
        </w:tc>
        <w:tc>
          <w:tcPr>
            <w:tcW w:w="851" w:type="dxa"/>
            <w:vAlign w:val="center"/>
          </w:tcPr>
          <w:p w14:paraId="2BB55603">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台</w:t>
            </w:r>
          </w:p>
        </w:tc>
        <w:tc>
          <w:tcPr>
            <w:tcW w:w="708" w:type="dxa"/>
            <w:vAlign w:val="center"/>
          </w:tcPr>
          <w:p w14:paraId="1FF439C9">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16</w:t>
            </w:r>
          </w:p>
        </w:tc>
        <w:tc>
          <w:tcPr>
            <w:tcW w:w="708" w:type="dxa"/>
            <w:vAlign w:val="center"/>
          </w:tcPr>
          <w:p w14:paraId="4FA036D5">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0.4</w:t>
            </w:r>
          </w:p>
        </w:tc>
        <w:tc>
          <w:tcPr>
            <w:tcW w:w="1097" w:type="dxa"/>
            <w:vAlign w:val="center"/>
          </w:tcPr>
          <w:p w14:paraId="5FF47A94">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992" w:type="dxa"/>
            <w:vAlign w:val="center"/>
          </w:tcPr>
          <w:p w14:paraId="34AD2885">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888" w:type="dxa"/>
            <w:vAlign w:val="center"/>
          </w:tcPr>
          <w:p w14:paraId="33540D70">
            <w:pPr>
              <w:spacing w:line="280" w:lineRule="exact"/>
              <w:jc w:val="center"/>
              <w:rPr>
                <w:rFonts w:ascii="仿宋" w:hAnsi="仿宋" w:eastAsia="仿宋" w:cs="Times New Roman"/>
                <w:sz w:val="24"/>
                <w:szCs w:val="24"/>
              </w:rPr>
            </w:pPr>
            <w:r>
              <w:rPr>
                <w:rFonts w:hint="eastAsia" w:ascii="仿宋" w:hAnsi="仿宋" w:eastAsia="仿宋" w:cs="Times New Roman"/>
                <w:sz w:val="24"/>
                <w:szCs w:val="24"/>
              </w:rPr>
              <w:t>6.4</w:t>
            </w:r>
          </w:p>
        </w:tc>
        <w:tc>
          <w:tcPr>
            <w:tcW w:w="710" w:type="dxa"/>
            <w:vAlign w:val="center"/>
          </w:tcPr>
          <w:p w14:paraId="222A6FA3">
            <w:pPr>
              <w:spacing w:line="280" w:lineRule="exact"/>
              <w:jc w:val="center"/>
              <w:rPr>
                <w:rFonts w:ascii="仿宋" w:hAnsi="仿宋" w:eastAsia="仿宋" w:cs="Times New Roman"/>
                <w:sz w:val="24"/>
                <w:szCs w:val="24"/>
              </w:rPr>
            </w:pPr>
          </w:p>
        </w:tc>
        <w:tc>
          <w:tcPr>
            <w:tcW w:w="709" w:type="dxa"/>
            <w:vAlign w:val="center"/>
          </w:tcPr>
          <w:p w14:paraId="7ABF6766">
            <w:pPr>
              <w:spacing w:line="280" w:lineRule="exact"/>
              <w:jc w:val="center"/>
              <w:rPr>
                <w:rFonts w:ascii="仿宋" w:hAnsi="仿宋" w:eastAsia="仿宋" w:cs="Times New Roman"/>
                <w:sz w:val="24"/>
                <w:szCs w:val="24"/>
              </w:rPr>
            </w:pPr>
          </w:p>
        </w:tc>
        <w:tc>
          <w:tcPr>
            <w:tcW w:w="708" w:type="dxa"/>
            <w:vAlign w:val="center"/>
          </w:tcPr>
          <w:p w14:paraId="2F2CC134">
            <w:pPr>
              <w:spacing w:line="280" w:lineRule="exact"/>
              <w:jc w:val="center"/>
              <w:rPr>
                <w:rFonts w:ascii="仿宋" w:hAnsi="仿宋" w:eastAsia="仿宋" w:cs="Times New Roman"/>
                <w:sz w:val="24"/>
                <w:szCs w:val="24"/>
              </w:rPr>
            </w:pPr>
          </w:p>
        </w:tc>
        <w:tc>
          <w:tcPr>
            <w:tcW w:w="933" w:type="dxa"/>
            <w:vAlign w:val="center"/>
          </w:tcPr>
          <w:p w14:paraId="064D5840">
            <w:pPr>
              <w:spacing w:line="280" w:lineRule="exact"/>
              <w:jc w:val="center"/>
              <w:rPr>
                <w:rFonts w:ascii="仿宋" w:hAnsi="仿宋" w:eastAsia="仿宋" w:cs="Times New Roman"/>
                <w:sz w:val="24"/>
                <w:szCs w:val="24"/>
              </w:rPr>
            </w:pPr>
          </w:p>
        </w:tc>
      </w:tr>
    </w:tbl>
    <w:p w14:paraId="02B87C4C">
      <w:pPr>
        <w:spacing w:line="560" w:lineRule="exact"/>
        <w:jc w:val="center"/>
        <w:outlineLvl w:val="0"/>
        <w:rPr>
          <w:rFonts w:ascii="仿宋" w:hAnsi="仿宋" w:eastAsia="仿宋" w:cs="Times New Roman"/>
          <w:sz w:val="32"/>
          <w:szCs w:val="32"/>
        </w:rPr>
      </w:pPr>
    </w:p>
    <w:p w14:paraId="4E866822">
      <w:pPr>
        <w:autoSpaceDE w:val="0"/>
        <w:autoSpaceDN w:val="0"/>
        <w:adjustRightInd w:val="0"/>
        <w:spacing w:line="560" w:lineRule="exact"/>
        <w:jc w:val="left"/>
        <w:rPr>
          <w:rFonts w:ascii="黑体" w:hAnsi="黑体" w:eastAsia="黑体" w:cs="Times New Roman"/>
          <w:sz w:val="32"/>
          <w:szCs w:val="32"/>
        </w:rPr>
      </w:pPr>
      <w:r>
        <w:rPr>
          <w:rFonts w:hint="eastAsia" w:ascii="Calibri" w:hAnsi="Calibri" w:eastAsia="仿宋_GB2312" w:cs="Calibri"/>
          <w:b/>
          <w:kern w:val="0"/>
          <w:sz w:val="32"/>
          <w:szCs w:val="32"/>
        </w:rPr>
        <w:t xml:space="preserve"> </w:t>
      </w:r>
      <w:r>
        <w:rPr>
          <w:rFonts w:hint="eastAsia" w:ascii="黑体" w:hAnsi="黑体" w:eastAsia="黑体" w:cs="黑体"/>
          <w:sz w:val="32"/>
          <w:szCs w:val="32"/>
        </w:rPr>
        <w:t>七、国有资产信息</w:t>
      </w:r>
    </w:p>
    <w:p w14:paraId="58DB11CA">
      <w:pPr>
        <w:spacing w:line="560" w:lineRule="exact"/>
        <w:ind w:firstLine="640"/>
        <w:rPr>
          <w:rFonts w:ascii="仿宋_GB2312" w:hAnsi="黑体" w:eastAsia="仿宋_GB2312" w:cs="Times New Roman"/>
          <w:sz w:val="32"/>
          <w:szCs w:val="32"/>
        </w:rPr>
      </w:pPr>
      <w:r>
        <w:rPr>
          <w:rFonts w:hint="eastAsia" w:ascii="仿宋_GB2312" w:hAnsi="黑体" w:eastAsia="仿宋_GB2312" w:cs="仿宋_GB2312"/>
          <w:sz w:val="32"/>
          <w:szCs w:val="32"/>
        </w:rPr>
        <w:t>我单位上年末固定资产金额为29.52万元，本年度拟购置固定资产主要为计算机设备、打印设备、空调、办公家具等，已列入政府采购预算。详见下表。</w:t>
      </w:r>
    </w:p>
    <w:tbl>
      <w:tblPr>
        <w:tblStyle w:val="7"/>
        <w:tblW w:w="4249" w:type="pct"/>
        <w:tblInd w:w="959" w:type="dxa"/>
        <w:tblLayout w:type="autofit"/>
        <w:tblCellMar>
          <w:top w:w="0" w:type="dxa"/>
          <w:left w:w="108" w:type="dxa"/>
          <w:bottom w:w="0" w:type="dxa"/>
          <w:right w:w="108" w:type="dxa"/>
        </w:tblCellMar>
      </w:tblPr>
      <w:tblGrid>
        <w:gridCol w:w="5795"/>
        <w:gridCol w:w="1416"/>
        <w:gridCol w:w="5547"/>
      </w:tblGrid>
      <w:tr w14:paraId="02241EDB">
        <w:tblPrEx>
          <w:tblCellMar>
            <w:top w:w="0" w:type="dxa"/>
            <w:left w:w="108" w:type="dxa"/>
            <w:bottom w:w="0" w:type="dxa"/>
            <w:right w:w="108" w:type="dxa"/>
          </w:tblCellMar>
        </w:tblPrEx>
        <w:trPr>
          <w:trHeight w:val="705" w:hRule="atLeast"/>
        </w:trPr>
        <w:tc>
          <w:tcPr>
            <w:tcW w:w="5000" w:type="pct"/>
            <w:gridSpan w:val="3"/>
            <w:tcBorders>
              <w:top w:val="nil"/>
              <w:left w:val="nil"/>
              <w:bottom w:val="nil"/>
              <w:right w:val="nil"/>
            </w:tcBorders>
            <w:noWrap/>
            <w:vAlign w:val="center"/>
          </w:tcPr>
          <w:p w14:paraId="622CAFF2">
            <w:pPr>
              <w:widowControl/>
              <w:ind w:firstLine="2715" w:firstLineChars="845"/>
              <w:rPr>
                <w:rFonts w:ascii="宋体" w:hAnsi="宋体" w:eastAsia="宋体" w:cs="宋体"/>
                <w:b/>
                <w:bCs/>
                <w:kern w:val="0"/>
                <w:sz w:val="32"/>
                <w:szCs w:val="32"/>
              </w:rPr>
            </w:pPr>
          </w:p>
          <w:p w14:paraId="77BE8208">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部门固定资产占用情况表</w:t>
            </w:r>
          </w:p>
          <w:p w14:paraId="19DEC742">
            <w:pPr>
              <w:widowControl/>
              <w:rPr>
                <w:rFonts w:ascii="宋体" w:hAnsi="宋体" w:eastAsia="宋体" w:cs="Times New Roman"/>
                <w:b/>
                <w:bCs/>
                <w:kern w:val="0"/>
                <w:sz w:val="10"/>
                <w:szCs w:val="10"/>
              </w:rPr>
            </w:pPr>
          </w:p>
        </w:tc>
      </w:tr>
      <w:tr w14:paraId="20649068">
        <w:tblPrEx>
          <w:tblCellMar>
            <w:top w:w="0" w:type="dxa"/>
            <w:left w:w="108" w:type="dxa"/>
            <w:bottom w:w="0" w:type="dxa"/>
            <w:right w:w="108" w:type="dxa"/>
          </w:tblCellMar>
        </w:tblPrEx>
        <w:trPr>
          <w:trHeight w:val="510" w:hRule="atLeast"/>
        </w:trPr>
        <w:tc>
          <w:tcPr>
            <w:tcW w:w="2826" w:type="pct"/>
            <w:gridSpan w:val="2"/>
            <w:tcBorders>
              <w:top w:val="nil"/>
              <w:left w:val="nil"/>
              <w:bottom w:val="nil"/>
              <w:right w:val="nil"/>
            </w:tcBorders>
            <w:noWrap/>
            <w:vAlign w:val="center"/>
          </w:tcPr>
          <w:p w14:paraId="5B0C1383">
            <w:pPr>
              <w:widowControl/>
              <w:jc w:val="left"/>
              <w:rPr>
                <w:rFonts w:ascii="仿宋" w:hAnsi="仿宋" w:eastAsia="仿宋" w:cs="Times New Roman"/>
                <w:kern w:val="0"/>
                <w:sz w:val="32"/>
                <w:szCs w:val="32"/>
              </w:rPr>
            </w:pPr>
            <w:r>
              <w:rPr>
                <w:rFonts w:hint="eastAsia" w:ascii="仿宋" w:hAnsi="仿宋" w:eastAsia="仿宋" w:cs="宋体"/>
                <w:kern w:val="0"/>
                <w:sz w:val="32"/>
                <w:szCs w:val="32"/>
              </w:rPr>
              <w:t>编制部门：319成安县审计局</w:t>
            </w:r>
          </w:p>
        </w:tc>
        <w:tc>
          <w:tcPr>
            <w:tcW w:w="2174" w:type="pct"/>
            <w:tcBorders>
              <w:top w:val="nil"/>
              <w:left w:val="nil"/>
              <w:bottom w:val="nil"/>
              <w:right w:val="nil"/>
            </w:tcBorders>
            <w:noWrap/>
            <w:vAlign w:val="center"/>
          </w:tcPr>
          <w:p w14:paraId="0403A489">
            <w:pPr>
              <w:widowControl/>
              <w:jc w:val="left"/>
              <w:rPr>
                <w:rFonts w:ascii="仿宋" w:hAnsi="仿宋" w:eastAsia="仿宋" w:cs="宋体"/>
                <w:kern w:val="0"/>
                <w:sz w:val="32"/>
                <w:szCs w:val="32"/>
              </w:rPr>
            </w:pPr>
            <w:r>
              <w:rPr>
                <w:rFonts w:hint="eastAsia" w:ascii="仿宋" w:hAnsi="仿宋" w:eastAsia="仿宋" w:cs="宋体"/>
                <w:kern w:val="0"/>
                <w:sz w:val="32"/>
                <w:szCs w:val="32"/>
              </w:rPr>
              <w:t>截止时间：</w:t>
            </w:r>
            <w:r>
              <w:rPr>
                <w:rFonts w:ascii="仿宋" w:hAnsi="仿宋" w:eastAsia="仿宋" w:cs="宋体"/>
                <w:kern w:val="0"/>
                <w:sz w:val="32"/>
                <w:szCs w:val="32"/>
              </w:rPr>
              <w:t>2016</w:t>
            </w:r>
            <w:r>
              <w:rPr>
                <w:rFonts w:hint="eastAsia" w:ascii="仿宋" w:hAnsi="仿宋" w:eastAsia="仿宋" w:cs="宋体"/>
                <w:kern w:val="0"/>
                <w:sz w:val="32"/>
                <w:szCs w:val="32"/>
              </w:rPr>
              <w:t>年</w:t>
            </w:r>
            <w:r>
              <w:rPr>
                <w:rFonts w:ascii="仿宋" w:hAnsi="仿宋" w:eastAsia="仿宋" w:cs="宋体"/>
                <w:kern w:val="0"/>
                <w:sz w:val="32"/>
                <w:szCs w:val="32"/>
              </w:rPr>
              <w:t>12</w:t>
            </w:r>
            <w:r>
              <w:rPr>
                <w:rFonts w:hint="eastAsia" w:ascii="仿宋" w:hAnsi="仿宋" w:eastAsia="仿宋" w:cs="宋体"/>
                <w:kern w:val="0"/>
                <w:sz w:val="32"/>
                <w:szCs w:val="32"/>
              </w:rPr>
              <w:t>月</w:t>
            </w:r>
            <w:r>
              <w:rPr>
                <w:rFonts w:ascii="仿宋" w:hAnsi="仿宋" w:eastAsia="仿宋" w:cs="宋体"/>
                <w:kern w:val="0"/>
                <w:sz w:val="32"/>
                <w:szCs w:val="32"/>
              </w:rPr>
              <w:t>31</w:t>
            </w:r>
            <w:r>
              <w:rPr>
                <w:rFonts w:hint="eastAsia" w:ascii="仿宋" w:hAnsi="仿宋" w:eastAsia="仿宋" w:cs="宋体"/>
                <w:kern w:val="0"/>
                <w:sz w:val="32"/>
                <w:szCs w:val="32"/>
              </w:rPr>
              <w:t>日</w:t>
            </w:r>
            <w:r>
              <w:rPr>
                <w:rFonts w:ascii="仿宋" w:hAnsi="仿宋" w:eastAsia="仿宋" w:cs="宋体"/>
                <w:kern w:val="0"/>
                <w:sz w:val="32"/>
                <w:szCs w:val="32"/>
              </w:rPr>
              <w:t xml:space="preserve">  </w:t>
            </w:r>
          </w:p>
        </w:tc>
      </w:tr>
      <w:tr w14:paraId="1394E606">
        <w:tblPrEx>
          <w:tblCellMar>
            <w:top w:w="0" w:type="dxa"/>
            <w:left w:w="108" w:type="dxa"/>
            <w:bottom w:w="0" w:type="dxa"/>
            <w:right w:w="108" w:type="dxa"/>
          </w:tblCellMar>
        </w:tblPrEx>
        <w:trPr>
          <w:trHeight w:val="645" w:hRule="atLeast"/>
        </w:trPr>
        <w:tc>
          <w:tcPr>
            <w:tcW w:w="2271" w:type="pct"/>
            <w:tcBorders>
              <w:top w:val="single" w:color="auto" w:sz="4" w:space="0"/>
              <w:left w:val="single" w:color="auto" w:sz="4" w:space="0"/>
              <w:bottom w:val="single" w:color="auto" w:sz="4" w:space="0"/>
              <w:right w:val="single" w:color="auto" w:sz="4" w:space="0"/>
            </w:tcBorders>
            <w:noWrap/>
            <w:vAlign w:val="center"/>
          </w:tcPr>
          <w:p w14:paraId="673C5382">
            <w:pPr>
              <w:widowControl/>
              <w:jc w:val="center"/>
              <w:rPr>
                <w:rFonts w:ascii="仿宋" w:hAnsi="仿宋" w:eastAsia="仿宋" w:cs="Times New Roman"/>
                <w:b/>
                <w:bCs/>
                <w:kern w:val="0"/>
                <w:sz w:val="32"/>
                <w:szCs w:val="32"/>
              </w:rPr>
            </w:pPr>
            <w:r>
              <w:rPr>
                <w:rFonts w:hint="eastAsia" w:ascii="仿宋" w:hAnsi="仿宋" w:eastAsia="仿宋" w:cs="宋体"/>
                <w:b/>
                <w:bCs/>
                <w:kern w:val="0"/>
                <w:sz w:val="32"/>
                <w:szCs w:val="32"/>
              </w:rPr>
              <w:t>项</w:t>
            </w:r>
            <w:r>
              <w:rPr>
                <w:rFonts w:ascii="仿宋" w:hAnsi="仿宋" w:eastAsia="仿宋" w:cs="宋体"/>
                <w:b/>
                <w:bCs/>
                <w:kern w:val="0"/>
                <w:sz w:val="32"/>
                <w:szCs w:val="32"/>
              </w:rPr>
              <w:t xml:space="preserve">   </w:t>
            </w:r>
            <w:r>
              <w:rPr>
                <w:rFonts w:hint="eastAsia" w:ascii="仿宋" w:hAnsi="仿宋" w:eastAsia="仿宋" w:cs="宋体"/>
                <w:b/>
                <w:bCs/>
                <w:kern w:val="0"/>
                <w:sz w:val="32"/>
                <w:szCs w:val="32"/>
              </w:rPr>
              <w:t>目</w:t>
            </w:r>
          </w:p>
        </w:tc>
        <w:tc>
          <w:tcPr>
            <w:tcW w:w="555" w:type="pct"/>
            <w:tcBorders>
              <w:top w:val="single" w:color="auto" w:sz="4" w:space="0"/>
              <w:left w:val="nil"/>
              <w:bottom w:val="single" w:color="auto" w:sz="4" w:space="0"/>
              <w:right w:val="single" w:color="auto" w:sz="4" w:space="0"/>
            </w:tcBorders>
            <w:noWrap/>
            <w:vAlign w:val="center"/>
          </w:tcPr>
          <w:p w14:paraId="206BF9F6">
            <w:pPr>
              <w:widowControl/>
              <w:jc w:val="center"/>
              <w:rPr>
                <w:rFonts w:ascii="仿宋" w:hAnsi="仿宋" w:eastAsia="仿宋" w:cs="Times New Roman"/>
                <w:b/>
                <w:bCs/>
                <w:kern w:val="0"/>
                <w:sz w:val="32"/>
                <w:szCs w:val="32"/>
              </w:rPr>
            </w:pPr>
            <w:r>
              <w:rPr>
                <w:rFonts w:hint="eastAsia" w:ascii="仿宋" w:hAnsi="仿宋" w:eastAsia="仿宋" w:cs="宋体"/>
                <w:b/>
                <w:bCs/>
                <w:kern w:val="0"/>
                <w:sz w:val="32"/>
                <w:szCs w:val="32"/>
              </w:rPr>
              <w:t>数量</w:t>
            </w:r>
          </w:p>
        </w:tc>
        <w:tc>
          <w:tcPr>
            <w:tcW w:w="2174" w:type="pct"/>
            <w:tcBorders>
              <w:top w:val="single" w:color="auto" w:sz="4" w:space="0"/>
              <w:left w:val="nil"/>
              <w:bottom w:val="single" w:color="auto" w:sz="4" w:space="0"/>
              <w:right w:val="single" w:color="auto" w:sz="4" w:space="0"/>
            </w:tcBorders>
            <w:noWrap/>
            <w:vAlign w:val="center"/>
          </w:tcPr>
          <w:p w14:paraId="366C0BFE">
            <w:pPr>
              <w:widowControl/>
              <w:jc w:val="center"/>
              <w:rPr>
                <w:rFonts w:ascii="仿宋" w:hAnsi="仿宋" w:eastAsia="仿宋" w:cs="Times New Roman"/>
                <w:b/>
                <w:bCs/>
                <w:kern w:val="0"/>
                <w:sz w:val="32"/>
                <w:szCs w:val="32"/>
              </w:rPr>
            </w:pPr>
            <w:r>
              <w:rPr>
                <w:rFonts w:hint="eastAsia" w:ascii="仿宋" w:hAnsi="仿宋" w:eastAsia="仿宋" w:cs="宋体"/>
                <w:b/>
                <w:bCs/>
                <w:kern w:val="0"/>
                <w:sz w:val="32"/>
                <w:szCs w:val="32"/>
              </w:rPr>
              <w:t>价值（金额单位：万元）</w:t>
            </w:r>
          </w:p>
        </w:tc>
      </w:tr>
      <w:tr w14:paraId="2538E2EA">
        <w:tblPrEx>
          <w:tblCellMar>
            <w:top w:w="0" w:type="dxa"/>
            <w:left w:w="108" w:type="dxa"/>
            <w:bottom w:w="0" w:type="dxa"/>
            <w:right w:w="108" w:type="dxa"/>
          </w:tblCellMar>
        </w:tblPrEx>
        <w:trPr>
          <w:trHeight w:val="645" w:hRule="atLeast"/>
        </w:trPr>
        <w:tc>
          <w:tcPr>
            <w:tcW w:w="2271" w:type="pct"/>
            <w:tcBorders>
              <w:top w:val="nil"/>
              <w:left w:val="single" w:color="auto" w:sz="4" w:space="0"/>
              <w:bottom w:val="single" w:color="auto" w:sz="4" w:space="0"/>
              <w:right w:val="single" w:color="auto" w:sz="4" w:space="0"/>
            </w:tcBorders>
            <w:noWrap/>
            <w:vAlign w:val="center"/>
          </w:tcPr>
          <w:p w14:paraId="65DAC50E">
            <w:pPr>
              <w:widowControl/>
              <w:jc w:val="center"/>
              <w:rPr>
                <w:rFonts w:ascii="仿宋" w:hAnsi="仿宋" w:eastAsia="仿宋" w:cs="Times New Roman"/>
                <w:kern w:val="0"/>
                <w:sz w:val="32"/>
                <w:szCs w:val="32"/>
              </w:rPr>
            </w:pPr>
            <w:r>
              <w:rPr>
                <w:rFonts w:hint="eastAsia" w:ascii="仿宋" w:hAnsi="仿宋" w:eastAsia="仿宋" w:cs="宋体"/>
                <w:kern w:val="0"/>
                <w:sz w:val="32"/>
                <w:szCs w:val="32"/>
              </w:rPr>
              <w:t>资产总额</w:t>
            </w:r>
          </w:p>
        </w:tc>
        <w:tc>
          <w:tcPr>
            <w:tcW w:w="555" w:type="pct"/>
            <w:tcBorders>
              <w:top w:val="nil"/>
              <w:left w:val="nil"/>
              <w:bottom w:val="single" w:color="auto" w:sz="4" w:space="0"/>
              <w:right w:val="single" w:color="auto" w:sz="4" w:space="0"/>
            </w:tcBorders>
            <w:noWrap/>
            <w:vAlign w:val="center"/>
          </w:tcPr>
          <w:p w14:paraId="6DAF088A">
            <w:pPr>
              <w:widowControl/>
              <w:jc w:val="center"/>
              <w:rPr>
                <w:rFonts w:ascii="仿宋" w:hAnsi="仿宋" w:eastAsia="仿宋" w:cs="宋体"/>
                <w:kern w:val="0"/>
                <w:sz w:val="32"/>
                <w:szCs w:val="32"/>
              </w:rPr>
            </w:pPr>
            <w:r>
              <w:rPr>
                <w:rFonts w:ascii="仿宋" w:hAnsi="仿宋" w:eastAsia="仿宋" w:cs="宋体"/>
                <w:kern w:val="0"/>
                <w:sz w:val="32"/>
                <w:szCs w:val="32"/>
              </w:rPr>
              <w:t>——</w:t>
            </w:r>
          </w:p>
        </w:tc>
        <w:tc>
          <w:tcPr>
            <w:tcW w:w="2174" w:type="pct"/>
            <w:tcBorders>
              <w:top w:val="nil"/>
              <w:left w:val="nil"/>
              <w:bottom w:val="single" w:color="auto" w:sz="4" w:space="0"/>
              <w:right w:val="single" w:color="auto" w:sz="4" w:space="0"/>
            </w:tcBorders>
            <w:noWrap/>
            <w:vAlign w:val="center"/>
          </w:tcPr>
          <w:p w14:paraId="29E85AA1">
            <w:pPr>
              <w:widowControl/>
              <w:jc w:val="center"/>
              <w:rPr>
                <w:rFonts w:ascii="仿宋" w:hAnsi="仿宋" w:eastAsia="仿宋" w:cs="宋体"/>
                <w:kern w:val="0"/>
                <w:sz w:val="32"/>
                <w:szCs w:val="32"/>
              </w:rPr>
            </w:pPr>
          </w:p>
        </w:tc>
      </w:tr>
      <w:tr w14:paraId="5BD7B988">
        <w:tblPrEx>
          <w:tblCellMar>
            <w:top w:w="0" w:type="dxa"/>
            <w:left w:w="108" w:type="dxa"/>
            <w:bottom w:w="0" w:type="dxa"/>
            <w:right w:w="108" w:type="dxa"/>
          </w:tblCellMar>
        </w:tblPrEx>
        <w:trPr>
          <w:trHeight w:val="645" w:hRule="atLeast"/>
        </w:trPr>
        <w:tc>
          <w:tcPr>
            <w:tcW w:w="2271" w:type="pct"/>
            <w:tcBorders>
              <w:top w:val="nil"/>
              <w:left w:val="single" w:color="auto" w:sz="4" w:space="0"/>
              <w:bottom w:val="single" w:color="auto" w:sz="4" w:space="0"/>
              <w:right w:val="single" w:color="auto" w:sz="4" w:space="0"/>
            </w:tcBorders>
            <w:noWrap/>
            <w:vAlign w:val="center"/>
          </w:tcPr>
          <w:p w14:paraId="77D3DF8F">
            <w:pPr>
              <w:widowControl/>
              <w:jc w:val="left"/>
              <w:rPr>
                <w:rFonts w:ascii="仿宋" w:hAnsi="仿宋" w:eastAsia="仿宋" w:cs="Times New Roman"/>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、房屋（平方米）</w:t>
            </w:r>
          </w:p>
        </w:tc>
        <w:tc>
          <w:tcPr>
            <w:tcW w:w="555" w:type="pct"/>
            <w:tcBorders>
              <w:top w:val="nil"/>
              <w:left w:val="nil"/>
              <w:bottom w:val="single" w:color="auto" w:sz="4" w:space="0"/>
              <w:right w:val="single" w:color="auto" w:sz="4" w:space="0"/>
            </w:tcBorders>
            <w:noWrap/>
            <w:vAlign w:val="center"/>
          </w:tcPr>
          <w:p w14:paraId="74344D7D">
            <w:pPr>
              <w:widowControl/>
              <w:jc w:val="center"/>
              <w:rPr>
                <w:rFonts w:ascii="仿宋" w:hAnsi="仿宋" w:eastAsia="仿宋" w:cs="Times New Roman"/>
                <w:kern w:val="0"/>
                <w:sz w:val="32"/>
                <w:szCs w:val="32"/>
              </w:rPr>
            </w:pPr>
          </w:p>
        </w:tc>
        <w:tc>
          <w:tcPr>
            <w:tcW w:w="2174" w:type="pct"/>
            <w:tcBorders>
              <w:top w:val="nil"/>
              <w:left w:val="nil"/>
              <w:bottom w:val="single" w:color="auto" w:sz="4" w:space="0"/>
              <w:right w:val="single" w:color="auto" w:sz="4" w:space="0"/>
            </w:tcBorders>
            <w:noWrap/>
            <w:vAlign w:val="center"/>
          </w:tcPr>
          <w:p w14:paraId="523A265D">
            <w:pPr>
              <w:widowControl/>
              <w:jc w:val="center"/>
              <w:rPr>
                <w:rFonts w:ascii="仿宋" w:hAnsi="仿宋" w:eastAsia="仿宋" w:cs="Times New Roman"/>
                <w:kern w:val="0"/>
                <w:sz w:val="32"/>
                <w:szCs w:val="32"/>
              </w:rPr>
            </w:pPr>
          </w:p>
        </w:tc>
      </w:tr>
      <w:tr w14:paraId="48833FDE">
        <w:tblPrEx>
          <w:tblCellMar>
            <w:top w:w="0" w:type="dxa"/>
            <w:left w:w="108" w:type="dxa"/>
            <w:bottom w:w="0" w:type="dxa"/>
            <w:right w:w="108" w:type="dxa"/>
          </w:tblCellMar>
        </w:tblPrEx>
        <w:trPr>
          <w:trHeight w:val="645" w:hRule="atLeast"/>
        </w:trPr>
        <w:tc>
          <w:tcPr>
            <w:tcW w:w="2271" w:type="pct"/>
            <w:tcBorders>
              <w:top w:val="nil"/>
              <w:left w:val="single" w:color="auto" w:sz="4" w:space="0"/>
              <w:bottom w:val="single" w:color="auto" w:sz="4" w:space="0"/>
              <w:right w:val="single" w:color="auto" w:sz="4" w:space="0"/>
            </w:tcBorders>
            <w:noWrap/>
            <w:vAlign w:val="center"/>
          </w:tcPr>
          <w:p w14:paraId="28BC6642">
            <w:pPr>
              <w:widowControl/>
              <w:jc w:val="left"/>
              <w:rPr>
                <w:rFonts w:ascii="仿宋" w:hAnsi="仿宋" w:eastAsia="仿宋" w:cs="Times New Roman"/>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其中：办公用房（平方米）</w:t>
            </w:r>
          </w:p>
        </w:tc>
        <w:tc>
          <w:tcPr>
            <w:tcW w:w="555" w:type="pct"/>
            <w:tcBorders>
              <w:top w:val="nil"/>
              <w:left w:val="nil"/>
              <w:bottom w:val="single" w:color="auto" w:sz="4" w:space="0"/>
              <w:right w:val="single" w:color="auto" w:sz="4" w:space="0"/>
            </w:tcBorders>
            <w:noWrap/>
            <w:vAlign w:val="center"/>
          </w:tcPr>
          <w:p w14:paraId="6EE1E62A">
            <w:pPr>
              <w:widowControl/>
              <w:jc w:val="center"/>
              <w:rPr>
                <w:rFonts w:ascii="仿宋" w:hAnsi="仿宋" w:eastAsia="仿宋" w:cs="Times New Roman"/>
                <w:kern w:val="0"/>
                <w:sz w:val="32"/>
                <w:szCs w:val="32"/>
              </w:rPr>
            </w:pPr>
          </w:p>
        </w:tc>
        <w:tc>
          <w:tcPr>
            <w:tcW w:w="2174" w:type="pct"/>
            <w:tcBorders>
              <w:top w:val="nil"/>
              <w:left w:val="nil"/>
              <w:bottom w:val="single" w:color="auto" w:sz="4" w:space="0"/>
              <w:right w:val="single" w:color="auto" w:sz="4" w:space="0"/>
            </w:tcBorders>
            <w:noWrap/>
            <w:vAlign w:val="center"/>
          </w:tcPr>
          <w:p w14:paraId="012DB3D3">
            <w:pPr>
              <w:widowControl/>
              <w:jc w:val="center"/>
              <w:rPr>
                <w:rFonts w:ascii="仿宋" w:hAnsi="仿宋" w:eastAsia="仿宋" w:cs="Times New Roman"/>
                <w:kern w:val="0"/>
                <w:sz w:val="32"/>
                <w:szCs w:val="32"/>
              </w:rPr>
            </w:pPr>
          </w:p>
        </w:tc>
      </w:tr>
      <w:tr w14:paraId="4390C753">
        <w:tblPrEx>
          <w:tblCellMar>
            <w:top w:w="0" w:type="dxa"/>
            <w:left w:w="108" w:type="dxa"/>
            <w:bottom w:w="0" w:type="dxa"/>
            <w:right w:w="108" w:type="dxa"/>
          </w:tblCellMar>
        </w:tblPrEx>
        <w:trPr>
          <w:trHeight w:val="645" w:hRule="atLeast"/>
        </w:trPr>
        <w:tc>
          <w:tcPr>
            <w:tcW w:w="2271" w:type="pct"/>
            <w:tcBorders>
              <w:top w:val="nil"/>
              <w:left w:val="single" w:color="auto" w:sz="4" w:space="0"/>
              <w:bottom w:val="single" w:color="auto" w:sz="4" w:space="0"/>
              <w:right w:val="single" w:color="auto" w:sz="4" w:space="0"/>
            </w:tcBorders>
            <w:noWrap/>
            <w:vAlign w:val="center"/>
          </w:tcPr>
          <w:p w14:paraId="25477AFA">
            <w:pPr>
              <w:widowControl/>
              <w:jc w:val="left"/>
              <w:rPr>
                <w:rFonts w:ascii="仿宋" w:hAnsi="仿宋" w:eastAsia="仿宋" w:cs="Times New Roman"/>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、车辆（台、辆）</w:t>
            </w:r>
          </w:p>
        </w:tc>
        <w:tc>
          <w:tcPr>
            <w:tcW w:w="555" w:type="pct"/>
            <w:tcBorders>
              <w:top w:val="nil"/>
              <w:left w:val="nil"/>
              <w:bottom w:val="single" w:color="auto" w:sz="4" w:space="0"/>
              <w:right w:val="single" w:color="auto" w:sz="4" w:space="0"/>
            </w:tcBorders>
            <w:noWrap/>
            <w:vAlign w:val="center"/>
          </w:tcPr>
          <w:p w14:paraId="0D275DDE">
            <w:pPr>
              <w:widowControl/>
              <w:jc w:val="center"/>
              <w:rPr>
                <w:rFonts w:ascii="仿宋" w:hAnsi="仿宋" w:eastAsia="仿宋" w:cs="Times New Roman"/>
                <w:kern w:val="0"/>
                <w:sz w:val="32"/>
                <w:szCs w:val="32"/>
              </w:rPr>
            </w:pPr>
            <w:r>
              <w:rPr>
                <w:rFonts w:hint="eastAsia" w:ascii="仿宋" w:hAnsi="仿宋" w:eastAsia="仿宋" w:cs="Times New Roman"/>
                <w:kern w:val="0"/>
                <w:sz w:val="32"/>
                <w:szCs w:val="32"/>
              </w:rPr>
              <w:t>1</w:t>
            </w:r>
          </w:p>
        </w:tc>
        <w:tc>
          <w:tcPr>
            <w:tcW w:w="2174" w:type="pct"/>
            <w:tcBorders>
              <w:top w:val="nil"/>
              <w:left w:val="nil"/>
              <w:bottom w:val="single" w:color="auto" w:sz="4" w:space="0"/>
              <w:right w:val="single" w:color="auto" w:sz="4" w:space="0"/>
            </w:tcBorders>
            <w:noWrap/>
            <w:vAlign w:val="center"/>
          </w:tcPr>
          <w:p w14:paraId="336F61B5">
            <w:pPr>
              <w:widowControl/>
              <w:jc w:val="center"/>
              <w:rPr>
                <w:rFonts w:ascii="仿宋" w:hAnsi="仿宋" w:eastAsia="仿宋" w:cs="Times New Roman"/>
                <w:kern w:val="0"/>
                <w:sz w:val="32"/>
                <w:szCs w:val="32"/>
              </w:rPr>
            </w:pPr>
            <w:r>
              <w:rPr>
                <w:rFonts w:hint="eastAsia" w:ascii="仿宋" w:hAnsi="仿宋" w:eastAsia="仿宋" w:cs="Times New Roman"/>
                <w:kern w:val="0"/>
                <w:sz w:val="32"/>
                <w:szCs w:val="32"/>
              </w:rPr>
              <w:t>16</w:t>
            </w:r>
          </w:p>
        </w:tc>
      </w:tr>
      <w:tr w14:paraId="523899A8">
        <w:tblPrEx>
          <w:tblCellMar>
            <w:top w:w="0" w:type="dxa"/>
            <w:left w:w="108" w:type="dxa"/>
            <w:bottom w:w="0" w:type="dxa"/>
            <w:right w:w="108" w:type="dxa"/>
          </w:tblCellMar>
        </w:tblPrEx>
        <w:trPr>
          <w:trHeight w:val="645" w:hRule="atLeast"/>
        </w:trPr>
        <w:tc>
          <w:tcPr>
            <w:tcW w:w="2271" w:type="pct"/>
            <w:tcBorders>
              <w:top w:val="nil"/>
              <w:left w:val="single" w:color="auto" w:sz="4" w:space="0"/>
              <w:bottom w:val="single" w:color="auto" w:sz="4" w:space="0"/>
              <w:right w:val="single" w:color="auto" w:sz="4" w:space="0"/>
            </w:tcBorders>
            <w:vAlign w:val="center"/>
          </w:tcPr>
          <w:p w14:paraId="21CF76A7">
            <w:pPr>
              <w:widowControl/>
              <w:jc w:val="left"/>
              <w:rPr>
                <w:rFonts w:ascii="仿宋" w:hAnsi="仿宋" w:eastAsia="仿宋" w:cs="Times New Roman"/>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、单价在</w:t>
            </w:r>
            <w:r>
              <w:rPr>
                <w:rFonts w:ascii="仿宋" w:hAnsi="仿宋" w:eastAsia="仿宋" w:cs="宋体"/>
                <w:kern w:val="0"/>
                <w:sz w:val="32"/>
                <w:szCs w:val="32"/>
              </w:rPr>
              <w:t>50</w:t>
            </w:r>
            <w:r>
              <w:rPr>
                <w:rFonts w:hint="eastAsia" w:ascii="仿宋" w:hAnsi="仿宋" w:eastAsia="仿宋" w:cs="宋体"/>
                <w:kern w:val="0"/>
                <w:sz w:val="32"/>
                <w:szCs w:val="32"/>
              </w:rPr>
              <w:t>万元以上的设备</w:t>
            </w:r>
          </w:p>
        </w:tc>
        <w:tc>
          <w:tcPr>
            <w:tcW w:w="555" w:type="pct"/>
            <w:tcBorders>
              <w:top w:val="nil"/>
              <w:left w:val="nil"/>
              <w:bottom w:val="single" w:color="auto" w:sz="4" w:space="0"/>
              <w:right w:val="single" w:color="auto" w:sz="4" w:space="0"/>
            </w:tcBorders>
            <w:noWrap/>
            <w:vAlign w:val="center"/>
          </w:tcPr>
          <w:p w14:paraId="5F08C283">
            <w:pPr>
              <w:widowControl/>
              <w:jc w:val="center"/>
              <w:rPr>
                <w:rFonts w:ascii="仿宋" w:hAnsi="仿宋" w:eastAsia="仿宋" w:cs="Times New Roman"/>
                <w:kern w:val="0"/>
                <w:sz w:val="32"/>
                <w:szCs w:val="32"/>
              </w:rPr>
            </w:pPr>
          </w:p>
        </w:tc>
        <w:tc>
          <w:tcPr>
            <w:tcW w:w="2174" w:type="pct"/>
            <w:tcBorders>
              <w:top w:val="nil"/>
              <w:left w:val="nil"/>
              <w:bottom w:val="single" w:color="auto" w:sz="4" w:space="0"/>
              <w:right w:val="single" w:color="auto" w:sz="4" w:space="0"/>
            </w:tcBorders>
            <w:noWrap/>
            <w:vAlign w:val="center"/>
          </w:tcPr>
          <w:p w14:paraId="4BE75B18">
            <w:pPr>
              <w:widowControl/>
              <w:jc w:val="center"/>
              <w:rPr>
                <w:rFonts w:ascii="仿宋" w:hAnsi="仿宋" w:eastAsia="仿宋" w:cs="Times New Roman"/>
                <w:kern w:val="0"/>
                <w:sz w:val="32"/>
                <w:szCs w:val="32"/>
              </w:rPr>
            </w:pPr>
          </w:p>
        </w:tc>
      </w:tr>
      <w:tr w14:paraId="26EF1CF3">
        <w:tblPrEx>
          <w:tblCellMar>
            <w:top w:w="0" w:type="dxa"/>
            <w:left w:w="108" w:type="dxa"/>
            <w:bottom w:w="0" w:type="dxa"/>
            <w:right w:w="108" w:type="dxa"/>
          </w:tblCellMar>
        </w:tblPrEx>
        <w:trPr>
          <w:trHeight w:val="645" w:hRule="atLeast"/>
        </w:trPr>
        <w:tc>
          <w:tcPr>
            <w:tcW w:w="2271" w:type="pct"/>
            <w:tcBorders>
              <w:top w:val="nil"/>
              <w:left w:val="single" w:color="auto" w:sz="4" w:space="0"/>
              <w:bottom w:val="single" w:color="auto" w:sz="4" w:space="0"/>
              <w:right w:val="single" w:color="auto" w:sz="4" w:space="0"/>
            </w:tcBorders>
            <w:noWrap/>
            <w:vAlign w:val="center"/>
          </w:tcPr>
          <w:p w14:paraId="458FF133">
            <w:pPr>
              <w:widowControl/>
              <w:jc w:val="left"/>
              <w:rPr>
                <w:rFonts w:ascii="仿宋" w:hAnsi="仿宋" w:eastAsia="仿宋" w:cs="Times New Roman"/>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、其他固定资产</w:t>
            </w:r>
          </w:p>
        </w:tc>
        <w:tc>
          <w:tcPr>
            <w:tcW w:w="555" w:type="pct"/>
            <w:tcBorders>
              <w:top w:val="nil"/>
              <w:left w:val="nil"/>
              <w:bottom w:val="single" w:color="auto" w:sz="4" w:space="0"/>
              <w:right w:val="single" w:color="auto" w:sz="4" w:space="0"/>
            </w:tcBorders>
            <w:noWrap/>
            <w:vAlign w:val="center"/>
          </w:tcPr>
          <w:p w14:paraId="37727810">
            <w:pPr>
              <w:widowControl/>
              <w:jc w:val="center"/>
              <w:rPr>
                <w:rFonts w:ascii="仿宋" w:hAnsi="仿宋" w:eastAsia="仿宋" w:cs="Times New Roman"/>
                <w:kern w:val="0"/>
                <w:sz w:val="32"/>
                <w:szCs w:val="32"/>
              </w:rPr>
            </w:pPr>
            <w:r>
              <w:rPr>
                <w:rFonts w:hint="eastAsia" w:ascii="仿宋" w:hAnsi="仿宋" w:eastAsia="仿宋" w:cs="Times New Roman"/>
                <w:kern w:val="0"/>
                <w:sz w:val="32"/>
                <w:szCs w:val="32"/>
              </w:rPr>
              <w:t>16</w:t>
            </w:r>
          </w:p>
        </w:tc>
        <w:tc>
          <w:tcPr>
            <w:tcW w:w="2174" w:type="pct"/>
            <w:tcBorders>
              <w:top w:val="nil"/>
              <w:left w:val="nil"/>
              <w:bottom w:val="single" w:color="auto" w:sz="4" w:space="0"/>
              <w:right w:val="single" w:color="auto" w:sz="4" w:space="0"/>
            </w:tcBorders>
            <w:noWrap/>
            <w:vAlign w:val="center"/>
          </w:tcPr>
          <w:p w14:paraId="618A51C1">
            <w:pPr>
              <w:widowControl/>
              <w:jc w:val="center"/>
              <w:rPr>
                <w:rFonts w:ascii="仿宋" w:hAnsi="仿宋" w:eastAsia="仿宋" w:cs="Times New Roman"/>
                <w:kern w:val="0"/>
                <w:sz w:val="32"/>
                <w:szCs w:val="32"/>
              </w:rPr>
            </w:pPr>
            <w:r>
              <w:rPr>
                <w:rFonts w:hint="eastAsia" w:ascii="仿宋" w:hAnsi="仿宋" w:eastAsia="仿宋" w:cs="Times New Roman"/>
                <w:kern w:val="0"/>
                <w:sz w:val="32"/>
                <w:szCs w:val="32"/>
              </w:rPr>
              <w:t>13.52</w:t>
            </w:r>
          </w:p>
        </w:tc>
      </w:tr>
    </w:tbl>
    <w:p w14:paraId="0AE4949C">
      <w:pPr>
        <w:widowControl/>
        <w:spacing w:line="360" w:lineRule="auto"/>
        <w:jc w:val="left"/>
        <w:rPr>
          <w:rFonts w:ascii="Calibri" w:hAnsi="Calibri" w:eastAsia="仿宋_GB2312" w:cs="Calibri"/>
          <w:b/>
          <w:kern w:val="0"/>
          <w:sz w:val="32"/>
          <w:szCs w:val="32"/>
        </w:rPr>
      </w:pPr>
    </w:p>
    <w:p w14:paraId="12572348">
      <w:pPr>
        <w:widowControl/>
        <w:spacing w:line="360" w:lineRule="auto"/>
        <w:ind w:firstLine="964" w:firstLineChars="300"/>
        <w:jc w:val="left"/>
        <w:rPr>
          <w:rFonts w:ascii="黑体" w:hAnsi="黑体" w:eastAsia="黑体" w:cs="仿宋"/>
          <w:kern w:val="0"/>
          <w:sz w:val="32"/>
          <w:szCs w:val="32"/>
        </w:rPr>
      </w:pPr>
      <w:r>
        <w:rPr>
          <w:rFonts w:hint="eastAsia" w:ascii="黑体" w:hAnsi="黑体" w:eastAsia="黑体" w:cs="仿宋_GB2312"/>
          <w:b/>
          <w:kern w:val="0"/>
          <w:sz w:val="32"/>
          <w:szCs w:val="32"/>
        </w:rPr>
        <w:t>八、</w:t>
      </w:r>
      <w:r>
        <w:rPr>
          <w:rFonts w:hint="eastAsia" w:ascii="黑体" w:hAnsi="黑体" w:eastAsia="黑体" w:cs="仿宋"/>
          <w:b/>
          <w:kern w:val="0"/>
          <w:sz w:val="32"/>
          <w:szCs w:val="32"/>
        </w:rPr>
        <w:t>名词解释</w:t>
      </w:r>
      <w:r>
        <w:rPr>
          <w:rFonts w:hint="eastAsia" w:ascii="黑体" w:hAnsi="黑体" w:eastAsia="黑体" w:cs="仿宋"/>
          <w:kern w:val="0"/>
          <w:sz w:val="32"/>
          <w:szCs w:val="32"/>
        </w:rPr>
        <w:t> </w:t>
      </w:r>
    </w:p>
    <w:p w14:paraId="2E765BB2">
      <w:pPr>
        <w:widowControl/>
        <w:spacing w:line="360" w:lineRule="auto"/>
        <w:ind w:firstLine="964" w:firstLineChars="300"/>
        <w:jc w:val="left"/>
        <w:rPr>
          <w:rFonts w:ascii="仿宋" w:hAnsi="仿宋" w:eastAsia="仿宋" w:cs="仿宋"/>
          <w:kern w:val="0"/>
          <w:sz w:val="32"/>
          <w:szCs w:val="32"/>
        </w:rPr>
      </w:pPr>
      <w:r>
        <w:rPr>
          <w:rFonts w:hint="eastAsia" w:ascii="楷体" w:hAnsi="楷体" w:eastAsia="楷体" w:cs="仿宋"/>
          <w:b/>
          <w:bCs/>
          <w:kern w:val="0"/>
          <w:sz w:val="32"/>
          <w:szCs w:val="32"/>
        </w:rPr>
        <w:t>1、财政拨款收入</w:t>
      </w:r>
      <w:r>
        <w:rPr>
          <w:rFonts w:hint="eastAsia" w:ascii="仿宋" w:hAnsi="仿宋" w:eastAsia="仿宋" w:cs="仿宋"/>
          <w:bCs/>
          <w:kern w:val="0"/>
          <w:sz w:val="32"/>
          <w:szCs w:val="32"/>
        </w:rPr>
        <w:t>：指</w:t>
      </w:r>
      <w:r>
        <w:rPr>
          <w:rFonts w:hint="eastAsia" w:ascii="仿宋" w:hAnsi="仿宋" w:eastAsia="仿宋" w:cs="仿宋"/>
          <w:kern w:val="0"/>
          <w:sz w:val="32"/>
          <w:szCs w:val="32"/>
        </w:rPr>
        <w:t>财政当年拨付的资金。</w:t>
      </w:r>
    </w:p>
    <w:p w14:paraId="64363726">
      <w:pPr>
        <w:widowControl/>
        <w:spacing w:line="360" w:lineRule="auto"/>
        <w:ind w:firstLine="964" w:firstLineChars="300"/>
        <w:jc w:val="left"/>
        <w:rPr>
          <w:rFonts w:ascii="微软雅黑" w:hAnsi="微软雅黑" w:eastAsia="微软雅黑" w:cs="微软雅黑"/>
          <w:kern w:val="0"/>
          <w:sz w:val="24"/>
          <w:szCs w:val="24"/>
        </w:rPr>
      </w:pPr>
      <w:r>
        <w:rPr>
          <w:rFonts w:hint="eastAsia" w:ascii="楷体" w:hAnsi="楷体" w:eastAsia="楷体" w:cs="仿宋"/>
          <w:b/>
          <w:kern w:val="0"/>
          <w:sz w:val="32"/>
          <w:szCs w:val="32"/>
        </w:rPr>
        <w:t>2、“三公”经费</w:t>
      </w:r>
      <w:r>
        <w:rPr>
          <w:rFonts w:hint="eastAsia" w:ascii="仿宋" w:hAnsi="仿宋" w:eastAsia="仿宋" w:cs="仿宋"/>
          <w:kern w:val="0"/>
          <w:sz w:val="32"/>
          <w:szCs w:val="32"/>
        </w:rPr>
        <w:t>：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w:t>
      </w:r>
      <w:r>
        <w:rPr>
          <w:rFonts w:hint="eastAsia" w:ascii="仿宋" w:hAnsi="仿宋" w:eastAsia="仿宋" w:cs="仿宋"/>
          <w:kern w:val="0"/>
          <w:sz w:val="32"/>
          <w:szCs w:val="32"/>
          <w:lang w:eastAsia="zh-CN"/>
        </w:rPr>
        <w:t>等</w:t>
      </w:r>
      <w:r>
        <w:rPr>
          <w:rFonts w:hint="eastAsia" w:ascii="仿宋" w:hAnsi="仿宋" w:eastAsia="仿宋" w:cs="仿宋"/>
          <w:kern w:val="0"/>
          <w:sz w:val="32"/>
          <w:szCs w:val="32"/>
        </w:rPr>
        <w:t>支出，公务用车指用于履行公务的机动车辆，包括领导干部专车、一般公务用车和执法执勤等业务用车。</w:t>
      </w:r>
      <w:r>
        <w:rPr>
          <w:rFonts w:hint="eastAsia" w:ascii="微软雅黑" w:hAnsi="微软雅黑" w:eastAsia="微软雅黑" w:cs="微软雅黑"/>
          <w:kern w:val="0"/>
          <w:sz w:val="24"/>
          <w:szCs w:val="24"/>
        </w:rPr>
        <w:t xml:space="preserve"> </w:t>
      </w:r>
    </w:p>
    <w:p w14:paraId="3AC33B6D">
      <w:pPr>
        <w:widowControl/>
        <w:spacing w:line="360" w:lineRule="auto"/>
        <w:ind w:firstLine="643" w:firstLineChars="200"/>
        <w:jc w:val="left"/>
        <w:rPr>
          <w:rFonts w:ascii="仿宋" w:hAnsi="仿宋" w:eastAsia="仿宋" w:cs="仿宋"/>
          <w:b/>
          <w:kern w:val="0"/>
          <w:sz w:val="32"/>
          <w:szCs w:val="32"/>
        </w:rPr>
      </w:pPr>
      <w:r>
        <w:rPr>
          <w:rFonts w:hint="eastAsia" w:ascii="楷体" w:hAnsi="楷体" w:eastAsia="楷体" w:cs="微软雅黑"/>
          <w:b/>
          <w:kern w:val="0"/>
          <w:sz w:val="32"/>
          <w:szCs w:val="32"/>
        </w:rPr>
        <w:t>3</w:t>
      </w:r>
      <w:r>
        <w:rPr>
          <w:rFonts w:hint="eastAsia" w:ascii="楷体" w:hAnsi="楷体" w:eastAsia="楷体" w:cs="仿宋"/>
          <w:b/>
          <w:kern w:val="0"/>
          <w:sz w:val="32"/>
          <w:szCs w:val="32"/>
        </w:rPr>
        <w:t>、年初结转和结余</w:t>
      </w:r>
      <w:r>
        <w:rPr>
          <w:rFonts w:hint="eastAsia" w:ascii="仿宋" w:hAnsi="仿宋" w:eastAsia="仿宋" w:cs="仿宋"/>
          <w:kern w:val="0"/>
          <w:sz w:val="32"/>
          <w:szCs w:val="32"/>
        </w:rPr>
        <w:t>：指以前年度尚未完成，结转到本年仍按照原规定用途继续使用的资金，或项目已完成等产生的结余资金。</w:t>
      </w:r>
      <w:r>
        <w:rPr>
          <w:rFonts w:hint="eastAsia" w:ascii="仿宋" w:hAnsi="仿宋" w:eastAsia="仿宋" w:cs="仿宋"/>
          <w:b/>
          <w:kern w:val="0"/>
          <w:sz w:val="32"/>
          <w:szCs w:val="32"/>
        </w:rPr>
        <w:t> </w:t>
      </w:r>
    </w:p>
    <w:p w14:paraId="77D8BF58">
      <w:pPr>
        <w:widowControl/>
        <w:spacing w:line="360" w:lineRule="auto"/>
        <w:ind w:firstLine="643" w:firstLineChars="200"/>
        <w:jc w:val="left"/>
        <w:rPr>
          <w:rFonts w:ascii="仿宋" w:hAnsi="仿宋" w:eastAsia="仿宋" w:cs="仿宋"/>
          <w:b/>
          <w:kern w:val="0"/>
          <w:sz w:val="32"/>
          <w:szCs w:val="32"/>
        </w:rPr>
      </w:pPr>
      <w:r>
        <w:rPr>
          <w:rFonts w:hint="eastAsia" w:ascii="楷体" w:hAnsi="楷体" w:eastAsia="楷体" w:cs="仿宋"/>
          <w:b/>
          <w:kern w:val="0"/>
          <w:sz w:val="32"/>
          <w:szCs w:val="32"/>
        </w:rPr>
        <w:t>4、基本支出</w:t>
      </w:r>
      <w:r>
        <w:rPr>
          <w:rFonts w:hint="eastAsia" w:ascii="仿宋" w:hAnsi="仿宋" w:eastAsia="仿宋" w:cs="仿宋"/>
          <w:kern w:val="0"/>
          <w:sz w:val="32"/>
          <w:szCs w:val="32"/>
        </w:rPr>
        <w:t>：指单位为了保障其正常运转、完成日常工作任务而发生的人员支出和公用支出。</w:t>
      </w:r>
      <w:r>
        <w:rPr>
          <w:rFonts w:hint="eastAsia" w:ascii="仿宋" w:hAnsi="仿宋" w:eastAsia="仿宋" w:cs="仿宋"/>
          <w:b/>
          <w:kern w:val="0"/>
          <w:sz w:val="32"/>
          <w:szCs w:val="32"/>
        </w:rPr>
        <w:t> </w:t>
      </w:r>
    </w:p>
    <w:p w14:paraId="7FE23B3A">
      <w:pPr>
        <w:widowControl/>
        <w:spacing w:line="360" w:lineRule="auto"/>
        <w:ind w:firstLine="640" w:firstLineChars="200"/>
        <w:jc w:val="left"/>
        <w:rPr>
          <w:rFonts w:ascii="仿宋" w:hAnsi="仿宋" w:eastAsia="仿宋" w:cs="仿宋"/>
          <w:kern w:val="0"/>
          <w:sz w:val="32"/>
          <w:szCs w:val="32"/>
        </w:rPr>
      </w:pPr>
      <w:r>
        <w:rPr>
          <w:rFonts w:hint="eastAsia" w:ascii="楷体" w:hAnsi="楷体" w:eastAsia="楷体" w:cs="仿宋"/>
          <w:kern w:val="0"/>
          <w:sz w:val="32"/>
          <w:szCs w:val="32"/>
        </w:rPr>
        <w:t>5、项目支出</w:t>
      </w:r>
      <w:r>
        <w:rPr>
          <w:rFonts w:hint="eastAsia" w:ascii="仿宋" w:hAnsi="仿宋" w:eastAsia="仿宋" w:cs="仿宋"/>
          <w:b/>
          <w:kern w:val="0"/>
          <w:sz w:val="32"/>
          <w:szCs w:val="32"/>
        </w:rPr>
        <w:t>：</w:t>
      </w:r>
      <w:r>
        <w:rPr>
          <w:rFonts w:hint="eastAsia" w:ascii="仿宋" w:hAnsi="仿宋" w:eastAsia="仿宋" w:cs="仿宋"/>
          <w:kern w:val="0"/>
          <w:sz w:val="32"/>
          <w:szCs w:val="32"/>
        </w:rPr>
        <w:t>指单位为了特定的工作任务和事业发展目标，在基本支出之外所发生的支出。</w:t>
      </w:r>
    </w:p>
    <w:p w14:paraId="4CBCB9F0">
      <w:pPr>
        <w:widowControl/>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九、其他需要说明的事项</w:t>
      </w:r>
    </w:p>
    <w:p w14:paraId="19F5E295">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无其他需要说明的事项。</w:t>
      </w:r>
    </w:p>
    <w:p w14:paraId="1A12B130">
      <w:pPr>
        <w:widowControl/>
        <w:spacing w:line="360" w:lineRule="auto"/>
        <w:ind w:firstLine="420" w:firstLineChars="200"/>
        <w:jc w:val="left"/>
      </w:pPr>
    </w:p>
    <w:sectPr>
      <w:pgSz w:w="16839" w:h="11907" w:orient="landscape"/>
      <w:pgMar w:top="1134" w:right="1021" w:bottom="1134" w:left="102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方正小标宋_GBK">
    <w:altName w:val="宋体"/>
    <w:panose1 w:val="00000000000000000000"/>
    <w:charset w:val="86"/>
    <w:family w:val="moder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A466F3"/>
    <w:multiLevelType w:val="multilevel"/>
    <w:tmpl w:val="3EA466F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E810D6"/>
    <w:rsid w:val="00056D43"/>
    <w:rsid w:val="001700F7"/>
    <w:rsid w:val="0019434D"/>
    <w:rsid w:val="00197767"/>
    <w:rsid w:val="001B21CC"/>
    <w:rsid w:val="001B565C"/>
    <w:rsid w:val="001E5CC4"/>
    <w:rsid w:val="00242910"/>
    <w:rsid w:val="00280EC0"/>
    <w:rsid w:val="002E3A95"/>
    <w:rsid w:val="003276E5"/>
    <w:rsid w:val="00367009"/>
    <w:rsid w:val="003933F1"/>
    <w:rsid w:val="00513E63"/>
    <w:rsid w:val="00543D6B"/>
    <w:rsid w:val="005566D7"/>
    <w:rsid w:val="005D136A"/>
    <w:rsid w:val="005D201E"/>
    <w:rsid w:val="005E0251"/>
    <w:rsid w:val="00623122"/>
    <w:rsid w:val="0062621A"/>
    <w:rsid w:val="00685811"/>
    <w:rsid w:val="006D1C5B"/>
    <w:rsid w:val="007100CC"/>
    <w:rsid w:val="00716119"/>
    <w:rsid w:val="00731ECE"/>
    <w:rsid w:val="00750FA8"/>
    <w:rsid w:val="00781C35"/>
    <w:rsid w:val="007A507B"/>
    <w:rsid w:val="007D6BF0"/>
    <w:rsid w:val="007F6118"/>
    <w:rsid w:val="008058DC"/>
    <w:rsid w:val="00834572"/>
    <w:rsid w:val="00881C85"/>
    <w:rsid w:val="008C7744"/>
    <w:rsid w:val="00904E2A"/>
    <w:rsid w:val="00905E04"/>
    <w:rsid w:val="00932E94"/>
    <w:rsid w:val="009629CF"/>
    <w:rsid w:val="00994454"/>
    <w:rsid w:val="009C1FB9"/>
    <w:rsid w:val="009D60BC"/>
    <w:rsid w:val="00A07D70"/>
    <w:rsid w:val="00A20528"/>
    <w:rsid w:val="00AF3E48"/>
    <w:rsid w:val="00AF5DDC"/>
    <w:rsid w:val="00B03B8A"/>
    <w:rsid w:val="00B36E6E"/>
    <w:rsid w:val="00B77F57"/>
    <w:rsid w:val="00BE00E0"/>
    <w:rsid w:val="00CB51FE"/>
    <w:rsid w:val="00CC27D5"/>
    <w:rsid w:val="00CF31BA"/>
    <w:rsid w:val="00D10A1E"/>
    <w:rsid w:val="00D74395"/>
    <w:rsid w:val="00DD04FC"/>
    <w:rsid w:val="00DF69A5"/>
    <w:rsid w:val="00E053F0"/>
    <w:rsid w:val="00E562B3"/>
    <w:rsid w:val="00E810D6"/>
    <w:rsid w:val="00F43BFC"/>
    <w:rsid w:val="00F5471B"/>
    <w:rsid w:val="00FA2AF0"/>
    <w:rsid w:val="013B67CD"/>
    <w:rsid w:val="01CA412B"/>
    <w:rsid w:val="020E4C24"/>
    <w:rsid w:val="02100DB1"/>
    <w:rsid w:val="02CD11F4"/>
    <w:rsid w:val="037D399A"/>
    <w:rsid w:val="03B213E5"/>
    <w:rsid w:val="06096D52"/>
    <w:rsid w:val="06550E5D"/>
    <w:rsid w:val="0726741C"/>
    <w:rsid w:val="08787C12"/>
    <w:rsid w:val="08D34D69"/>
    <w:rsid w:val="09357A77"/>
    <w:rsid w:val="09417231"/>
    <w:rsid w:val="09C76856"/>
    <w:rsid w:val="09E50DB9"/>
    <w:rsid w:val="09FE0C04"/>
    <w:rsid w:val="0A772B51"/>
    <w:rsid w:val="0BB759F9"/>
    <w:rsid w:val="0CBF7A43"/>
    <w:rsid w:val="0DD4180B"/>
    <w:rsid w:val="130B706D"/>
    <w:rsid w:val="139106CF"/>
    <w:rsid w:val="13DE0FA8"/>
    <w:rsid w:val="14333F4B"/>
    <w:rsid w:val="163506CD"/>
    <w:rsid w:val="17252863"/>
    <w:rsid w:val="173C3F94"/>
    <w:rsid w:val="175940C0"/>
    <w:rsid w:val="17C16AC9"/>
    <w:rsid w:val="180D78B9"/>
    <w:rsid w:val="19322288"/>
    <w:rsid w:val="1AEF7278"/>
    <w:rsid w:val="1B2A5EA4"/>
    <w:rsid w:val="1CC97251"/>
    <w:rsid w:val="1CEB0A1C"/>
    <w:rsid w:val="1E8167C1"/>
    <w:rsid w:val="1EAA0AE1"/>
    <w:rsid w:val="21B66276"/>
    <w:rsid w:val="228819EE"/>
    <w:rsid w:val="2716314B"/>
    <w:rsid w:val="288A4B30"/>
    <w:rsid w:val="28E516DB"/>
    <w:rsid w:val="299267B6"/>
    <w:rsid w:val="2AD57C75"/>
    <w:rsid w:val="2BAA47A7"/>
    <w:rsid w:val="2C442584"/>
    <w:rsid w:val="2DCE40BA"/>
    <w:rsid w:val="2E066AE5"/>
    <w:rsid w:val="2E2777CE"/>
    <w:rsid w:val="2EE04A84"/>
    <w:rsid w:val="30FF4005"/>
    <w:rsid w:val="31D059F4"/>
    <w:rsid w:val="32D229F3"/>
    <w:rsid w:val="332A0BBD"/>
    <w:rsid w:val="3387759D"/>
    <w:rsid w:val="351C5D1D"/>
    <w:rsid w:val="36820344"/>
    <w:rsid w:val="36DF5EE5"/>
    <w:rsid w:val="38963AA1"/>
    <w:rsid w:val="39461E7C"/>
    <w:rsid w:val="39A75722"/>
    <w:rsid w:val="3B6E7B6E"/>
    <w:rsid w:val="3C712CD5"/>
    <w:rsid w:val="3CEC5D53"/>
    <w:rsid w:val="3EB13B58"/>
    <w:rsid w:val="441C57E9"/>
    <w:rsid w:val="44240E6E"/>
    <w:rsid w:val="44986D47"/>
    <w:rsid w:val="456A5D0D"/>
    <w:rsid w:val="457C0C14"/>
    <w:rsid w:val="45B90BF3"/>
    <w:rsid w:val="460143F1"/>
    <w:rsid w:val="47047404"/>
    <w:rsid w:val="475B18CD"/>
    <w:rsid w:val="4A4F1F05"/>
    <w:rsid w:val="4B7040C7"/>
    <w:rsid w:val="4CA957E7"/>
    <w:rsid w:val="4D9730D4"/>
    <w:rsid w:val="4E4335D2"/>
    <w:rsid w:val="4EB84051"/>
    <w:rsid w:val="51F3063A"/>
    <w:rsid w:val="55325DEE"/>
    <w:rsid w:val="55372497"/>
    <w:rsid w:val="55CF47EB"/>
    <w:rsid w:val="577A72C9"/>
    <w:rsid w:val="59AF56D7"/>
    <w:rsid w:val="5B2B3FCD"/>
    <w:rsid w:val="5BAE356C"/>
    <w:rsid w:val="5CB07A05"/>
    <w:rsid w:val="5ED17601"/>
    <w:rsid w:val="612F2391"/>
    <w:rsid w:val="61897173"/>
    <w:rsid w:val="63836572"/>
    <w:rsid w:val="63F21B1B"/>
    <w:rsid w:val="65493192"/>
    <w:rsid w:val="666C26EF"/>
    <w:rsid w:val="66E76F73"/>
    <w:rsid w:val="6A6B28C1"/>
    <w:rsid w:val="6B511389"/>
    <w:rsid w:val="6D5763C1"/>
    <w:rsid w:val="6D81148F"/>
    <w:rsid w:val="6E8006EE"/>
    <w:rsid w:val="6ECC4D84"/>
    <w:rsid w:val="70BA2DA1"/>
    <w:rsid w:val="71B87B2B"/>
    <w:rsid w:val="729B4F6A"/>
    <w:rsid w:val="72CD6F51"/>
    <w:rsid w:val="733E01F4"/>
    <w:rsid w:val="7424079F"/>
    <w:rsid w:val="74D4598A"/>
    <w:rsid w:val="76DC690F"/>
    <w:rsid w:val="76FD3FC3"/>
    <w:rsid w:val="79AB31A3"/>
    <w:rsid w:val="7AA5545A"/>
    <w:rsid w:val="7BAA5900"/>
    <w:rsid w:val="7D9A3104"/>
    <w:rsid w:val="7DB94919"/>
    <w:rsid w:val="7F5A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paragraph" w:styleId="6">
    <w:name w:val="Normal (Web)"/>
    <w:basedOn w:val="1"/>
    <w:qFormat/>
    <w:uiPriority w:val="0"/>
    <w:rPr>
      <w:sz w:val="24"/>
      <w:szCs w:val="24"/>
    </w:rPr>
  </w:style>
  <w:style w:type="table" w:styleId="8">
    <w:name w:val="Table Grid"/>
    <w:basedOn w:val="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3"/>
    <w:semiHidden/>
    <w:qFormat/>
    <w:uiPriority w:val="99"/>
    <w:rPr>
      <w:sz w:val="18"/>
      <w:szCs w:val="18"/>
    </w:rPr>
  </w:style>
  <w:style w:type="character" w:customStyle="1" w:styleId="11">
    <w:name w:val="页脚 Char"/>
    <w:basedOn w:val="9"/>
    <w:link w:val="2"/>
    <w:semiHidden/>
    <w:qFormat/>
    <w:uiPriority w:val="99"/>
    <w:rPr>
      <w:sz w:val="18"/>
      <w:szCs w:val="18"/>
    </w:rPr>
  </w:style>
  <w:style w:type="paragraph" w:customStyle="1" w:styleId="12">
    <w:name w:val="p0"/>
    <w:basedOn w:val="1"/>
    <w:qFormat/>
    <w:uiPriority w:val="0"/>
    <w:pPr>
      <w:widowControl/>
      <w:ind w:firstLine="420"/>
      <w:jc w:val="left"/>
    </w:pPr>
    <w:rPr>
      <w:kern w:val="0"/>
      <w:sz w:val="20"/>
      <w:szCs w:val="20"/>
    </w:rPr>
  </w:style>
  <w:style w:type="paragraph" w:customStyle="1" w:styleId="13">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1C8960-5E22-4E5F-BD54-FEFB366C26F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3710</Words>
  <Characters>3856</Characters>
  <Lines>32</Lines>
  <Paragraphs>9</Paragraphs>
  <TotalTime>55</TotalTime>
  <ScaleCrop>false</ScaleCrop>
  <LinksUpToDate>false</LinksUpToDate>
  <CharactersWithSpaces>3877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2017-11-11T05:56:00Z</dcterms:created>
  <dc:creator>lenovo</dc:creator>
  <cp:lastModifiedBy>WPS_1496797997</cp:lastModifiedBy>
  <cp:lastPrinted>2016-04-01T02:44:00Z</cp:lastPrinted>
  <dcterms:modified xsi:type="dcterms:W3CDTF">2025-10-27T01:35:22Z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0CD7AFE1B6FD42FFACAD202B084C439A_13</vt:lpwstr>
  </property>
  <property fmtid="{D5CDD505-2E9C-101B-9397-08002B2CF9AE}" pid="4" name="KSOTemplateDocerSaveRecord">
    <vt:lpwstr>eyJoZGlkIjoiZDgzN2IwNTkyZGQzYzkzMGU0ZGQ5ZTk3Mzg5YzQ2NjIiLCJ1c2VySWQiOiIyODQyMjEzOTgifQ==</vt:lpwstr>
  </property>
</Properties>
</file>