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成安县供销社</w:t>
      </w:r>
      <w:r>
        <w:rPr>
          <w:rFonts w:ascii="宋体" w:hAnsi="宋体" w:eastAsia="宋体"/>
          <w:b/>
          <w:sz w:val="44"/>
          <w:szCs w:val="44"/>
        </w:rPr>
        <w:t xml:space="preserve"> </w:t>
      </w:r>
      <w:r>
        <w:rPr>
          <w:rFonts w:hint="eastAsia" w:ascii="宋体" w:hAnsi="宋体" w:eastAsia="宋体"/>
          <w:b/>
          <w:sz w:val="44"/>
          <w:szCs w:val="44"/>
        </w:rPr>
        <w:t>2018年部门预算公开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情况说明</w:t>
      </w:r>
    </w:p>
    <w:p>
      <w:pPr>
        <w:widowControl/>
        <w:spacing w:line="360" w:lineRule="auto"/>
        <w:ind w:left="640"/>
        <w:jc w:val="left"/>
        <w:rPr>
          <w:rFonts w:ascii="仿宋_GB2312" w:hAnsi="Calibri" w:eastAsia="仿宋_GB2312" w:cs="仿宋_GB2312"/>
          <w:sz w:val="32"/>
          <w:szCs w:val="32"/>
        </w:rPr>
      </w:pPr>
    </w:p>
    <w:p>
      <w:pPr>
        <w:widowControl/>
        <w:spacing w:line="360" w:lineRule="auto"/>
        <w:ind w:left="640" w:firstLine="320" w:firstLineChars="1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按照《预算法》有关规定和财政部关于印发《地方预决算公开操作规程》的通知，</w:t>
      </w:r>
      <w:r>
        <w:rPr>
          <w:rFonts w:hint="eastAsia" w:ascii="仿宋" w:hAnsi="仿宋" w:eastAsia="仿宋" w:cs="仿宋"/>
          <w:kern w:val="0"/>
          <w:sz w:val="32"/>
          <w:szCs w:val="32"/>
        </w:rPr>
        <w:t>现将供销社2018年部门预算公开如下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：</w:t>
      </w:r>
    </w:p>
    <w:p>
      <w:pPr>
        <w:pStyle w:val="10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部门职责及机构设置情况</w:t>
      </w: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spacing w:line="360" w:lineRule="auto"/>
        <w:ind w:left="210" w:leftChars="1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部门职责1、成安县供销社是全县供销合作社的联合组织，为县政府领导的事业机构，负责制定全县供销合作社的发展战略和规划，指导全县供销合作社的改革与发展。</w:t>
      </w:r>
    </w:p>
    <w:p>
      <w:pPr>
        <w:spacing w:line="360" w:lineRule="auto"/>
        <w:ind w:left="105" w:leftChars="50" w:firstLine="480" w:firstLineChars="15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2、负责维护供销合作社章程赋予的合法权益，协调与政府部门、社会组织的关系，参与和推动有关地方性法规和规章的制定，促进合作经济的发展。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按照上级政府授权，对重要农业生产资料、农副产品和再生资源经营进行组织、协调、管理；负责管理棉花、化肥、农药、羊毛、救灾物资等国家、省级、市级和县级重要物资储备。按照政府授权，做好烟花爆竹专营工作，配合有关部门打击违法经营，保证购销安全，维护流通秩序。</w:t>
      </w: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4、负责指导全县供销合作社社属企业改革，建立现代企业制度，管理运营本及社社有资产，对直属单位行使出资人职能。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方正仿宋_GBK" w:hAnsi="Times New Roman" w:eastAsia="方正仿宋_GBK" w:cs="Times New Roman"/>
          <w:b/>
          <w:bCs/>
          <w:sz w:val="32"/>
          <w:szCs w:val="32"/>
        </w:rPr>
      </w:pPr>
      <w:r>
        <w:rPr>
          <w:rFonts w:hint="eastAsia" w:ascii="方正仿宋_GBK" w:hAnsi="Times New Roman" w:eastAsia="方正仿宋_GBK" w:cs="方正仿宋_GBK"/>
          <w:b/>
          <w:bCs/>
          <w:sz w:val="32"/>
          <w:szCs w:val="32"/>
        </w:rPr>
        <w:t>机构设置：</w:t>
      </w:r>
    </w:p>
    <w:p>
      <w:pPr>
        <w:jc w:val="center"/>
        <w:outlineLvl w:val="0"/>
        <w:rPr>
          <w:rFonts w:ascii="Times New Roman" w:hAnsi="Times New Roman" w:eastAsia="方正小标宋_GBK" w:cs="Times New Roman"/>
          <w:sz w:val="32"/>
          <w:szCs w:val="32"/>
        </w:rPr>
      </w:pPr>
      <w:r>
        <w:rPr>
          <w:rFonts w:hint="eastAsia" w:ascii="Times New Roman" w:hAnsi="Times New Roman" w:eastAsia="方正小标宋_GBK" w:cs="方正小标宋_GBK"/>
          <w:sz w:val="32"/>
          <w:szCs w:val="32"/>
        </w:rPr>
        <w:t>部门机构设置情况</w:t>
      </w:r>
    </w:p>
    <w:tbl>
      <w:tblPr>
        <w:tblStyle w:val="6"/>
        <w:tblW w:w="1018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2"/>
        <w:gridCol w:w="1528"/>
        <w:gridCol w:w="1528"/>
        <w:gridCol w:w="35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5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单位性质</w:t>
            </w:r>
          </w:p>
        </w:tc>
        <w:tc>
          <w:tcPr>
            <w:tcW w:w="152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单位规格</w:t>
            </w:r>
          </w:p>
        </w:tc>
        <w:tc>
          <w:tcPr>
            <w:tcW w:w="358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经费保障形式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tblHeader/>
          <w:jc w:val="center"/>
        </w:trPr>
        <w:tc>
          <w:tcPr>
            <w:tcW w:w="3552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1528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  <w:tc>
          <w:tcPr>
            <w:tcW w:w="3581" w:type="dxa"/>
            <w:vMerge w:val="continue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Times New Roman" w:hAnsi="Times New Roman" w:eastAsia="宋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  <w:jc w:val="center"/>
        </w:trPr>
        <w:tc>
          <w:tcPr>
            <w:tcW w:w="355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成安县供销合作社联合社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事业</w:t>
            </w:r>
          </w:p>
        </w:tc>
        <w:tc>
          <w:tcPr>
            <w:tcW w:w="152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正科级</w:t>
            </w:r>
          </w:p>
        </w:tc>
        <w:tc>
          <w:tcPr>
            <w:tcW w:w="358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财政性资金定额或定向补助（差额事业）</w:t>
            </w:r>
          </w:p>
        </w:tc>
      </w:tr>
    </w:tbl>
    <w:p>
      <w:pPr>
        <w:spacing w:line="360" w:lineRule="auto"/>
        <w:rPr>
          <w:rFonts w:ascii="黑体" w:hAnsi="黑体" w:eastAsia="黑体" w:cs="黑体"/>
          <w:b/>
          <w:kern w:val="0"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内设机构及职责</w:t>
      </w:r>
    </w:p>
    <w:p>
      <w:pPr>
        <w:spacing w:line="360" w:lineRule="auto"/>
        <w:ind w:firstLine="899" w:firstLineChars="281"/>
        <w:rPr>
          <w:rFonts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成安县供销社，预算编码是817，内设8个内部机构。</w:t>
      </w:r>
    </w:p>
    <w:p>
      <w:pPr>
        <w:widowControl/>
        <w:spacing w:line="360" w:lineRule="auto"/>
        <w:ind w:firstLine="960" w:firstLineChars="3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1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、办公室主要负责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认真贯彻执行党和国家的路线、方针、政策，遵守国家的各项法律、法律和单位的各项规章制度，为领导出主意、当参谋，调查研究，处理信息，参与政务，为领导服务，为机关服务，为基层服务；负责机关考勤及上传下达、文件收发、呈示、传阅、整理、归档工作；负责系统会议、主任办公会议和机关其他会议的会务安排、通知、记录、纪要工作。按照保密工作要求，做好有关文件和会议内容的保密工作；</w:t>
      </w:r>
      <w:r>
        <w:rPr>
          <w:rFonts w:hint="eastAsia" w:ascii="仿宋_GB2312" w:hAnsi="ˎ̥" w:eastAsia="仿宋_GB2312"/>
          <w:color w:val="222222"/>
          <w:sz w:val="32"/>
          <w:szCs w:val="32"/>
        </w:rPr>
        <w:t>负责协调科室和基层单位关系，</w:t>
      </w:r>
      <w:r>
        <w:rPr>
          <w:rFonts w:hint="eastAsia" w:ascii="仿宋_GB2312" w:eastAsia="仿宋_GB2312"/>
          <w:sz w:val="32"/>
          <w:szCs w:val="32"/>
        </w:rPr>
        <w:t>协助领导对重大决策、会议决议、重要工作部署以及领导批办的执行情况进行督办，抓好落实，保证系统政令畅通；</w:t>
      </w:r>
      <w:r>
        <w:rPr>
          <w:rFonts w:hint="eastAsia" w:ascii="仿宋_GB2312" w:hAnsi="ˎ̥" w:eastAsia="仿宋_GB2312"/>
          <w:color w:val="222222"/>
          <w:sz w:val="32"/>
          <w:szCs w:val="32"/>
        </w:rPr>
        <w:t>负责草拟系统工作计划、总结、报告、请示、决议及其他综合性文件和领导交办的文件，落实有关规章制度和工作职责；负责机关文印、办公用品和家具用具的采购、登记、分配和管理工作；负责各类信息、资料的收集和整理；负责公章的保管和使用；负责机关车辆的调度和管理；负责来客、来访的接待；负责机关环境卫生的监督管理、机关门卫和水、电管理，</w:t>
      </w:r>
      <w:r>
        <w:rPr>
          <w:rFonts w:hint="eastAsia" w:ascii="仿宋_GB2312" w:eastAsia="仿宋_GB2312"/>
          <w:sz w:val="32"/>
          <w:szCs w:val="32"/>
        </w:rPr>
        <w:t>做好节假日值班安排工作。</w:t>
      </w:r>
    </w:p>
    <w:p>
      <w:pPr>
        <w:widowControl/>
        <w:spacing w:line="360" w:lineRule="auto"/>
        <w:ind w:firstLine="643" w:firstLineChars="20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2、财务科主要负责</w:t>
      </w:r>
      <w:r>
        <w:rPr>
          <w:rFonts w:hint="eastAsia" w:ascii="黑体" w:hAnsi="黑体" w:eastAsia="黑体" w:cs="黑体"/>
          <w:bCs/>
          <w:kern w:val="0"/>
          <w:sz w:val="32"/>
          <w:szCs w:val="32"/>
        </w:rPr>
        <w:t>：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贯</w:t>
      </w:r>
      <w:r>
        <w:rPr>
          <w:rFonts w:hint="eastAsia" w:ascii="仿宋_GB2312" w:hAnsi="仿宋_GB2312" w:eastAsia="仿宋_GB2312"/>
          <w:sz w:val="32"/>
        </w:rPr>
        <w:t>彻国家财经方针和各项政策，遵守财经纪律、法规、规章和各项财务制度，加强财务管理；结合本单位情况，制定财务管理制度和会计核算制度，建立健全核算程序和报销手续，如实反映本单位的财务状况及定期开展财务分析；认真审核费用开支手续，严格执行费用开支范围和标准；负责会计报表编制、机关经费预算决算。协调有关职能部门业务关系；面向基层、服务基层，监督基层单位各项资金的使用，确保社有资金完整；负责各种票据的管理及会计资料的归档工作。</w:t>
      </w:r>
    </w:p>
    <w:p>
      <w:pPr>
        <w:ind w:firstLine="643" w:firstLineChars="200"/>
        <w:rPr>
          <w:rFonts w:ascii="仿宋_GB2312" w:hAnsi="仿宋_GB2312" w:eastAsia="仿宋_GB2312"/>
          <w:sz w:val="32"/>
        </w:rPr>
      </w:pPr>
      <w:r>
        <w:rPr>
          <w:rFonts w:hint="eastAsia" w:ascii="楷体" w:hAnsi="楷体" w:eastAsia="楷体" w:cs="楷体"/>
          <w:b/>
          <w:bCs/>
          <w:sz w:val="32"/>
        </w:rPr>
        <w:t>3、信访人事科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hint="eastAsia" w:ascii="仿宋_GB2312" w:hAnsi="仿宋_GB2312" w:eastAsia="仿宋_GB2312"/>
          <w:sz w:val="32"/>
        </w:rPr>
        <w:t>受理系统信访职工提出的信访事项；承办上级和单位领导交办的信访事项；主动排查系统各种信访隐患，把矛盾解决在基层，消灭在萌芽状态；深入基层调查研究，及时了解分析信访动态，为领导决策提供科学依据；负责系统企业劳动、人事管理工作；完成系统职工工资调整和工资报表填报工作；负责系统职工的退休申报和离退人员的管理工作；负责协调管理系统各单位劳动用工、养老、医疗、失业、工伤、女工生育保险等社会保障工作；负责系统干部职工考核、人才开发和教育培训工作。</w:t>
      </w:r>
    </w:p>
    <w:p>
      <w:pPr>
        <w:ind w:firstLine="643" w:firstLineChars="200"/>
        <w:rPr>
          <w:rFonts w:ascii="仿宋_GB2312" w:hAnsi="仿宋_GB2312" w:eastAsia="仿宋_GB2312"/>
          <w:sz w:val="32"/>
        </w:rPr>
      </w:pPr>
      <w:r>
        <w:rPr>
          <w:rFonts w:hint="eastAsia" w:ascii="楷体" w:hAnsi="楷体" w:eastAsia="楷体" w:cs="楷体"/>
          <w:b/>
          <w:bCs/>
          <w:sz w:val="32"/>
        </w:rPr>
        <w:t>4、党建计生科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hint="eastAsia" w:ascii="仿宋_GB2312" w:hAnsi="仿宋_GB2312" w:eastAsia="仿宋_GB2312"/>
          <w:sz w:val="32"/>
          <w:szCs w:val="32"/>
        </w:rPr>
        <w:t>传达贯彻上级党委、政府的指示和决定，熟悉和掌握系统组织工作基本情况，拟定组织工作的具体规划和方案，指导、检查县直单位组织建设；拟定系统党员队伍建设规划，做好党员学习、教育和培训发展工作，指导基层党组织抓好思想、组织、作风建设；搞好调查研究，指导系统民主政治建设并做好相关工作；负责党费收缴、管理和党内统计工作；承办县社党代表大会、党代表会议有关工作；负责县社系统组织和党员队伍建设，起草组织工作方面的文件；制定《系统人口与计划生育发展规划》和《年度计划》建立健全计划生育工作目标责任制，并具体组织实施，负责督促检查落实；协调各方面力量，开展计划生育的宣传教育，深入调查研究，掌握计划生育工作动态，提出工作建议，总结交流经验，当好领导的参谋；指导督促系统的计划生育工作，负责计划生育工作队伍的思想教育管理和业务培训，加强计生统计台帐管理，做好计划生育统计报表工作；负责生育证、独生子女证的审核、发放和管理；杜绝政策外生育，完成上级下达的计划生育工作指标；严格按照计划生育条例等有关规定，协助征收社会抚养费，及时处理群众的来信来访，把计生隐患消灭在基层和萌芽状态；认真贯彻执行有关工会工作的法律、法规、规章和政策；坚持工会职能，积极参与公司的民主管理；加强工会组织建设，搞好工会积极分子的培训教育工作；积极开展群众性的劳动竞赛、合理化建议、职工文化教育；调查了解干部职工家庭生活，帮助干部职工解决后顾之忧，协调家庭纠纷，监督干部职工福利待遇工作的落实；维护职工的合法权益，维护职工的切身利益；协调干部职工与行政的关系，协调处理劳动纠纷；组织开展职工文化体育活动，负责工会经费的解交和内部审计工作。</w:t>
      </w:r>
    </w:p>
    <w:p>
      <w:pPr>
        <w:ind w:firstLine="643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5、业务基层科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仿宋_GB2312" w:eastAsia="仿宋_GB2312"/>
          <w:sz w:val="32"/>
        </w:rPr>
        <w:t>结合农时社情，开展市场调研，掌握现时动态及发展趋势，为领导决策和企业经营提供科学依据和信息支持；搞好数表、材料的上报下达工作，做到数字准确，来源有据、逻辑合理、反馈及时；开展统计执法检查，健全</w:t>
      </w:r>
      <w:r>
        <w:rPr>
          <w:rFonts w:hint="eastAsia" w:ascii="仿宋_GB2312" w:hAnsi="仿宋_GB2312" w:eastAsia="仿宋_GB2312"/>
          <w:sz w:val="32"/>
          <w:lang w:val="en-US" w:eastAsia="zh-CN"/>
        </w:rPr>
        <w:t>档</w:t>
      </w:r>
      <w:r>
        <w:rPr>
          <w:rFonts w:hint="eastAsia" w:ascii="仿宋_GB2312" w:hAnsi="仿宋_GB2312" w:eastAsia="仿宋_GB2312"/>
          <w:sz w:val="32"/>
        </w:rPr>
        <w:t>案管理机制，以《统计法》规范企业经营行为；搞活商品经营，组织两总、双联，做到不脱销断档，保障供应；做好科技基层工作，组织岗位练兵和技能培训，为专业协会、村级综合服务站，农村超市、龙头企业及专业合作社兴建提供人才资源和技能保证；强力推进“1+7”模式的社区综合服务中心建设，为健全“一个中心两个体系”经营管理机制奠定基础；完善和加强“四大网络”构建工程，为龙头企业经营筑渠导流，事项传统营销方式向连锁经营现代流通方式的过渡。</w:t>
      </w:r>
    </w:p>
    <w:p>
      <w:pPr>
        <w:ind w:firstLine="643" w:firstLineChars="200"/>
        <w:rPr>
          <w:rFonts w:ascii="仿宋_GB2312" w:hAnsi="仿宋_GB2312" w:eastAsia="仿宋_GB2312"/>
          <w:sz w:val="32"/>
        </w:rPr>
      </w:pPr>
      <w:r>
        <w:rPr>
          <w:rFonts w:hint="eastAsia" w:ascii="楷体" w:hAnsi="楷体" w:eastAsia="楷体" w:cs="楷体"/>
          <w:b/>
          <w:bCs/>
          <w:sz w:val="32"/>
        </w:rPr>
        <w:t>6、资产管理科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hint="eastAsia" w:ascii="仿宋_GB2312" w:hAnsi="仿宋_GB2312" w:eastAsia="仿宋_GB2312"/>
          <w:sz w:val="32"/>
        </w:rPr>
        <w:t>对系统资产进行登记管理；对系统企业进行必要的审计；对系统的违规、违纪事件、人物进行纪律查处；对招租、承包企业进行资产审核，履行租赁，承包手续完善，并监督其运营情况；对系统企业提供法律援助，对企业合同、协议进行审核，处理企业终结的相关事宜；对系统企业租赁、承包，企业的终结的档案进行管理。</w:t>
      </w:r>
    </w:p>
    <w:p>
      <w:pPr>
        <w:ind w:firstLine="643" w:firstLineChars="200"/>
        <w:rPr>
          <w:rFonts w:ascii="仿宋_GB2312" w:hAnsi="仿宋_GB2312" w:eastAsia="仿宋_GB2312"/>
          <w:sz w:val="32"/>
        </w:rPr>
      </w:pPr>
      <w:r>
        <w:rPr>
          <w:rFonts w:hint="eastAsia" w:ascii="楷体" w:hAnsi="楷体" w:eastAsia="楷体" w:cs="楷体"/>
          <w:b/>
          <w:bCs/>
          <w:sz w:val="32"/>
        </w:rPr>
        <w:t>7、综治办</w:t>
      </w:r>
      <w:r>
        <w:rPr>
          <w:rFonts w:hint="eastAsia" w:ascii="黑体" w:hAnsi="黑体" w:eastAsia="黑体" w:cs="黑体"/>
          <w:sz w:val="32"/>
        </w:rPr>
        <w:t>：</w:t>
      </w:r>
      <w:r>
        <w:rPr>
          <w:rFonts w:hint="eastAsia" w:ascii="仿宋_GB2312" w:hAnsi="仿宋_GB2312" w:eastAsia="仿宋_GB2312"/>
          <w:sz w:val="32"/>
        </w:rPr>
        <w:t>履行安全保卫职责，随时处于工作状态，迅速应对突发事件；加强安全保卫定期检查和督导，消除系统安全隐患；严格岗位责任和追究制度，做好日常和重大节日值班工作；加强安全保卫工作排查，切实搞好重点岗位及单位的安保工作，配合相关部门搞好安全执法检查；做好系统招商引资，争上项目工作，为牵头项目企业做好协调服务和排忧解困工作；帮助系统基层企业做好证照的年审工作。认真学习研究各项政策和法律法规，极限维护企业的合法权益，为系统企业生产经营保驾护航；协调各职能部门的关系，为企业经营创造宽松的环境；</w:t>
      </w:r>
      <w:r>
        <w:rPr>
          <w:rFonts w:hint="eastAsia" w:ascii="仿宋_GB2312" w:hAnsi="仿宋_GB2312" w:eastAsia="仿宋_GB2312"/>
          <w:sz w:val="32"/>
          <w:shd w:val="solid" w:color="FFFFFF" w:fill="auto"/>
        </w:rPr>
        <w:t>做好盐业市场管理、</w:t>
      </w:r>
      <w:r>
        <w:rPr>
          <w:rFonts w:hint="eastAsia" w:ascii="仿宋_GB2312" w:hAnsi="仿宋_GB2312" w:eastAsia="仿宋_GB2312"/>
          <w:color w:val="333333"/>
          <w:sz w:val="32"/>
          <w:shd w:val="solid" w:color="FFFFFF" w:fill="auto"/>
        </w:rPr>
        <w:t>盐业稽查和盐政执法工作，依法查处盐业重大案件和盐业经营单位和个人的违规行为，</w:t>
      </w:r>
      <w:r>
        <w:rPr>
          <w:rFonts w:hint="eastAsia" w:ascii="仿宋_GB2312" w:hAnsi="仿宋_GB2312" w:eastAsia="仿宋_GB2312"/>
          <w:sz w:val="32"/>
          <w:shd w:val="solid" w:color="FFFFFF" w:fill="auto"/>
        </w:rPr>
        <w:t>保证全县人民食用合格放心碘盐；按程序实施盐业行政许可，依法行政、不徇私情、不出差错；严格遵守盐业行业禁令和盐政人员道德规范，文明执法，深化服务，严厉打击食盐违法行为，净化盐业市场。</w:t>
      </w:r>
    </w:p>
    <w:p>
      <w:pPr>
        <w:ind w:firstLine="643" w:firstLineChars="200"/>
        <w:rPr>
          <w:rFonts w:ascii="仿宋_GB2312" w:hAnsi="仿宋_GB2312" w:eastAsia="仿宋_GB2312"/>
          <w:sz w:val="32"/>
          <w:shd w:val="solid" w:color="FFFFFF" w:fill="auto"/>
        </w:rPr>
      </w:pPr>
      <w:r>
        <w:rPr>
          <w:rFonts w:hint="eastAsia" w:ascii="楷体" w:hAnsi="楷体" w:eastAsia="楷体" w:cs="楷体"/>
          <w:b/>
          <w:bCs/>
          <w:sz w:val="32"/>
          <w:shd w:val="solid" w:color="FFFFFF" w:fill="auto"/>
        </w:rPr>
        <w:t>8、网络服务中心</w:t>
      </w:r>
      <w:r>
        <w:rPr>
          <w:rFonts w:hint="eastAsia" w:ascii="黑体" w:hAnsi="黑体" w:eastAsia="黑体" w:cs="黑体"/>
          <w:sz w:val="32"/>
          <w:shd w:val="solid" w:color="FFFFFF" w:fill="auto"/>
        </w:rPr>
        <w:t>：</w:t>
      </w:r>
      <w:r>
        <w:rPr>
          <w:rFonts w:hint="eastAsia" w:ascii="仿宋_GB2312" w:hAnsi="仿宋_GB2312" w:eastAsia="仿宋_GB2312"/>
          <w:sz w:val="32"/>
        </w:rPr>
        <w:t>负责建设、维护和管理机关网络，及时排除机关网络故障，保障机关互联网正常使用；充分利用网络优势加大企业工作信息的采集，为系统企业的经营提供有利、可靠的保障；及时上报可靠有利的业务信息，为领导决策提供科学的决策依据。</w:t>
      </w:r>
    </w:p>
    <w:p>
      <w:pPr>
        <w:widowControl/>
        <w:spacing w:line="360" w:lineRule="auto"/>
        <w:ind w:firstLine="64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</w:p>
    <w:p>
      <w:pPr>
        <w:widowControl/>
        <w:spacing w:line="360" w:lineRule="auto"/>
        <w:ind w:left="640" w:firstLine="160" w:firstLineChars="5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人员编制和领导职</w:t>
      </w:r>
    </w:p>
    <w:p>
      <w:pPr>
        <w:widowControl/>
        <w:spacing w:line="360" w:lineRule="auto"/>
        <w:ind w:left="640" w:firstLine="160" w:firstLineChars="50"/>
        <w:jc w:val="left"/>
        <w:rPr>
          <w:rFonts w:ascii="仿宋" w:hAnsi="仿宋" w:eastAsia="仿宋" w:cs="仿宋"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Cs/>
          <w:kern w:val="0"/>
          <w:sz w:val="32"/>
          <w:szCs w:val="32"/>
        </w:rPr>
        <w:t>成安县供销社，人员编制25名，其中领导职数3个。</w:t>
      </w:r>
    </w:p>
    <w:p>
      <w:pPr>
        <w:outlineLvl w:val="0"/>
        <w:rPr>
          <w:rFonts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　</w:t>
      </w:r>
      <w:r>
        <w:rPr>
          <w:rFonts w:hint="eastAsia" w:ascii="黑体" w:hAnsi="黑体" w:eastAsia="黑体" w:cs="黑体"/>
          <w:kern w:val="0"/>
          <w:sz w:val="32"/>
          <w:szCs w:val="32"/>
        </w:rPr>
        <w:t>二、部门预算安排总体情况</w:t>
      </w:r>
    </w:p>
    <w:p>
      <w:pPr>
        <w:widowControl/>
        <w:spacing w:line="360" w:lineRule="auto"/>
        <w:ind w:firstLine="627" w:firstLineChars="196"/>
        <w:jc w:val="left"/>
        <w:rPr>
          <w:rFonts w:ascii="仿宋" w:hAnsi="仿宋" w:eastAsia="仿宋" w:cs="仿宋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2017年部门收入预算总额为168万元，部门支出预算总额为168万元（其中基本支出168万元，项目经费0万元）。</w:t>
      </w:r>
      <w:r>
        <w:rPr>
          <w:rFonts w:hint="eastAsia" w:ascii="仿宋" w:hAnsi="仿宋" w:eastAsia="仿宋" w:cs="仿宋"/>
          <w:kern w:val="0"/>
          <w:sz w:val="32"/>
          <w:szCs w:val="32"/>
        </w:rPr>
        <w:t>2017年财政拨款收入86.08万元，总支出86.08万元。</w:t>
      </w:r>
    </w:p>
    <w:p>
      <w:pPr>
        <w:widowControl/>
        <w:spacing w:line="360" w:lineRule="auto"/>
        <w:ind w:firstLine="480" w:firstLineChars="15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三、机关运行经费情况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日常公用经费安排5万元，包括：办公费、差旅费、水费、电费、会议费、招待费、转移支付，其他支出等。</w:t>
      </w:r>
      <w:r>
        <w:rPr>
          <w:rFonts w:ascii="Calibri" w:hAnsi="Calibri" w:eastAsia="仿宋_GB2312" w:cs="Calibri"/>
          <w:kern w:val="0"/>
          <w:sz w:val="32"/>
          <w:szCs w:val="32"/>
        </w:rPr>
        <w:t>人员经费支出</w:t>
      </w:r>
      <w:r>
        <w:rPr>
          <w:rFonts w:hint="eastAsia" w:ascii="Calibri" w:hAnsi="Calibri" w:eastAsia="仿宋_GB2312" w:cs="Calibri"/>
          <w:kern w:val="0"/>
          <w:sz w:val="32"/>
          <w:szCs w:val="32"/>
        </w:rPr>
        <w:t>157</w:t>
      </w:r>
      <w:r>
        <w:rPr>
          <w:rFonts w:ascii="Calibri" w:hAnsi="Calibri" w:eastAsia="仿宋_GB2312" w:cs="Calibri"/>
          <w:kern w:val="0"/>
          <w:sz w:val="32"/>
          <w:szCs w:val="32"/>
        </w:rPr>
        <w:t>万元，同比去年增长</w:t>
      </w:r>
      <w:r>
        <w:rPr>
          <w:rFonts w:hint="eastAsia" w:ascii="Calibri" w:hAnsi="Calibri" w:eastAsia="仿宋_GB2312" w:cs="Calibri"/>
          <w:kern w:val="0"/>
          <w:sz w:val="32"/>
          <w:szCs w:val="32"/>
        </w:rPr>
        <w:t>10</w:t>
      </w:r>
      <w:r>
        <w:rPr>
          <w:rFonts w:ascii="Calibri" w:hAnsi="Calibri" w:eastAsia="仿宋_GB2312" w:cs="Calibri"/>
          <w:kern w:val="0"/>
          <w:sz w:val="32"/>
          <w:szCs w:val="32"/>
        </w:rPr>
        <w:t>%。增长原因是201</w:t>
      </w:r>
      <w:r>
        <w:rPr>
          <w:rFonts w:hint="eastAsia" w:ascii="Calibri" w:hAnsi="Calibri" w:eastAsia="仿宋_GB2312" w:cs="Calibri"/>
          <w:kern w:val="0"/>
          <w:sz w:val="32"/>
          <w:szCs w:val="32"/>
        </w:rPr>
        <w:t>6</w:t>
      </w:r>
      <w:r>
        <w:rPr>
          <w:rFonts w:ascii="Calibri" w:hAnsi="Calibri" w:eastAsia="仿宋_GB2312" w:cs="Calibri"/>
          <w:kern w:val="0"/>
          <w:sz w:val="32"/>
          <w:szCs w:val="32"/>
        </w:rPr>
        <w:t>年机关事业单位统一调高了工资标准。其中，工资福利支出</w:t>
      </w:r>
      <w:r>
        <w:rPr>
          <w:rFonts w:hint="eastAsia" w:ascii="Calibri" w:hAnsi="Calibri" w:eastAsia="仿宋_GB2312" w:cs="Calibri"/>
          <w:kern w:val="0"/>
          <w:sz w:val="32"/>
          <w:szCs w:val="32"/>
        </w:rPr>
        <w:t>108.24</w:t>
      </w:r>
      <w:r>
        <w:rPr>
          <w:rFonts w:ascii="Calibri" w:hAnsi="Calibri" w:eastAsia="仿宋_GB2312" w:cs="Calibri"/>
          <w:kern w:val="0"/>
          <w:sz w:val="32"/>
          <w:szCs w:val="32"/>
        </w:rPr>
        <w:t>万元，对个人和家庭的补助支出</w:t>
      </w:r>
      <w:r>
        <w:rPr>
          <w:rFonts w:hint="eastAsia" w:ascii="Calibri" w:hAnsi="Calibri" w:eastAsia="仿宋_GB2312" w:cs="Calibri"/>
          <w:kern w:val="0"/>
          <w:sz w:val="32"/>
          <w:szCs w:val="32"/>
        </w:rPr>
        <w:t>48.76</w:t>
      </w:r>
      <w:r>
        <w:rPr>
          <w:rFonts w:ascii="Calibri" w:hAnsi="Calibri" w:eastAsia="仿宋_GB2312" w:cs="Calibri"/>
          <w:kern w:val="0"/>
          <w:sz w:val="32"/>
          <w:szCs w:val="32"/>
        </w:rPr>
        <w:t>万元。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四、“三公”经费预算情况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2018年度“三公”预算支出0万元，其中，因公出国（境）费0元，安排公务用车维护费0元，（其中公务用车购置费0元，公务用车运行维护费0万元），公务接等费0万元，2018年“三公”经费预算减少了0%。“三公”经费增减原因：由于2016年公车拍卖，2018年实行车补，油修费用预算</w:t>
      </w:r>
      <w:r>
        <w:rPr>
          <w:rFonts w:hint="eastAsia" w:ascii="仿宋_GB2312" w:hAnsi="Calibri" w:eastAsia="仿宋_GB2312" w:cs="仿宋_GB2312"/>
          <w:kern w:val="0"/>
          <w:sz w:val="32"/>
          <w:szCs w:val="32"/>
          <w:lang w:val="en-US" w:eastAsia="zh-CN"/>
        </w:rPr>
        <w:t>安</w:t>
      </w:r>
      <w:bookmarkStart w:id="0" w:name="_GoBack"/>
      <w:bookmarkEnd w:id="0"/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排减少。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五、绩效预算情况</w:t>
      </w:r>
    </w:p>
    <w:p>
      <w:pPr>
        <w:outlineLvl w:val="0"/>
        <w:rPr>
          <w:rFonts w:ascii="方正小标宋_GBK" w:eastAsia="方正小标宋_GBK"/>
          <w:sz w:val="32"/>
        </w:rPr>
        <w:sectPr>
          <w:headerReference r:id="rId3" w:type="default"/>
          <w:pgSz w:w="11907" w:h="16839"/>
          <w:pgMar w:top="1020" w:right="1134" w:bottom="1020" w:left="1134" w:header="851" w:footer="992" w:gutter="0"/>
          <w:cols w:space="425" w:num="1"/>
          <w:docGrid w:type="lines" w:linePitch="312" w:charSpace="0"/>
        </w:sectPr>
      </w:pPr>
    </w:p>
    <w:p>
      <w:pPr>
        <w:jc w:val="center"/>
        <w:outlineLvl w:val="0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部门职责-工作活动绩效目标</w:t>
      </w:r>
    </w:p>
    <w:tbl>
      <w:tblPr>
        <w:tblStyle w:val="6"/>
        <w:tblW w:w="1393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1"/>
        <w:gridCol w:w="1276"/>
        <w:gridCol w:w="2976"/>
        <w:gridCol w:w="2976"/>
        <w:gridCol w:w="1417"/>
        <w:gridCol w:w="737"/>
        <w:gridCol w:w="737"/>
        <w:gridCol w:w="737"/>
        <w:gridCol w:w="73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986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817成安县供销社</w:t>
            </w:r>
          </w:p>
        </w:tc>
        <w:tc>
          <w:tcPr>
            <w:tcW w:w="2948" w:type="dxa"/>
            <w:gridSpan w:val="4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right"/>
              <w:rPr>
                <w:rFonts w:ascii="方正书宋_GBK" w:eastAsia="方正书宋_GBK"/>
                <w:sz w:val="24"/>
              </w:rPr>
            </w:pPr>
            <w:r>
              <w:rPr>
                <w:rFonts w:hint="eastAsia" w:ascii="方正书宋_GBK" w:eastAsia="方正书宋_GBK"/>
                <w:sz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职责活动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年度预算数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内容描述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绩效目标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绩效指标</w:t>
            </w:r>
          </w:p>
        </w:tc>
        <w:tc>
          <w:tcPr>
            <w:tcW w:w="2948" w:type="dxa"/>
            <w:gridSpan w:val="4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评价标准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341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12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1417" w:type="dxa"/>
            <w:vMerge w:val="continue"/>
            <w:shd w:val="clear" w:color="auto" w:fill="auto"/>
            <w:vAlign w:val="center"/>
          </w:tcPr>
          <w:p>
            <w:pPr>
              <w:spacing w:line="300" w:lineRule="exact"/>
              <w:jc w:val="left"/>
              <w:outlineLvl w:val="0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优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良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中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供销流通管理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64.08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贯彻上级方针政策，管理运营县级社有资产、行使出资人职能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确保供销社事业改革、发展和壮大、发挥供销社为“三农”服务的作用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发展现代流通网络建设及管理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64.08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指导系统流通网络建设、发挥供销社连接城乡、农村的桥梁作用，建设商流、物流、信息流相统一的城乡双向流通网络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成为农村现代流通的主导力量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农村物流网络体系建设完成率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物资储备管理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负责重要物资的储备工作。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充分发挥供销社在流通领域的应急调控作用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341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  <w:b/>
              </w:rPr>
            </w:pPr>
            <w:r>
              <w:rPr>
                <w:rFonts w:hint="eastAsia" w:ascii="仿宋" w:hAnsi="仿宋" w:eastAsia="仿宋" w:cs="仿宋"/>
                <w:b/>
              </w:rPr>
              <w:t>　　重要商品物资储备及监管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调节商品供求关系，稳定物价、保障市场供应、保证防汛救灾的需要、增强政府对市场的宏观调控能力。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安排、组织代储企业依据储备计划及时足额、保质保量做好储备商品的收储、轮换等工作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spacing w:line="300" w:lineRule="exact"/>
              <w:jc w:val="lef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商品收储轮换计划完成率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60</w:t>
            </w:r>
          </w:p>
        </w:tc>
        <w:tc>
          <w:tcPr>
            <w:tcW w:w="737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40</w:t>
            </w:r>
          </w:p>
        </w:tc>
      </w:tr>
    </w:tbl>
    <w:p>
      <w:pPr>
        <w:widowControl/>
        <w:spacing w:line="360" w:lineRule="auto"/>
        <w:jc w:val="left"/>
        <w:rPr>
          <w:rFonts w:ascii="Calibri" w:hAnsi="Calibri" w:eastAsia="仿宋_GB2312" w:cs="Calibri"/>
          <w:b/>
          <w:kern w:val="0"/>
          <w:sz w:val="32"/>
          <w:szCs w:val="32"/>
        </w:rPr>
        <w:sectPr>
          <w:pgSz w:w="16839" w:h="11907" w:orient="landscape"/>
          <w:pgMar w:top="1134" w:right="1020" w:bottom="1134" w:left="1020" w:header="851" w:footer="992" w:gutter="0"/>
          <w:cols w:space="0" w:num="1"/>
          <w:docGrid w:type="lines" w:linePitch="321" w:charSpace="0"/>
        </w:sectPr>
      </w:pP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六、政府采购预算情况</w:t>
      </w:r>
    </w:p>
    <w:p>
      <w:pPr>
        <w:widowControl/>
        <w:spacing w:line="360" w:lineRule="auto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hint="eastAsia" w:ascii="Calibri" w:hAnsi="Calibri" w:eastAsia="仿宋_GB2312" w:cs="Calibri"/>
          <w:b/>
          <w:kern w:val="0"/>
          <w:sz w:val="32"/>
          <w:szCs w:val="32"/>
        </w:rPr>
        <w:t xml:space="preserve">   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政府采购指国家机关、事业单位和社会团体组织，使用财政性资金，购买集中采购目录以内的或者采购限额标准以上的货物、工程或服务的行为。政府采购应遵循公开透明、公平竞争、公正和诚实信用的原则。凡使用纳入预算管理的资金采购符合《河北省政府采购集中采购目录和限额标准》（冀财采[2015]11号）要求的货物、工程或服务的项目，采购人均应编入政府采购预算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按照政府采购相关法律法规要求，结合我局实际，201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8</w:t>
      </w:r>
      <w:r>
        <w:rPr>
          <w:rFonts w:ascii="仿宋_GB2312" w:hAnsi="微软雅黑" w:eastAsia="仿宋_GB2312" w:cs="仿宋_GB2312"/>
          <w:kern w:val="0"/>
          <w:sz w:val="32"/>
          <w:szCs w:val="32"/>
        </w:rPr>
        <w:t>年我局政府采购事项为</w:t>
      </w:r>
      <w:r>
        <w:rPr>
          <w:rFonts w:hint="eastAsia" w:ascii="仿宋_GB2312" w:hAnsi="微软雅黑" w:eastAsia="仿宋_GB2312" w:cs="仿宋_GB2312"/>
          <w:kern w:val="0"/>
          <w:sz w:val="32"/>
          <w:szCs w:val="32"/>
        </w:rPr>
        <w:t>0万元，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本年拟用于政府采购微机等办公设备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0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万元。</w:t>
      </w:r>
    </w:p>
    <w:tbl>
      <w:tblPr>
        <w:tblStyle w:val="6"/>
        <w:tblW w:w="906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667"/>
        <w:gridCol w:w="1065"/>
        <w:gridCol w:w="567"/>
        <w:gridCol w:w="337"/>
        <w:gridCol w:w="549"/>
        <w:gridCol w:w="565"/>
        <w:gridCol w:w="562"/>
        <w:gridCol w:w="562"/>
        <w:gridCol w:w="562"/>
        <w:gridCol w:w="511"/>
        <w:gridCol w:w="551"/>
        <w:gridCol w:w="551"/>
        <w:gridCol w:w="51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blHeader/>
          <w:jc w:val="center"/>
        </w:trPr>
        <w:tc>
          <w:tcPr>
            <w:tcW w:w="524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left"/>
              <w:rPr>
                <w:rFonts w:ascii="仿宋" w:hAnsi="仿宋" w:eastAsia="仿宋" w:cs="Times New Roman"/>
              </w:rPr>
            </w:pPr>
            <w:r>
              <w:rPr>
                <w:rFonts w:hint="eastAsia" w:ascii="仿宋" w:hAnsi="仿宋" w:eastAsia="仿宋" w:cs="方正小标宋_GBK"/>
              </w:rPr>
              <w:t>部门（单位）名称：成安县供销社</w:t>
            </w:r>
          </w:p>
        </w:tc>
        <w:tc>
          <w:tcPr>
            <w:tcW w:w="3815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spacing w:line="560" w:lineRule="exact"/>
              <w:jc w:val="righ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方正书宋_GBK"/>
                <w:sz w:val="24"/>
                <w:szCs w:val="24"/>
              </w:rP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162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政府采购项目来源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采购物品名称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政府采购目录序号</w:t>
            </w:r>
          </w:p>
        </w:tc>
        <w:tc>
          <w:tcPr>
            <w:tcW w:w="33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  <w:r>
              <w:rPr>
                <w:rFonts w:ascii="宋体" w:hAnsi="宋体" w:eastAsia="宋体" w:cs="方正书宋_GBK"/>
                <w:b/>
                <w:bCs/>
              </w:rPr>
              <w:t xml:space="preserve">  </w:t>
            </w:r>
            <w:r>
              <w:rPr>
                <w:rFonts w:hint="eastAsia" w:ascii="宋体" w:hAnsi="宋体" w:eastAsia="宋体" w:cs="方正书宋_GBK"/>
                <w:b/>
                <w:bCs/>
              </w:rPr>
              <w:t>单位</w:t>
            </w:r>
          </w:p>
        </w:tc>
        <w:tc>
          <w:tcPr>
            <w:tcW w:w="549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数量</w:t>
            </w:r>
          </w:p>
        </w:tc>
        <w:tc>
          <w:tcPr>
            <w:tcW w:w="56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单价</w:t>
            </w:r>
          </w:p>
        </w:tc>
        <w:tc>
          <w:tcPr>
            <w:tcW w:w="3815" w:type="dxa"/>
            <w:gridSpan w:val="7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政府采购金额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项目名称</w:t>
            </w:r>
          </w:p>
        </w:tc>
        <w:tc>
          <w:tcPr>
            <w:tcW w:w="667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预算资金</w:t>
            </w: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3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总计</w:t>
            </w:r>
          </w:p>
        </w:tc>
        <w:tc>
          <w:tcPr>
            <w:tcW w:w="2737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当年部门预算安排资金</w:t>
            </w:r>
          </w:p>
        </w:tc>
        <w:tc>
          <w:tcPr>
            <w:tcW w:w="516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其他渠道资金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149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66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337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5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合计</w:t>
            </w: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一般公共预算拨款</w:t>
            </w: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基金预算拨款</w:t>
            </w: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财政专户核拨</w:t>
            </w: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 w:eastAsia="宋体" w:cs="Times New Roman"/>
                <w:b/>
                <w:bCs/>
              </w:rPr>
            </w:pPr>
            <w:r>
              <w:rPr>
                <w:rFonts w:hint="eastAsia" w:ascii="宋体" w:hAnsi="宋体" w:eastAsia="宋体" w:cs="方正书宋_GBK"/>
                <w:b/>
                <w:bCs/>
              </w:rPr>
              <w:t>其他来源收入</w:t>
            </w:r>
          </w:p>
        </w:tc>
        <w:tc>
          <w:tcPr>
            <w:tcW w:w="516" w:type="dxa"/>
            <w:vMerge w:val="continue"/>
            <w:vAlign w:val="center"/>
          </w:tcPr>
          <w:p>
            <w:pPr>
              <w:spacing w:line="560" w:lineRule="exact"/>
              <w:jc w:val="left"/>
              <w:outlineLvl w:val="0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37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37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37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9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667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67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337" w:type="dxa"/>
            <w:vAlign w:val="center"/>
          </w:tcPr>
          <w:p>
            <w:pPr>
              <w:spacing w:line="560" w:lineRule="exact"/>
              <w:jc w:val="left"/>
              <w:rPr>
                <w:rFonts w:ascii="宋体" w:hAnsi="宋体" w:eastAsia="宋体" w:cs="Times New Roman"/>
              </w:rPr>
            </w:pPr>
          </w:p>
        </w:tc>
        <w:tc>
          <w:tcPr>
            <w:tcW w:w="549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5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62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51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  <w:tc>
          <w:tcPr>
            <w:tcW w:w="516" w:type="dxa"/>
            <w:vAlign w:val="center"/>
          </w:tcPr>
          <w:p>
            <w:pPr>
              <w:spacing w:line="560" w:lineRule="exact"/>
              <w:jc w:val="right"/>
              <w:rPr>
                <w:rFonts w:ascii="宋体" w:hAnsi="宋体" w:eastAsia="宋体" w:cs="Times New Roman"/>
              </w:rPr>
            </w:pPr>
          </w:p>
        </w:tc>
      </w:tr>
    </w:tbl>
    <w:p>
      <w:pPr>
        <w:widowControl/>
        <w:spacing w:line="360" w:lineRule="auto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</w:p>
    <w:p>
      <w:pPr>
        <w:pStyle w:val="10"/>
        <w:widowControl/>
        <w:numPr>
          <w:ilvl w:val="0"/>
          <w:numId w:val="2"/>
        </w:numPr>
        <w:spacing w:line="360" w:lineRule="auto"/>
        <w:ind w:firstLineChars="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国有资产情况的说明</w:t>
      </w:r>
    </w:p>
    <w:p>
      <w:pPr>
        <w:widowControl/>
        <w:spacing w:line="360" w:lineRule="auto"/>
        <w:ind w:left="412" w:leftChars="196" w:firstLine="64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  <w:r>
        <w:rPr>
          <w:rFonts w:ascii="仿宋_GB2312" w:hAnsi="宋体" w:eastAsia="仿宋_GB2312" w:cs="宋体"/>
          <w:color w:val="333333"/>
          <w:kern w:val="0"/>
          <w:sz w:val="32"/>
          <w:szCs w:val="32"/>
        </w:rPr>
        <w:t>截止上年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末固定资产帐面结余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512</w:t>
      </w:r>
      <w:r>
        <w:rPr>
          <w:rFonts w:ascii="仿宋_GB2312" w:hAnsi="Calibri" w:eastAsia="仿宋_GB2312" w:cs="仿宋_GB2312"/>
          <w:kern w:val="0"/>
          <w:sz w:val="32"/>
          <w:szCs w:val="32"/>
        </w:rPr>
        <w:t>万元。</w:t>
      </w:r>
      <w:r>
        <w:rPr>
          <w:rFonts w:hint="eastAsia" w:ascii="仿宋_GB2312" w:hAnsi="Calibri" w:eastAsia="仿宋_GB2312" w:cs="仿宋_GB2312"/>
          <w:kern w:val="0"/>
          <w:sz w:val="32"/>
          <w:szCs w:val="32"/>
        </w:rPr>
        <w:t>其中：房屋价值415万元，车辆价值20万元，其它资产办公用电脑、办公家具、专用设备等价值57万元。2018年我单位拟购置20万元。</w:t>
      </w:r>
    </w:p>
    <w:tbl>
      <w:tblPr>
        <w:tblStyle w:val="6"/>
        <w:tblW w:w="9060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9"/>
        <w:gridCol w:w="855"/>
        <w:gridCol w:w="40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9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2"/>
                <w:szCs w:val="32"/>
              </w:rPr>
              <w:t>部门固定资产占用情况表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99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编制部门:成安县供销社</w:t>
            </w:r>
          </w:p>
        </w:tc>
        <w:tc>
          <w:tcPr>
            <w:tcW w:w="4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550" w:firstLineChars="250"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截止时间：2016年12月31日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项   目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数量</w:t>
            </w:r>
          </w:p>
        </w:tc>
        <w:tc>
          <w:tcPr>
            <w:tcW w:w="4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2"/>
              </w:rPr>
              <w:t>价值（金额单位：万元）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资产总额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——</w:t>
            </w: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512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1、房屋（平方米）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 xml:space="preserve">   其中：办公用房（平方米）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2、车辆（台、辆）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3、单价在50万元以上的设备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41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4、其他固定资产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</w:p>
        </w:tc>
        <w:tc>
          <w:tcPr>
            <w:tcW w:w="4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</w:rPr>
              <w:t>57</w:t>
            </w:r>
          </w:p>
        </w:tc>
      </w:tr>
    </w:tbl>
    <w:p>
      <w:pPr>
        <w:widowControl/>
        <w:spacing w:line="360" w:lineRule="auto"/>
        <w:ind w:left="412" w:leftChars="196" w:firstLine="640"/>
        <w:jc w:val="left"/>
        <w:rPr>
          <w:rFonts w:ascii="仿宋_GB2312" w:hAnsi="Calibri" w:eastAsia="仿宋_GB2312" w:cs="仿宋_GB2312"/>
          <w:kern w:val="0"/>
          <w:sz w:val="32"/>
          <w:szCs w:val="32"/>
        </w:rPr>
      </w:pPr>
    </w:p>
    <w:p>
      <w:pPr>
        <w:widowControl/>
        <w:numPr>
          <w:ilvl w:val="0"/>
          <w:numId w:val="3"/>
        </w:numPr>
        <w:spacing w:line="360" w:lineRule="auto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名词解释  </w:t>
      </w:r>
    </w:p>
    <w:p>
      <w:pPr>
        <w:widowControl/>
        <w:spacing w:line="360" w:lineRule="auto"/>
        <w:ind w:left="319" w:leftChars="152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楷体" w:hAnsi="楷体" w:eastAsia="楷体" w:cs="楷体"/>
          <w:bCs/>
          <w:kern w:val="0"/>
          <w:sz w:val="32"/>
          <w:szCs w:val="32"/>
        </w:rPr>
        <w:t>1、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财政拨款收入</w:t>
      </w:r>
      <w:r>
        <w:rPr>
          <w:rFonts w:hint="eastAsia" w:ascii="仿宋" w:hAnsi="仿宋" w:eastAsia="仿宋" w:cs="仿宋"/>
          <w:bCs/>
          <w:kern w:val="0"/>
          <w:sz w:val="32"/>
          <w:szCs w:val="32"/>
        </w:rPr>
        <w:t>：指</w:t>
      </w:r>
      <w:r>
        <w:rPr>
          <w:rFonts w:hint="eastAsia" w:ascii="仿宋" w:hAnsi="仿宋" w:eastAsia="仿宋" w:cs="仿宋"/>
          <w:kern w:val="0"/>
          <w:sz w:val="32"/>
          <w:szCs w:val="32"/>
        </w:rPr>
        <w:t>财政当年拨付的资金。</w:t>
      </w:r>
    </w:p>
    <w:p>
      <w:pPr>
        <w:widowControl/>
        <w:spacing w:line="360" w:lineRule="auto"/>
        <w:ind w:left="319" w:leftChars="152"/>
        <w:jc w:val="left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>2、</w:t>
      </w: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“三公”经费：</w:t>
      </w:r>
      <w:r>
        <w:rPr>
          <w:rFonts w:hint="eastAsia" w:ascii="仿宋" w:hAnsi="仿宋" w:eastAsia="仿宋" w:cs="仿宋"/>
          <w:kern w:val="0"/>
          <w:sz w:val="32"/>
          <w:szCs w:val="32"/>
        </w:rPr>
        <w:t>包括因公出国（境）费、公务接待费和公务用车购置及运行费。因公出国（境）费，指单位工作人员公务出国（境）的住宿费、差旅费、伙食补助费、杂费、培训费等支出。公务接待费，指单位按规定开支的各类公务接待（含外宾接待）支出。公务用车购置及运行费，指单位公务用车购置费及租用费、燃料费、维修费、等支出，公务用车指用于履行公务的机动车辆，包括领导干部专车、一般公务用车和执法执勤等业务用车。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kern w:val="0"/>
          <w:sz w:val="32"/>
          <w:szCs w:val="32"/>
        </w:rPr>
        <w:t>3、年初结转和结余</w:t>
      </w:r>
      <w:r>
        <w:rPr>
          <w:rFonts w:hint="eastAsia" w:ascii="仿宋" w:hAnsi="仿宋" w:eastAsia="仿宋" w:cs="仿宋"/>
          <w:kern w:val="0"/>
          <w:sz w:val="32"/>
          <w:szCs w:val="32"/>
        </w:rPr>
        <w:t>：指以前年度尚未完成，结转到本年仍按照原规定用途继续使用的资金，或项目已完成等产生的结余资金。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 4、基本支出：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指单位为了保障其正常运转、完成日常工作任务而发生的人员支出和公用支出。</w:t>
      </w:r>
    </w:p>
    <w:p>
      <w:pPr>
        <w:widowControl/>
        <w:spacing w:line="360" w:lineRule="auto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楷体" w:hAnsi="楷体" w:eastAsia="楷体" w:cs="楷体"/>
          <w:kern w:val="0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b/>
          <w:kern w:val="0"/>
          <w:sz w:val="32"/>
          <w:szCs w:val="32"/>
        </w:rPr>
        <w:t> 5、项目支出：</w:t>
      </w:r>
      <w:r>
        <w:rPr>
          <w:rFonts w:hint="eastAsia" w:ascii="仿宋" w:hAnsi="仿宋" w:eastAsia="仿宋" w:cs="仿宋"/>
          <w:kern w:val="0"/>
          <w:sz w:val="32"/>
          <w:szCs w:val="32"/>
        </w:rPr>
        <w:t>指单位为了特定的工作任务和事业发展目标，在基本支出之外所发生的支出。</w:t>
      </w:r>
    </w:p>
    <w:p>
      <w:pPr>
        <w:widowControl/>
        <w:spacing w:line="360" w:lineRule="auto"/>
        <w:ind w:firstLine="640" w:firstLineChars="200"/>
        <w:jc w:val="left"/>
        <w:rPr>
          <w:rFonts w:ascii="黑体" w:hAnsi="黑体" w:eastAsia="黑体" w:cs="仿宋"/>
          <w:kern w:val="0"/>
          <w:sz w:val="32"/>
          <w:szCs w:val="32"/>
        </w:rPr>
      </w:pPr>
      <w:r>
        <w:rPr>
          <w:rFonts w:hint="eastAsia" w:ascii="黑体" w:hAnsi="黑体" w:eastAsia="黑体" w:cs="仿宋"/>
          <w:kern w:val="0"/>
          <w:sz w:val="32"/>
          <w:szCs w:val="32"/>
        </w:rPr>
        <w:t>九、其他需要说明的事项</w:t>
      </w:r>
    </w:p>
    <w:p>
      <w:pPr>
        <w:tabs>
          <w:tab w:val="left" w:pos="11490"/>
        </w:tabs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无其它需要说明的事项。</w:t>
      </w:r>
    </w:p>
    <w:p>
      <w:pPr>
        <w:widowControl/>
        <w:spacing w:line="360" w:lineRule="auto"/>
        <w:ind w:firstLine="420" w:firstLineChars="200"/>
        <w:jc w:val="left"/>
      </w:pPr>
    </w:p>
    <w:sectPr>
      <w:pgSz w:w="11907" w:h="16839"/>
      <w:pgMar w:top="1020" w:right="1134" w:bottom="102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276745"/>
    <w:multiLevelType w:val="multilevel"/>
    <w:tmpl w:val="4E276745"/>
    <w:lvl w:ilvl="0" w:tentative="0">
      <w:start w:val="7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5A06FE07"/>
    <w:multiLevelType w:val="singleLevel"/>
    <w:tmpl w:val="5A06FE07"/>
    <w:lvl w:ilvl="0" w:tentative="0">
      <w:start w:val="8"/>
      <w:numFmt w:val="chineseCounting"/>
      <w:suff w:val="nothing"/>
      <w:lvlText w:val="%1、"/>
      <w:lvlJc w:val="left"/>
    </w:lvl>
  </w:abstractNum>
  <w:abstractNum w:abstractNumId="2">
    <w:nsid w:val="779556B5"/>
    <w:multiLevelType w:val="multilevel"/>
    <w:tmpl w:val="779556B5"/>
    <w:lvl w:ilvl="0" w:tentative="0">
      <w:start w:val="1"/>
      <w:numFmt w:val="japaneseCounting"/>
      <w:lvlText w:val="%1、"/>
      <w:lvlJc w:val="left"/>
      <w:pPr>
        <w:ind w:left="1440" w:hanging="720"/>
      </w:pPr>
      <w:rPr>
        <w:rFonts w:hint="default" w:ascii="Calibri" w:hAnsi="Calibri" w:cs="Calibri"/>
        <w:b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6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iZDI5MTViYTZmZjhmYzE0YjVhMTQzMjhjOGJhNTkifQ=="/>
  </w:docVars>
  <w:rsids>
    <w:rsidRoot w:val="00E810D6"/>
    <w:rsid w:val="000E0363"/>
    <w:rsid w:val="00125176"/>
    <w:rsid w:val="001C4375"/>
    <w:rsid w:val="001D3C10"/>
    <w:rsid w:val="002457AF"/>
    <w:rsid w:val="0025019C"/>
    <w:rsid w:val="002E3A95"/>
    <w:rsid w:val="003574B6"/>
    <w:rsid w:val="003F0CB8"/>
    <w:rsid w:val="00405B83"/>
    <w:rsid w:val="004A6848"/>
    <w:rsid w:val="004B7146"/>
    <w:rsid w:val="004D488A"/>
    <w:rsid w:val="0058276B"/>
    <w:rsid w:val="005B700B"/>
    <w:rsid w:val="005D136A"/>
    <w:rsid w:val="005D2D2D"/>
    <w:rsid w:val="0062621A"/>
    <w:rsid w:val="00652661"/>
    <w:rsid w:val="00683EE9"/>
    <w:rsid w:val="00684C7B"/>
    <w:rsid w:val="00685811"/>
    <w:rsid w:val="006D1C5B"/>
    <w:rsid w:val="0078204C"/>
    <w:rsid w:val="007919E2"/>
    <w:rsid w:val="007A507B"/>
    <w:rsid w:val="007D6BF0"/>
    <w:rsid w:val="008058DC"/>
    <w:rsid w:val="00812D77"/>
    <w:rsid w:val="00824837"/>
    <w:rsid w:val="00862B08"/>
    <w:rsid w:val="008C7744"/>
    <w:rsid w:val="008F52F3"/>
    <w:rsid w:val="00960342"/>
    <w:rsid w:val="009E737F"/>
    <w:rsid w:val="00A07D70"/>
    <w:rsid w:val="00BE3556"/>
    <w:rsid w:val="00C53CFD"/>
    <w:rsid w:val="00C77732"/>
    <w:rsid w:val="00CB200F"/>
    <w:rsid w:val="00CC4E3B"/>
    <w:rsid w:val="00DB2582"/>
    <w:rsid w:val="00E4300D"/>
    <w:rsid w:val="00E810D6"/>
    <w:rsid w:val="00EB498C"/>
    <w:rsid w:val="00EC4A30"/>
    <w:rsid w:val="00F1158C"/>
    <w:rsid w:val="013B67CD"/>
    <w:rsid w:val="01CA412B"/>
    <w:rsid w:val="030604E0"/>
    <w:rsid w:val="037D399A"/>
    <w:rsid w:val="03B213E5"/>
    <w:rsid w:val="03DB2E74"/>
    <w:rsid w:val="06096D52"/>
    <w:rsid w:val="06550E5D"/>
    <w:rsid w:val="0726741C"/>
    <w:rsid w:val="08D34D69"/>
    <w:rsid w:val="09E50DB9"/>
    <w:rsid w:val="0BB759F9"/>
    <w:rsid w:val="0CBF7A43"/>
    <w:rsid w:val="0DD4180B"/>
    <w:rsid w:val="130B706D"/>
    <w:rsid w:val="139106CF"/>
    <w:rsid w:val="13DE0FA8"/>
    <w:rsid w:val="14E06073"/>
    <w:rsid w:val="163506CD"/>
    <w:rsid w:val="17252863"/>
    <w:rsid w:val="175940C0"/>
    <w:rsid w:val="17C16AC9"/>
    <w:rsid w:val="180D78B9"/>
    <w:rsid w:val="1AEF7278"/>
    <w:rsid w:val="1B2A5EA4"/>
    <w:rsid w:val="1CC97251"/>
    <w:rsid w:val="1CEB0A1C"/>
    <w:rsid w:val="1DE14C41"/>
    <w:rsid w:val="1E8167C1"/>
    <w:rsid w:val="1EAA0AE1"/>
    <w:rsid w:val="21B66276"/>
    <w:rsid w:val="228819EE"/>
    <w:rsid w:val="24946550"/>
    <w:rsid w:val="268E0934"/>
    <w:rsid w:val="2716314B"/>
    <w:rsid w:val="288A4B30"/>
    <w:rsid w:val="28E516DB"/>
    <w:rsid w:val="299267B6"/>
    <w:rsid w:val="29A63CCE"/>
    <w:rsid w:val="2AD57C75"/>
    <w:rsid w:val="2BAA47A7"/>
    <w:rsid w:val="2DCE40BA"/>
    <w:rsid w:val="2E066AE5"/>
    <w:rsid w:val="2E2777CE"/>
    <w:rsid w:val="2EE04A84"/>
    <w:rsid w:val="31B563F0"/>
    <w:rsid w:val="31D059F4"/>
    <w:rsid w:val="332A0BBD"/>
    <w:rsid w:val="3387759D"/>
    <w:rsid w:val="351C5D1D"/>
    <w:rsid w:val="36DF5EE5"/>
    <w:rsid w:val="38963AA1"/>
    <w:rsid w:val="39461E7C"/>
    <w:rsid w:val="39A75722"/>
    <w:rsid w:val="3B6E7B6E"/>
    <w:rsid w:val="3C712CD5"/>
    <w:rsid w:val="3CEC5D53"/>
    <w:rsid w:val="3D53414F"/>
    <w:rsid w:val="3DB07F97"/>
    <w:rsid w:val="441C57E9"/>
    <w:rsid w:val="44240E6E"/>
    <w:rsid w:val="449275CC"/>
    <w:rsid w:val="44986D47"/>
    <w:rsid w:val="456A5D0D"/>
    <w:rsid w:val="457C0C14"/>
    <w:rsid w:val="45B90BF3"/>
    <w:rsid w:val="460143F1"/>
    <w:rsid w:val="475B18CD"/>
    <w:rsid w:val="4A4F1F05"/>
    <w:rsid w:val="4B7040C7"/>
    <w:rsid w:val="4C983A63"/>
    <w:rsid w:val="4CA957E7"/>
    <w:rsid w:val="4D9730D4"/>
    <w:rsid w:val="4E4335D2"/>
    <w:rsid w:val="4EEA071F"/>
    <w:rsid w:val="4FBB6CDE"/>
    <w:rsid w:val="56617CCE"/>
    <w:rsid w:val="59AF56D7"/>
    <w:rsid w:val="5B2B3FCD"/>
    <w:rsid w:val="5BAE356C"/>
    <w:rsid w:val="5BF47A2A"/>
    <w:rsid w:val="5CB07A05"/>
    <w:rsid w:val="5ED17601"/>
    <w:rsid w:val="612F2391"/>
    <w:rsid w:val="61897173"/>
    <w:rsid w:val="63F21B1B"/>
    <w:rsid w:val="65493192"/>
    <w:rsid w:val="666C26EF"/>
    <w:rsid w:val="68417EDC"/>
    <w:rsid w:val="6879370D"/>
    <w:rsid w:val="68B343E5"/>
    <w:rsid w:val="6A270365"/>
    <w:rsid w:val="6A515BCF"/>
    <w:rsid w:val="6B511389"/>
    <w:rsid w:val="6B651697"/>
    <w:rsid w:val="6D5763C1"/>
    <w:rsid w:val="6D81148F"/>
    <w:rsid w:val="6E8006EE"/>
    <w:rsid w:val="6ECC4D84"/>
    <w:rsid w:val="70BA2DA1"/>
    <w:rsid w:val="71B87B2B"/>
    <w:rsid w:val="729B4F6A"/>
    <w:rsid w:val="733E01F4"/>
    <w:rsid w:val="7424079F"/>
    <w:rsid w:val="74D4598A"/>
    <w:rsid w:val="76FD3FC3"/>
    <w:rsid w:val="79CE206D"/>
    <w:rsid w:val="7AA5545A"/>
    <w:rsid w:val="7BAA5900"/>
    <w:rsid w:val="7BE05224"/>
    <w:rsid w:val="7D9A3104"/>
    <w:rsid w:val="7DB9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character" w:customStyle="1" w:styleId="8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10</Pages>
  <Words>4702</Words>
  <Characters>4814</Characters>
  <Lines>36</Lines>
  <Paragraphs>10</Paragraphs>
  <TotalTime>5</TotalTime>
  <ScaleCrop>false</ScaleCrop>
  <LinksUpToDate>false</LinksUpToDate>
  <CharactersWithSpaces>4845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2016-04-01T02:15:00Z</dcterms:created>
  <dc:creator>lenovo</dc:creator>
  <cp:lastModifiedBy>lenovo</cp:lastModifiedBy>
  <cp:lastPrinted>2016-04-01T02:44:00Z</cp:lastPrinted>
  <dcterms:modified xsi:type="dcterms:W3CDTF">2023-06-13T01:47:20Z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98207EB00DBA43BD8482526FC76B8F45_13</vt:lpwstr>
  </property>
</Properties>
</file>