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成安县乡镇企业局201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/>
          <w:b/>
          <w:sz w:val="44"/>
          <w:szCs w:val="44"/>
        </w:rPr>
        <w:t>年部门预算公开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情况说明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</w:t>
      </w:r>
      <w:r>
        <w:rPr>
          <w:rFonts w:hint="eastAsia" w:ascii="仿宋_GB2312" w:hAnsi="黑体" w:eastAsia="仿宋_GB2312" w:cs="仿宋_GB2312"/>
          <w:sz w:val="32"/>
          <w:szCs w:val="32"/>
        </w:rPr>
        <w:t>《预算法》</w:t>
      </w:r>
      <w:r>
        <w:rPr>
          <w:rFonts w:hint="eastAsia" w:ascii="仿宋" w:hAnsi="仿宋" w:eastAsia="仿宋" w:cs="仿宋_GB2312"/>
          <w:sz w:val="32"/>
          <w:szCs w:val="32"/>
        </w:rPr>
        <w:t>有关规定和</w:t>
      </w:r>
      <w:r>
        <w:rPr>
          <w:rFonts w:hint="eastAsia" w:ascii="仿宋" w:hAnsi="仿宋" w:eastAsia="仿宋" w:cs="楷体_GB2312"/>
          <w:sz w:val="32"/>
          <w:szCs w:val="32"/>
        </w:rPr>
        <w:t>财政部关于印发《地方预决算公开操作规程》的通知，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现将成安县乡镇企业局201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贯彻落实国家有关发展中小企业（含乡镇企业、民营企业，下同）的法律法规和方针政策，组织起草发展中小企业的地方性法规和规章，研究提出扶持中小企业发展的政策；负责对全县中小企业的综合协调、指导和服务。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2、拟定全县中小企业的反战战略、中长期发展规划并组织实施；指导和推进中小企业产业结构、组织机构和产品结构的调整。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3、检测、分析中小企业运行态势，承担中小企业分类、信息收集和发布等工作，拟定并落实中小企业发展调控目标和措施。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4、指导和推进中小企业改革与发展；指导中小企业发展科技进步、新产品开发和技术改造工作。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5、指导中小企业开展国外经济技术交流与合作；指导中小企业对外贸易工作</w:t>
      </w:r>
    </w:p>
    <w:p>
      <w:pPr>
        <w:widowControl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6、指导中小企业服务体系建设；指导、规范为中小企业提供服务的各类中介组织工作；促进金融机构建立与中小企业的融资渠道。</w:t>
      </w:r>
    </w:p>
    <w:p>
      <w:pPr>
        <w:widowControl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7、承担成安县民营经济领导小组办公室的日常工作。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8、承办县政府交办的其他事项。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1、单位职责及构成情况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人员情况：单位编制数为36个（含工勤编制1个），编制内实有人数为36人、财政统发工资人数为1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人，在编单位参改总人数为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人，其中，正科级2人，副科级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人，科员及以下1人，正式在编在岗工勤人员1人，目前在岗人员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宋体" w:hAnsi="宋体" w:eastAsia="宋体" w:cs="宋体"/>
              </w:rPr>
              <w:t>乡镇企业局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宋体" w:hAnsi="宋体" w:eastAsia="宋体" w:cs="宋体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宋体" w:hAnsi="宋体" w:eastAsia="宋体" w:cs="宋体"/>
              </w:rPr>
              <w:t>正科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宋体" w:hAnsi="宋体" w:eastAsia="宋体" w:cs="宋体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widowControl/>
        <w:spacing w:line="360" w:lineRule="auto"/>
        <w:ind w:firstLine="627" w:firstLineChars="196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年部门收入预算总额为608.27万元，部门支出预算总额为608.27万元（其中人员经费101.27万元，项目经费493万元，公用经费7万元）。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201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7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成安县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财政局财政拨款收入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617.56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万元，总支出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617.56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万元。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与去年相比降低了9.29万元，积极贯彻落实新《预算法》，按照讲求绩效的原则，对于当年未使用的预算，在调整预算中予以调减。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年预算收入</w:t>
      </w:r>
      <w:r>
        <w:rPr>
          <w:rFonts w:hint="eastAsia" w:ascii="仿宋" w:hAnsi="仿宋" w:eastAsia="仿宋" w:cs="仿宋"/>
          <w:kern w:val="0"/>
          <w:sz w:val="32"/>
          <w:szCs w:val="32"/>
        </w:rPr>
        <w:t>608.27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仿宋"/>
          <w:kern w:val="0"/>
          <w:sz w:val="32"/>
          <w:szCs w:val="32"/>
        </w:rPr>
        <w:t>608.27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年支出预算</w:t>
      </w:r>
      <w:r>
        <w:rPr>
          <w:rFonts w:hint="eastAsia" w:ascii="仿宋" w:hAnsi="仿宋" w:eastAsia="仿宋" w:cs="仿宋"/>
          <w:kern w:val="0"/>
          <w:sz w:val="32"/>
          <w:szCs w:val="32"/>
        </w:rPr>
        <w:t>608.27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108.27</w:t>
      </w:r>
      <w:r>
        <w:rPr>
          <w:rFonts w:hint="eastAsia" w:ascii="仿宋" w:hAnsi="仿宋" w:eastAsia="仿宋" w:cs="仿宋"/>
          <w:sz w:val="32"/>
          <w:szCs w:val="32"/>
        </w:rPr>
        <w:t>万元，包括人员经费和日常公用经费；项目支出493万元。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3、比上年增减变化情况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年预算收支安排608.27万元，较201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年预算增加30万元，其中：基本支出增加30万元，主要为增加人员经费支出。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机关运行经费共计安排7万元，主要用于办公区的日常维修、办公用房水电费、邮电费、办公用房取暖费、办公用房物业管理费等日常运行支出。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widowControl/>
        <w:spacing w:line="360" w:lineRule="auto"/>
        <w:ind w:left="420" w:left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年度“三公”预算支出0万元，其中，因公出国（境）费0元，安排公务用车维护费0万元，（其中公务用车购置费0元，公务用车运行维护费0万元），公务接等费0万元，201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年“三公”经费预算减少了20%。由于2016年公车拍卖，2017年实行车补，油修费用预算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安</w:t>
      </w:r>
      <w:bookmarkStart w:id="2" w:name="_GoBack"/>
      <w:bookmarkEnd w:id="2"/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排减少。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Toc471398463"/>
      <w:r>
        <w:rPr>
          <w:rFonts w:hint="eastAsia" w:ascii="宋体" w:hAnsi="宋体" w:eastAsia="宋体" w:cs="方正仿宋_GBK"/>
          <w:b/>
          <w:bCs/>
          <w:sz w:val="32"/>
          <w:szCs w:val="32"/>
        </w:rPr>
        <w:t>总体绩效目标：</w:t>
      </w:r>
    </w:p>
    <w:bookmarkEnd w:id="0"/>
    <w:tbl>
      <w:tblPr>
        <w:tblStyle w:val="4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创新技术改造项目支撑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ascii="宋体" w:hAnsi="宋体" w:eastAsia="宋体" w:cs="Calibri"/>
                <w:kern w:val="0"/>
              </w:rPr>
              <w:t>500.00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健全技术创新市场导向机制，创新政府投入方式，组织实施自然科学基金和重点基础研究；以促进产业转型升级、治理生态环境、改善民生等重大科技需求为重点，在高新技术、现代农业发展、生态环境治理与科技惠民等领域，实施关键共性技术研究；围绕京津冀科技协同创新实施科技合作项目；支持重大科技成果转化和产业化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获得一批重要原始创新成果，培养一批高层次科技人才和创新团队，提升基础研究能力。为产业转型升级、现代农业建设、和谐宜居环境创建和民生改善提供创新支撑；提升科技开放与合作的水平，提高科技成果转化和产业化能力，促进京津冀科技协同创新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Calibri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促进京津冀科技协同创新。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产业结构调整与升级改造技术研究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ascii="宋体" w:hAnsi="宋体" w:eastAsia="宋体" w:cs="Calibri"/>
                <w:kern w:val="0"/>
              </w:rPr>
              <w:t>500.00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面向工业转型升级重大科技需求，实施高新技术产业倍增计划，培育壮大战略性新兴产业，重点支持产业关键共性技术研究、集成与重大产品的开发、应用示范；围绕传统产业升级，重点实施钢铁产业技术升级、制造业信息化等科技专项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研发一批产业发展急需的新技术、新工艺、新产品，高新技术应用示范及成果产业化能力不断增强，科技支撑高新技术产业倍增、改造提升传统产业能力增强。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开发改造新产品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ascii="宋体" w:hAnsi="宋体" w:eastAsia="宋体" w:cs="Calibri"/>
                <w:kern w:val="0"/>
              </w:rPr>
              <w:t>10</w:t>
            </w:r>
            <w:r>
              <w:rPr>
                <w:rFonts w:hint="eastAsia" w:ascii="宋体" w:hAnsi="宋体" w:eastAsia="宋体" w:cs="Calibri"/>
                <w:kern w:val="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ascii="宋体" w:hAnsi="宋体" w:eastAsia="宋体" w:cs="Calibri"/>
                <w:kern w:val="0"/>
              </w:rPr>
              <w:t>9</w:t>
            </w:r>
            <w:r>
              <w:rPr>
                <w:rFonts w:hint="eastAsia" w:ascii="宋体" w:hAnsi="宋体" w:eastAsia="宋体" w:cs="Calibri"/>
                <w:kern w:val="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ascii="宋体" w:hAnsi="宋体" w:eastAsia="宋体" w:cs="Calibri"/>
                <w:kern w:val="0"/>
              </w:rPr>
              <w:t>8</w:t>
            </w:r>
            <w:r>
              <w:rPr>
                <w:rFonts w:hint="eastAsia" w:ascii="宋体" w:hAnsi="宋体" w:eastAsia="宋体" w:cs="Calibri"/>
                <w:kern w:val="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Calibri"/>
                <w:kern w:val="0"/>
              </w:rPr>
            </w:pPr>
            <w:r>
              <w:rPr>
                <w:rFonts w:ascii="宋体" w:hAnsi="宋体" w:eastAsia="宋体" w:cs="Calibri"/>
                <w:kern w:val="0"/>
              </w:rPr>
              <w:t>5</w:t>
            </w:r>
            <w:r>
              <w:rPr>
                <w:rFonts w:hint="eastAsia" w:ascii="宋体" w:hAnsi="宋体" w:eastAsia="宋体" w:cs="Calibri"/>
                <w:kern w:val="0"/>
              </w:rPr>
              <w:t>0</w:t>
            </w:r>
          </w:p>
        </w:tc>
      </w:tr>
    </w:tbl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  <w:sectPr>
          <w:pgSz w:w="16839" w:h="11907" w:orient="landscape"/>
          <w:pgMar w:top="1134" w:right="1020" w:bottom="1134" w:left="1020" w:header="851" w:footer="992" w:gutter="0"/>
          <w:cols w:space="0" w:num="1"/>
          <w:docGrid w:type="lines" w:linePitch="321" w:charSpace="0"/>
        </w:sect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  <w:bookmarkStart w:id="1" w:name="_Toc471398468"/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按照政府采购相关法律法规要求，结合我局实际，201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年我局政府采购事项为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2万元，电脑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台，单价0.4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eastAsia="zh-CN"/>
        </w:rPr>
        <w:t>一体打印机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1台，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单价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0.65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本年拟用于政府采购微机等办公设备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电脑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台，单价0.4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eastAsia="zh-CN"/>
        </w:rPr>
        <w:t>，一体打印机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1台，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单价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0.65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p>
      <w:pPr>
        <w:spacing w:line="560" w:lineRule="exact"/>
        <w:outlineLvl w:val="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部门政府采购预算</w:t>
      </w:r>
      <w:bookmarkEnd w:id="1"/>
    </w:p>
    <w:tbl>
      <w:tblPr>
        <w:tblStyle w:val="4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572"/>
        <w:gridCol w:w="914"/>
        <w:gridCol w:w="982"/>
        <w:gridCol w:w="668"/>
        <w:gridCol w:w="491"/>
        <w:gridCol w:w="723"/>
        <w:gridCol w:w="450"/>
        <w:gridCol w:w="818"/>
        <w:gridCol w:w="504"/>
        <w:gridCol w:w="409"/>
        <w:gridCol w:w="396"/>
        <w:gridCol w:w="423"/>
        <w:gridCol w:w="4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4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部门（单位）名称：乡镇企业局</w:t>
            </w:r>
          </w:p>
        </w:tc>
        <w:tc>
          <w:tcPr>
            <w:tcW w:w="341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41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41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4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3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41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2</w:t>
            </w:r>
          </w:p>
        </w:tc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1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电脑</w:t>
            </w: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Cs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电脑</w:t>
            </w:r>
          </w:p>
        </w:tc>
        <w:tc>
          <w:tcPr>
            <w:tcW w:w="982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台</w:t>
            </w:r>
          </w:p>
        </w:tc>
        <w:tc>
          <w:tcPr>
            <w:tcW w:w="491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3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0.</w:t>
            </w: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45</w:t>
            </w: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41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一体打印机</w:t>
            </w:r>
          </w:p>
        </w:tc>
        <w:tc>
          <w:tcPr>
            <w:tcW w:w="572" w:type="dxa"/>
            <w:vAlign w:val="center"/>
          </w:tcPr>
          <w:p>
            <w:pPr>
              <w:tabs>
                <w:tab w:val="center" w:pos="144"/>
                <w:tab w:val="right" w:pos="408"/>
              </w:tabs>
              <w:spacing w:line="560" w:lineRule="exact"/>
              <w:jc w:val="left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一体打印机</w:t>
            </w:r>
          </w:p>
        </w:tc>
        <w:tc>
          <w:tcPr>
            <w:tcW w:w="982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Cs/>
              </w:rPr>
              <w:t>台</w:t>
            </w:r>
          </w:p>
        </w:tc>
        <w:tc>
          <w:tcPr>
            <w:tcW w:w="491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0.65</w:t>
            </w: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41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49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41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widowControl/>
        <w:spacing w:line="360" w:lineRule="auto"/>
        <w:ind w:left="412" w:leftChars="196" w:firstLine="64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办公地点在政府综合大楼，固定资产所属成安县政府所有。</w:t>
      </w:r>
    </w:p>
    <w:tbl>
      <w:tblPr>
        <w:tblStyle w:val="4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编制部门：乡镇企业局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tabs>
          <w:tab w:val="left" w:pos="11490"/>
        </w:tabs>
        <w:ind w:firstLine="640" w:firstLineChars="200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</w:p>
    <w:p>
      <w:pPr>
        <w:tabs>
          <w:tab w:val="left" w:pos="11490"/>
        </w:tabs>
        <w:ind w:firstLine="48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九、其它需要说明的事项</w:t>
      </w:r>
    </w:p>
    <w:p>
      <w:pPr>
        <w:tabs>
          <w:tab w:val="left" w:pos="11490"/>
        </w:tabs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方正仿宋_GBK"/>
          <w:bCs/>
          <w:sz w:val="32"/>
          <w:szCs w:val="32"/>
        </w:rPr>
        <w:t>无其它需要说明的事项。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9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jFmZDMxNjViZWRkNDU0NGQ4OTc5ZjIwZGVhZjQifQ=="/>
  </w:docVars>
  <w:rsids>
    <w:rsidRoot w:val="00524AAA"/>
    <w:rsid w:val="000A796E"/>
    <w:rsid w:val="000D2767"/>
    <w:rsid w:val="00101C7A"/>
    <w:rsid w:val="00131928"/>
    <w:rsid w:val="001A3CB4"/>
    <w:rsid w:val="001E0232"/>
    <w:rsid w:val="00205DB4"/>
    <w:rsid w:val="00206B22"/>
    <w:rsid w:val="0022129C"/>
    <w:rsid w:val="002307B5"/>
    <w:rsid w:val="0024103C"/>
    <w:rsid w:val="002474A2"/>
    <w:rsid w:val="002C0317"/>
    <w:rsid w:val="002D2ED1"/>
    <w:rsid w:val="00325594"/>
    <w:rsid w:val="0037750D"/>
    <w:rsid w:val="003C4C5D"/>
    <w:rsid w:val="003D1126"/>
    <w:rsid w:val="003D1369"/>
    <w:rsid w:val="003D22B1"/>
    <w:rsid w:val="004159F8"/>
    <w:rsid w:val="00453A06"/>
    <w:rsid w:val="004C3CD6"/>
    <w:rsid w:val="00524AAA"/>
    <w:rsid w:val="005412A2"/>
    <w:rsid w:val="005730D6"/>
    <w:rsid w:val="00594091"/>
    <w:rsid w:val="005F4345"/>
    <w:rsid w:val="00634EFD"/>
    <w:rsid w:val="0064078B"/>
    <w:rsid w:val="00680485"/>
    <w:rsid w:val="0068144F"/>
    <w:rsid w:val="006F1D76"/>
    <w:rsid w:val="006F2C57"/>
    <w:rsid w:val="00747D9E"/>
    <w:rsid w:val="007775CB"/>
    <w:rsid w:val="007B4EB3"/>
    <w:rsid w:val="007C1DEB"/>
    <w:rsid w:val="007C484E"/>
    <w:rsid w:val="007F0D2E"/>
    <w:rsid w:val="00825F97"/>
    <w:rsid w:val="008327A0"/>
    <w:rsid w:val="00881FCA"/>
    <w:rsid w:val="00933068"/>
    <w:rsid w:val="00973104"/>
    <w:rsid w:val="00990CB9"/>
    <w:rsid w:val="009B2D48"/>
    <w:rsid w:val="009C264C"/>
    <w:rsid w:val="009C6B03"/>
    <w:rsid w:val="009F0612"/>
    <w:rsid w:val="00A12AE7"/>
    <w:rsid w:val="00A15ADE"/>
    <w:rsid w:val="00A6455D"/>
    <w:rsid w:val="00A95F51"/>
    <w:rsid w:val="00AC6968"/>
    <w:rsid w:val="00B13EFE"/>
    <w:rsid w:val="00B50088"/>
    <w:rsid w:val="00B500A4"/>
    <w:rsid w:val="00B52395"/>
    <w:rsid w:val="00B667BB"/>
    <w:rsid w:val="00BA40C6"/>
    <w:rsid w:val="00BA6B82"/>
    <w:rsid w:val="00CD0F72"/>
    <w:rsid w:val="00D10EC5"/>
    <w:rsid w:val="00D27A25"/>
    <w:rsid w:val="00D312BA"/>
    <w:rsid w:val="00D73351"/>
    <w:rsid w:val="00D74B39"/>
    <w:rsid w:val="00D900E5"/>
    <w:rsid w:val="00E000C9"/>
    <w:rsid w:val="00E24B37"/>
    <w:rsid w:val="00E474B2"/>
    <w:rsid w:val="00E87B0C"/>
    <w:rsid w:val="00E91C36"/>
    <w:rsid w:val="00EA1B01"/>
    <w:rsid w:val="00F06B14"/>
    <w:rsid w:val="00F14752"/>
    <w:rsid w:val="00F31021"/>
    <w:rsid w:val="00F311AF"/>
    <w:rsid w:val="00F359FD"/>
    <w:rsid w:val="00F66032"/>
    <w:rsid w:val="00FB5EA2"/>
    <w:rsid w:val="1A177886"/>
    <w:rsid w:val="36156C89"/>
    <w:rsid w:val="40277858"/>
    <w:rsid w:val="67B402B0"/>
    <w:rsid w:val="715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D07F-427F-4072-8828-9745EA0B5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2618</Words>
  <Characters>2772</Characters>
  <Lines>21</Lines>
  <Paragraphs>6</Paragraphs>
  <TotalTime>0</TotalTime>
  <ScaleCrop>false</ScaleCrop>
  <LinksUpToDate>false</LinksUpToDate>
  <CharactersWithSpaces>2824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2017-11-10T09:22:00Z</dcterms:created>
  <dc:creator>旭东</dc:creator>
  <cp:lastModifiedBy>Administrator</cp:lastModifiedBy>
  <dcterms:modified xsi:type="dcterms:W3CDTF">2023-06-13T01:42:46Z</dcterms:modified>
  <dc:title>2017年部门预算公开督导整改要求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6693283F5CE54DD89F9835A851A99ED2_12</vt:lpwstr>
  </property>
</Properties>
</file>