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E91C6">
      <w:pPr>
        <w:widowControl/>
        <w:jc w:val="center"/>
        <w:rPr>
          <w:rFonts w:ascii="宋体" w:hAnsi="宋体" w:eastAsia="宋体" w:cs="仿宋_GB2312"/>
          <w:b/>
          <w:sz w:val="44"/>
          <w:szCs w:val="44"/>
        </w:rPr>
      </w:pPr>
    </w:p>
    <w:p w14:paraId="5A45EDAB">
      <w:pPr>
        <w:widowControl/>
        <w:jc w:val="center"/>
        <w:rPr>
          <w:rFonts w:ascii="宋体" w:hAnsi="宋体" w:eastAsia="宋体" w:cs="仿宋_GB2312"/>
          <w:b/>
          <w:sz w:val="44"/>
          <w:szCs w:val="44"/>
        </w:rPr>
      </w:pPr>
      <w:r>
        <w:rPr>
          <w:rFonts w:hint="eastAsia" w:ascii="宋体" w:hAnsi="宋体" w:eastAsia="宋体" w:cs="仿宋_GB2312"/>
          <w:b/>
          <w:sz w:val="44"/>
          <w:szCs w:val="44"/>
        </w:rPr>
        <w:t>成安县物价局2018年部门预算公开</w:t>
      </w:r>
    </w:p>
    <w:p w14:paraId="5E8C55D8">
      <w:pPr>
        <w:widowControl/>
        <w:jc w:val="center"/>
        <w:rPr>
          <w:rFonts w:ascii="宋体" w:hAnsi="宋体" w:eastAsia="宋体" w:cs="仿宋_GB2312"/>
          <w:b/>
          <w:sz w:val="44"/>
          <w:szCs w:val="44"/>
        </w:rPr>
      </w:pPr>
      <w:r>
        <w:rPr>
          <w:rFonts w:hint="eastAsia" w:ascii="宋体" w:hAnsi="宋体" w:eastAsia="宋体" w:cs="仿宋_GB2312"/>
          <w:b/>
          <w:sz w:val="44"/>
          <w:szCs w:val="44"/>
        </w:rPr>
        <w:t>情况说明</w:t>
      </w:r>
    </w:p>
    <w:p w14:paraId="0834DE49">
      <w:pPr>
        <w:widowControl/>
        <w:ind w:firstLine="640" w:firstLineChars="200"/>
        <w:jc w:val="left"/>
        <w:rPr>
          <w:rFonts w:ascii="仿宋" w:hAnsi="仿宋" w:eastAsia="仿宋" w:cs="仿宋_GB2312"/>
          <w:sz w:val="32"/>
          <w:szCs w:val="32"/>
        </w:rPr>
      </w:pPr>
    </w:p>
    <w:p w14:paraId="72C2E128">
      <w:pPr>
        <w:widowControl/>
        <w:ind w:firstLine="640" w:firstLineChars="200"/>
        <w:jc w:val="left"/>
        <w:rPr>
          <w:rFonts w:ascii="仿宋" w:hAnsi="仿宋" w:eastAsia="仿宋" w:cs="仿宋_GB2312"/>
          <w:kern w:val="0"/>
          <w:sz w:val="32"/>
          <w:szCs w:val="32"/>
        </w:rPr>
      </w:pPr>
      <w:r>
        <w:rPr>
          <w:rFonts w:ascii="仿宋" w:hAnsi="仿宋" w:eastAsia="仿宋" w:cs="仿宋_GB2312"/>
          <w:sz w:val="32"/>
          <w:szCs w:val="32"/>
        </w:rPr>
        <w:t>按照《</w:t>
      </w:r>
      <w:r>
        <w:rPr>
          <w:rFonts w:hint="eastAsia" w:ascii="仿宋" w:hAnsi="仿宋" w:eastAsia="仿宋" w:cs="仿宋_GB2312"/>
          <w:sz w:val="32"/>
          <w:szCs w:val="32"/>
          <w:lang w:eastAsia="zh-CN"/>
        </w:rPr>
        <w:t>中华人民共和国</w:t>
      </w:r>
      <w:r>
        <w:rPr>
          <w:rFonts w:ascii="仿宋" w:hAnsi="仿宋" w:eastAsia="仿宋" w:cs="仿宋_GB2312"/>
          <w:sz w:val="32"/>
          <w:szCs w:val="32"/>
        </w:rPr>
        <w:t>预算法》有关规定</w:t>
      </w:r>
      <w:r>
        <w:rPr>
          <w:rFonts w:hint="eastAsia" w:ascii="仿宋" w:hAnsi="仿宋" w:eastAsia="仿宋" w:cs="仿宋_GB2312"/>
          <w:sz w:val="32"/>
          <w:szCs w:val="32"/>
        </w:rPr>
        <w:t>和</w:t>
      </w:r>
      <w:r>
        <w:rPr>
          <w:rFonts w:ascii="仿宋" w:hAnsi="仿宋" w:eastAsia="仿宋" w:cs="楷体_GB2312"/>
          <w:sz w:val="32"/>
          <w:szCs w:val="32"/>
        </w:rPr>
        <w:t>财政部关于印发《地方预决算公开操作规程》的通知，</w:t>
      </w:r>
      <w:r>
        <w:rPr>
          <w:rFonts w:ascii="仿宋" w:hAnsi="仿宋" w:eastAsia="仿宋" w:cs="仿宋_GB2312"/>
          <w:kern w:val="0"/>
          <w:sz w:val="32"/>
          <w:szCs w:val="32"/>
        </w:rPr>
        <w:t>现将</w:t>
      </w:r>
      <w:r>
        <w:rPr>
          <w:rFonts w:hint="eastAsia" w:ascii="仿宋" w:hAnsi="仿宋" w:eastAsia="仿宋" w:cs="仿宋_GB2312"/>
          <w:kern w:val="0"/>
          <w:sz w:val="32"/>
          <w:szCs w:val="32"/>
        </w:rPr>
        <w:t>成安县物价</w:t>
      </w:r>
      <w:r>
        <w:rPr>
          <w:rFonts w:ascii="仿宋" w:hAnsi="仿宋" w:eastAsia="仿宋" w:cs="仿宋_GB2312"/>
          <w:kern w:val="0"/>
          <w:sz w:val="32"/>
          <w:szCs w:val="32"/>
        </w:rPr>
        <w:t>局201</w:t>
      </w:r>
      <w:r>
        <w:rPr>
          <w:rFonts w:hint="eastAsia" w:ascii="仿宋" w:hAnsi="仿宋" w:eastAsia="仿宋" w:cs="仿宋_GB2312"/>
          <w:kern w:val="0"/>
          <w:sz w:val="32"/>
          <w:szCs w:val="32"/>
        </w:rPr>
        <w:t>8</w:t>
      </w:r>
      <w:r>
        <w:rPr>
          <w:rFonts w:ascii="仿宋" w:hAnsi="仿宋" w:eastAsia="仿宋" w:cs="仿宋_GB2312"/>
          <w:kern w:val="0"/>
          <w:sz w:val="32"/>
          <w:szCs w:val="32"/>
        </w:rPr>
        <w:t>年部门预算公开如下</w:t>
      </w:r>
      <w:r>
        <w:rPr>
          <w:rFonts w:hint="eastAsia" w:ascii="仿宋" w:hAnsi="仿宋" w:eastAsia="仿宋" w:cs="仿宋_GB2312"/>
          <w:kern w:val="0"/>
          <w:sz w:val="32"/>
          <w:szCs w:val="32"/>
        </w:rPr>
        <w:t>：</w:t>
      </w:r>
    </w:p>
    <w:p w14:paraId="0DB822D8">
      <w:pPr>
        <w:ind w:firstLine="640"/>
        <w:rPr>
          <w:rFonts w:ascii="黑体" w:hAnsi="黑体" w:eastAsia="黑体" w:cs="黑体"/>
          <w:sz w:val="32"/>
          <w:szCs w:val="32"/>
        </w:rPr>
      </w:pPr>
      <w:r>
        <w:rPr>
          <w:rFonts w:hint="eastAsia" w:ascii="黑体" w:hAnsi="黑体" w:eastAsia="黑体" w:cs="黑体"/>
          <w:sz w:val="32"/>
          <w:szCs w:val="32"/>
        </w:rPr>
        <w:t>一、部门职责及机构设置情况</w:t>
      </w:r>
    </w:p>
    <w:p w14:paraId="39460E13">
      <w:pPr>
        <w:widowControl/>
        <w:ind w:firstLine="643" w:firstLineChars="200"/>
        <w:jc w:val="left"/>
        <w:rPr>
          <w:rFonts w:ascii="楷体" w:hAnsi="楷体" w:eastAsia="楷体"/>
          <w:b/>
          <w:sz w:val="32"/>
          <w:szCs w:val="32"/>
        </w:rPr>
      </w:pPr>
      <w:r>
        <w:rPr>
          <w:rFonts w:hint="eastAsia" w:ascii="楷体" w:hAnsi="楷体" w:eastAsia="楷体"/>
          <w:b/>
          <w:sz w:val="32"/>
          <w:szCs w:val="32"/>
        </w:rPr>
        <w:t>成安县物价局主要职责：</w:t>
      </w:r>
    </w:p>
    <w:p w14:paraId="5F527D83">
      <w:pPr>
        <w:widowControl/>
        <w:ind w:firstLine="480" w:firstLineChars="150"/>
        <w:jc w:val="left"/>
        <w:rPr>
          <w:rFonts w:ascii="仿宋" w:hAnsi="仿宋" w:eastAsia="仿宋"/>
          <w:sz w:val="32"/>
          <w:szCs w:val="32"/>
        </w:rPr>
      </w:pPr>
      <w:r>
        <w:rPr>
          <w:rFonts w:hint="eastAsia" w:ascii="楷体" w:hAnsi="楷体" w:eastAsia="楷体"/>
          <w:color w:val="333333"/>
          <w:sz w:val="32"/>
          <w:szCs w:val="32"/>
        </w:rPr>
        <w:t>（一）</w:t>
      </w:r>
      <w:r>
        <w:rPr>
          <w:rFonts w:hint="eastAsia" w:ascii="仿宋" w:hAnsi="仿宋" w:eastAsia="仿宋"/>
          <w:color w:val="333333"/>
          <w:sz w:val="32"/>
          <w:szCs w:val="32"/>
        </w:rPr>
        <w:t>宣传贯彻执行国家法律、法规和中央、省、市政府的价格方针、政策；研究草拟相关的规范性文件和全县价格改革方案以及年度计划并组织实施。</w:t>
      </w:r>
    </w:p>
    <w:p w14:paraId="6250D307">
      <w:pPr>
        <w:ind w:firstLine="480" w:firstLineChars="150"/>
        <w:rPr>
          <w:rFonts w:ascii="仿宋" w:hAnsi="仿宋" w:eastAsia="仿宋"/>
          <w:color w:val="333333"/>
          <w:sz w:val="32"/>
          <w:szCs w:val="32"/>
        </w:rPr>
      </w:pPr>
      <w:r>
        <w:rPr>
          <w:rFonts w:hint="eastAsia" w:ascii="楷体" w:hAnsi="楷体" w:eastAsia="楷体"/>
          <w:color w:val="333333"/>
          <w:sz w:val="32"/>
          <w:szCs w:val="32"/>
        </w:rPr>
        <w:t>（二）</w:t>
      </w:r>
      <w:r>
        <w:rPr>
          <w:rFonts w:hint="eastAsia" w:ascii="仿宋" w:hAnsi="仿宋" w:eastAsia="仿宋"/>
          <w:color w:val="333333"/>
          <w:sz w:val="32"/>
          <w:szCs w:val="32"/>
        </w:rPr>
        <w:t>负责全县物价工作的综合管理和平衡，研究提出控制物价总水平的目标和措施；负责价格调节基金的征收、使用和管理；参与重要商品储备制度的运作和监督；参与协调价格总水平变动相关的决策研究，</w:t>
      </w:r>
      <w:r>
        <w:rPr>
          <w:rFonts w:hint="eastAsia" w:ascii="仿宋" w:hAnsi="仿宋" w:eastAsia="仿宋"/>
          <w:color w:val="333333"/>
          <w:sz w:val="32"/>
          <w:szCs w:val="32"/>
        </w:rPr>
        <w:br w:type="textWrapping"/>
      </w:r>
      <w:r>
        <w:rPr>
          <w:rFonts w:hint="eastAsia" w:ascii="仿宋" w:eastAsia="仿宋"/>
          <w:color w:val="333333"/>
          <w:sz w:val="32"/>
          <w:szCs w:val="32"/>
        </w:rPr>
        <w:t xml:space="preserve"> </w:t>
      </w:r>
      <w:r>
        <w:rPr>
          <w:rFonts w:hint="eastAsia" w:ascii="楷体" w:hAnsi="楷体" w:eastAsia="楷体"/>
          <w:color w:val="333333"/>
          <w:sz w:val="32"/>
          <w:szCs w:val="32"/>
        </w:rPr>
        <w:t xml:space="preserve">  （三）</w:t>
      </w:r>
      <w:r>
        <w:rPr>
          <w:rFonts w:hint="eastAsia" w:ascii="仿宋" w:hAnsi="仿宋" w:eastAsia="仿宋"/>
          <w:color w:val="333333"/>
          <w:sz w:val="32"/>
          <w:szCs w:val="32"/>
        </w:rPr>
        <w:t>负责全县价格监测系统和价格信息网络建设；监测、分析、预报市场价格动态和价格变动趋势，及时反映市场物价方面的重要情况和问题，并提出具体意见和建议。</w:t>
      </w:r>
    </w:p>
    <w:p w14:paraId="22A854A7">
      <w:pPr>
        <w:ind w:firstLine="480" w:firstLineChars="150"/>
        <w:rPr>
          <w:rFonts w:ascii="仿宋" w:hAnsi="仿宋" w:eastAsia="仿宋"/>
          <w:color w:val="333333"/>
          <w:sz w:val="32"/>
          <w:szCs w:val="32"/>
        </w:rPr>
      </w:pPr>
      <w:r>
        <w:rPr>
          <w:rFonts w:hint="eastAsia" w:ascii="楷体" w:hAnsi="楷体" w:eastAsia="楷体"/>
          <w:color w:val="333333"/>
          <w:sz w:val="32"/>
          <w:szCs w:val="32"/>
        </w:rPr>
        <w:t>（四）</w:t>
      </w:r>
      <w:r>
        <w:rPr>
          <w:rFonts w:hint="eastAsia" w:ascii="仿宋" w:hAnsi="仿宋" w:eastAsia="仿宋"/>
          <w:color w:val="333333"/>
          <w:sz w:val="32"/>
          <w:szCs w:val="32"/>
        </w:rPr>
        <w:t xml:space="preserve">负责审定、调整列名管理的商品价格、服务价格及中介服务收费，主持召开价格听证会；会同财政部门审定、调整行政事业性收费项目和标准；组织实施价格收费公示制度。        </w:t>
      </w:r>
    </w:p>
    <w:p w14:paraId="6D298862">
      <w:pPr>
        <w:widowControl/>
        <w:spacing w:line="360" w:lineRule="auto"/>
        <w:ind w:firstLine="627" w:firstLineChars="196"/>
        <w:jc w:val="left"/>
        <w:rPr>
          <w:rFonts w:ascii="楷体" w:hAnsi="楷体" w:eastAsia="楷体"/>
          <w:b/>
          <w:bCs/>
          <w:kern w:val="0"/>
          <w:sz w:val="32"/>
          <w:szCs w:val="32"/>
        </w:rPr>
      </w:pPr>
      <w:r>
        <w:rPr>
          <w:rFonts w:hint="eastAsia" w:ascii="楷体" w:hAnsi="楷体" w:eastAsia="楷体"/>
          <w:color w:val="333333"/>
          <w:sz w:val="32"/>
          <w:szCs w:val="32"/>
        </w:rPr>
        <w:t>（五）</w:t>
      </w:r>
      <w:r>
        <w:rPr>
          <w:rFonts w:hint="eastAsia" w:ascii="仿宋" w:hAnsi="仿宋" w:eastAsia="仿宋"/>
          <w:color w:val="333333"/>
          <w:sz w:val="32"/>
          <w:szCs w:val="32"/>
        </w:rPr>
        <w:t>负责全县价格监督检查工作，推行明码标价制度，开展“物价信得过”活动，制止价格垄断、价格欺诈、价格暴利和低价倾销等不正当竞争；负责行政事业性收费的监督管理；受理价格、收费违法行为和不正当价格行为的举报、投诉；依法查处价格违法行为和违法案件，实施行政处罚；负责不服价格行政处罚的行政复议工作。组织指导价格、收费的社会监督。</w:t>
      </w:r>
      <w:r>
        <w:rPr>
          <w:rFonts w:hint="eastAsia" w:ascii="楷体" w:hAnsi="楷体" w:eastAsia="楷体" w:cs="宋体"/>
          <w:b/>
          <w:bCs/>
          <w:kern w:val="0"/>
          <w:sz w:val="32"/>
          <w:szCs w:val="32"/>
        </w:rPr>
        <w:t>人员编制和领导职数</w:t>
      </w:r>
    </w:p>
    <w:p w14:paraId="5199ECF5">
      <w:pPr>
        <w:widowControl/>
        <w:spacing w:line="36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人员编制46名，其中领导职数4个。</w:t>
      </w:r>
    </w:p>
    <w:p w14:paraId="39C86EC6">
      <w:pPr>
        <w:ind w:firstLine="643" w:firstLineChars="200"/>
        <w:rPr>
          <w:rFonts w:ascii="楷体" w:hAnsi="楷体" w:eastAsia="楷体" w:cs="Times New Roman"/>
          <w:b/>
          <w:bCs/>
          <w:sz w:val="32"/>
          <w:szCs w:val="32"/>
        </w:rPr>
      </w:pPr>
      <w:r>
        <w:rPr>
          <w:rFonts w:hint="eastAsia" w:ascii="楷体" w:hAnsi="楷体" w:eastAsia="楷体" w:cs="方正仿宋_GBK"/>
          <w:b/>
          <w:bCs/>
          <w:sz w:val="32"/>
          <w:szCs w:val="32"/>
        </w:rPr>
        <w:t>机构设置：</w:t>
      </w:r>
    </w:p>
    <w:p w14:paraId="55CA6434">
      <w:pPr>
        <w:jc w:val="center"/>
        <w:outlineLvl w:val="0"/>
        <w:rPr>
          <w:rFonts w:ascii="仿宋" w:hAnsi="仿宋" w:eastAsia="仿宋" w:cs="Times New Roman"/>
          <w:b/>
          <w:sz w:val="32"/>
          <w:szCs w:val="32"/>
        </w:rPr>
      </w:pPr>
      <w:r>
        <w:rPr>
          <w:rFonts w:hint="eastAsia" w:ascii="仿宋" w:hAnsi="仿宋" w:eastAsia="仿宋" w:cs="方正小标宋_GBK"/>
          <w:b/>
          <w:sz w:val="32"/>
          <w:szCs w:val="32"/>
        </w:rPr>
        <w:t>部门机构设置情况</w:t>
      </w:r>
    </w:p>
    <w:tbl>
      <w:tblPr>
        <w:tblStyle w:val="4"/>
        <w:tblW w:w="86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317"/>
        <w:gridCol w:w="1134"/>
        <w:gridCol w:w="1276"/>
        <w:gridCol w:w="2902"/>
      </w:tblGrid>
      <w:tr w14:paraId="58416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3317" w:type="dxa"/>
            <w:vMerge w:val="restart"/>
            <w:vAlign w:val="center"/>
          </w:tcPr>
          <w:p w14:paraId="68854BD9">
            <w:pPr>
              <w:spacing w:line="300" w:lineRule="exact"/>
              <w:jc w:val="center"/>
              <w:rPr>
                <w:rFonts w:ascii="仿宋" w:hAnsi="仿宋" w:eastAsia="仿宋" w:cs="Times New Roman"/>
                <w:b/>
                <w:bCs/>
              </w:rPr>
            </w:pPr>
            <w:r>
              <w:rPr>
                <w:rFonts w:hint="eastAsia" w:ascii="仿宋" w:hAnsi="仿宋" w:eastAsia="仿宋" w:cs="方正书宋_GBK"/>
                <w:b/>
                <w:bCs/>
              </w:rPr>
              <w:t>单位名称</w:t>
            </w:r>
          </w:p>
        </w:tc>
        <w:tc>
          <w:tcPr>
            <w:tcW w:w="1134" w:type="dxa"/>
            <w:vMerge w:val="restart"/>
            <w:vAlign w:val="center"/>
          </w:tcPr>
          <w:p w14:paraId="3D6A8D89">
            <w:pPr>
              <w:spacing w:line="300" w:lineRule="exact"/>
              <w:jc w:val="center"/>
              <w:rPr>
                <w:rFonts w:ascii="仿宋" w:hAnsi="仿宋" w:eastAsia="仿宋" w:cs="Times New Roman"/>
                <w:b/>
                <w:bCs/>
              </w:rPr>
            </w:pPr>
            <w:r>
              <w:rPr>
                <w:rFonts w:hint="eastAsia" w:ascii="仿宋" w:hAnsi="仿宋" w:eastAsia="仿宋" w:cs="方正书宋_GBK"/>
                <w:b/>
                <w:bCs/>
              </w:rPr>
              <w:t>单位性质</w:t>
            </w:r>
          </w:p>
        </w:tc>
        <w:tc>
          <w:tcPr>
            <w:tcW w:w="1276" w:type="dxa"/>
            <w:vMerge w:val="restart"/>
            <w:vAlign w:val="center"/>
          </w:tcPr>
          <w:p w14:paraId="1DB1DCB0">
            <w:pPr>
              <w:spacing w:line="300" w:lineRule="exact"/>
              <w:jc w:val="center"/>
              <w:rPr>
                <w:rFonts w:ascii="仿宋" w:hAnsi="仿宋" w:eastAsia="仿宋" w:cs="Times New Roman"/>
                <w:b/>
                <w:bCs/>
              </w:rPr>
            </w:pPr>
            <w:r>
              <w:rPr>
                <w:rFonts w:hint="eastAsia" w:ascii="仿宋" w:hAnsi="仿宋" w:eastAsia="仿宋" w:cs="方正书宋_GBK"/>
                <w:b/>
                <w:bCs/>
              </w:rPr>
              <w:t>单位规格</w:t>
            </w:r>
          </w:p>
        </w:tc>
        <w:tc>
          <w:tcPr>
            <w:tcW w:w="2902" w:type="dxa"/>
            <w:vMerge w:val="restart"/>
            <w:vAlign w:val="center"/>
          </w:tcPr>
          <w:p w14:paraId="572659DB">
            <w:pPr>
              <w:spacing w:line="300" w:lineRule="exact"/>
              <w:jc w:val="center"/>
              <w:rPr>
                <w:rFonts w:ascii="仿宋" w:hAnsi="仿宋" w:eastAsia="仿宋" w:cs="Times New Roman"/>
                <w:b/>
                <w:bCs/>
              </w:rPr>
            </w:pPr>
            <w:r>
              <w:rPr>
                <w:rFonts w:hint="eastAsia" w:ascii="仿宋" w:hAnsi="仿宋" w:eastAsia="仿宋" w:cs="方正书宋_GBK"/>
                <w:b/>
                <w:bCs/>
              </w:rPr>
              <w:t>经费保障形式</w:t>
            </w:r>
          </w:p>
        </w:tc>
      </w:tr>
      <w:tr w14:paraId="1FFD0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3317" w:type="dxa"/>
            <w:vMerge w:val="continue"/>
            <w:vAlign w:val="center"/>
          </w:tcPr>
          <w:p w14:paraId="28FF2169">
            <w:pPr>
              <w:spacing w:line="300" w:lineRule="exact"/>
              <w:jc w:val="left"/>
              <w:outlineLvl w:val="0"/>
              <w:rPr>
                <w:rFonts w:ascii="仿宋" w:hAnsi="仿宋" w:eastAsia="仿宋" w:cs="Times New Roman"/>
              </w:rPr>
            </w:pPr>
          </w:p>
        </w:tc>
        <w:tc>
          <w:tcPr>
            <w:tcW w:w="1134" w:type="dxa"/>
            <w:vMerge w:val="continue"/>
            <w:vAlign w:val="center"/>
          </w:tcPr>
          <w:p w14:paraId="762F33E5">
            <w:pPr>
              <w:spacing w:line="300" w:lineRule="exact"/>
              <w:jc w:val="left"/>
              <w:outlineLvl w:val="0"/>
              <w:rPr>
                <w:rFonts w:ascii="仿宋" w:hAnsi="仿宋" w:eastAsia="仿宋" w:cs="Times New Roman"/>
              </w:rPr>
            </w:pPr>
          </w:p>
        </w:tc>
        <w:tc>
          <w:tcPr>
            <w:tcW w:w="1276" w:type="dxa"/>
            <w:vMerge w:val="continue"/>
            <w:vAlign w:val="center"/>
          </w:tcPr>
          <w:p w14:paraId="1AAE8DAD">
            <w:pPr>
              <w:spacing w:line="300" w:lineRule="exact"/>
              <w:jc w:val="left"/>
              <w:outlineLvl w:val="0"/>
              <w:rPr>
                <w:rFonts w:ascii="仿宋" w:hAnsi="仿宋" w:eastAsia="仿宋" w:cs="Times New Roman"/>
              </w:rPr>
            </w:pPr>
          </w:p>
        </w:tc>
        <w:tc>
          <w:tcPr>
            <w:tcW w:w="2902" w:type="dxa"/>
            <w:vMerge w:val="continue"/>
            <w:vAlign w:val="center"/>
          </w:tcPr>
          <w:p w14:paraId="19791D47">
            <w:pPr>
              <w:spacing w:line="300" w:lineRule="exact"/>
              <w:jc w:val="left"/>
              <w:outlineLvl w:val="0"/>
              <w:rPr>
                <w:rFonts w:ascii="仿宋" w:hAnsi="仿宋" w:eastAsia="仿宋" w:cs="Times New Roman"/>
              </w:rPr>
            </w:pPr>
          </w:p>
        </w:tc>
      </w:tr>
      <w:tr w14:paraId="78F36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8" w:hRule="atLeast"/>
          <w:jc w:val="center"/>
        </w:trPr>
        <w:tc>
          <w:tcPr>
            <w:tcW w:w="3317" w:type="dxa"/>
            <w:vAlign w:val="center"/>
          </w:tcPr>
          <w:p w14:paraId="6A01DB77">
            <w:pPr>
              <w:spacing w:line="300" w:lineRule="exact"/>
              <w:jc w:val="left"/>
              <w:rPr>
                <w:rFonts w:ascii="仿宋" w:hAnsi="仿宋" w:eastAsia="仿宋" w:cs="Times New Roman"/>
              </w:rPr>
            </w:pPr>
            <w:r>
              <w:rPr>
                <w:rFonts w:hint="eastAsia" w:ascii="仿宋" w:hAnsi="仿宋" w:eastAsia="仿宋" w:cs="Times New Roman"/>
              </w:rPr>
              <w:t>收费管理办公室</w:t>
            </w:r>
          </w:p>
        </w:tc>
        <w:tc>
          <w:tcPr>
            <w:tcW w:w="1134" w:type="dxa"/>
            <w:vAlign w:val="center"/>
          </w:tcPr>
          <w:p w14:paraId="30997BBE">
            <w:pPr>
              <w:spacing w:line="300" w:lineRule="exact"/>
              <w:ind w:firstLine="210" w:firstLineChars="100"/>
              <w:jc w:val="left"/>
              <w:rPr>
                <w:rFonts w:ascii="仿宋" w:hAnsi="仿宋" w:eastAsia="仿宋" w:cs="Times New Roman"/>
              </w:rPr>
            </w:pPr>
            <w:r>
              <w:rPr>
                <w:rFonts w:hint="eastAsia" w:ascii="仿宋" w:hAnsi="仿宋" w:eastAsia="仿宋" w:cs="Times New Roman"/>
              </w:rPr>
              <w:t>事业</w:t>
            </w:r>
          </w:p>
        </w:tc>
        <w:tc>
          <w:tcPr>
            <w:tcW w:w="1276" w:type="dxa"/>
            <w:vAlign w:val="center"/>
          </w:tcPr>
          <w:p w14:paraId="14B0465E">
            <w:pPr>
              <w:spacing w:line="300" w:lineRule="exact"/>
              <w:ind w:firstLine="210" w:firstLineChars="100"/>
              <w:jc w:val="left"/>
              <w:rPr>
                <w:rFonts w:ascii="仿宋" w:hAnsi="仿宋" w:eastAsia="仿宋" w:cs="Times New Roman"/>
              </w:rPr>
            </w:pPr>
            <w:r>
              <w:rPr>
                <w:rFonts w:hint="eastAsia" w:ascii="仿宋" w:hAnsi="仿宋" w:eastAsia="仿宋" w:cs="Times New Roman"/>
              </w:rPr>
              <w:t>副科</w:t>
            </w:r>
          </w:p>
        </w:tc>
        <w:tc>
          <w:tcPr>
            <w:tcW w:w="2902" w:type="dxa"/>
            <w:vAlign w:val="center"/>
          </w:tcPr>
          <w:p w14:paraId="3DFF7847">
            <w:pPr>
              <w:spacing w:line="300" w:lineRule="exact"/>
              <w:ind w:firstLine="945" w:firstLineChars="450"/>
              <w:jc w:val="left"/>
              <w:rPr>
                <w:rFonts w:ascii="仿宋" w:hAnsi="仿宋" w:eastAsia="仿宋" w:cs="Times New Roman"/>
              </w:rPr>
            </w:pPr>
            <w:r>
              <w:rPr>
                <w:rFonts w:hint="eastAsia" w:ascii="仿宋" w:hAnsi="仿宋" w:eastAsia="仿宋" w:cs="Times New Roman"/>
              </w:rPr>
              <w:t>自收自支</w:t>
            </w:r>
          </w:p>
        </w:tc>
      </w:tr>
      <w:tr w14:paraId="1B776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2" w:hRule="atLeast"/>
          <w:jc w:val="center"/>
        </w:trPr>
        <w:tc>
          <w:tcPr>
            <w:tcW w:w="3317" w:type="dxa"/>
            <w:vAlign w:val="center"/>
          </w:tcPr>
          <w:p w14:paraId="0211A6D3">
            <w:pPr>
              <w:spacing w:line="300" w:lineRule="exact"/>
              <w:jc w:val="left"/>
              <w:rPr>
                <w:rFonts w:ascii="仿宋" w:hAnsi="仿宋" w:eastAsia="仿宋" w:cs="Times New Roman"/>
              </w:rPr>
            </w:pPr>
            <w:r>
              <w:rPr>
                <w:rFonts w:hint="eastAsia" w:ascii="仿宋" w:hAnsi="仿宋" w:eastAsia="仿宋" w:cs="Times New Roman"/>
              </w:rPr>
              <w:t>物价检查所</w:t>
            </w:r>
          </w:p>
        </w:tc>
        <w:tc>
          <w:tcPr>
            <w:tcW w:w="1134" w:type="dxa"/>
            <w:vAlign w:val="center"/>
          </w:tcPr>
          <w:p w14:paraId="6A9F7655">
            <w:pPr>
              <w:spacing w:line="300" w:lineRule="exact"/>
              <w:ind w:firstLine="210" w:firstLineChars="100"/>
              <w:jc w:val="left"/>
              <w:rPr>
                <w:rFonts w:ascii="仿宋" w:hAnsi="仿宋" w:eastAsia="仿宋" w:cs="Times New Roman"/>
              </w:rPr>
            </w:pPr>
            <w:r>
              <w:rPr>
                <w:rFonts w:hint="eastAsia" w:ascii="仿宋" w:hAnsi="仿宋" w:eastAsia="仿宋" w:cs="Times New Roman"/>
              </w:rPr>
              <w:t>行政</w:t>
            </w:r>
          </w:p>
        </w:tc>
        <w:tc>
          <w:tcPr>
            <w:tcW w:w="1276" w:type="dxa"/>
            <w:vAlign w:val="center"/>
          </w:tcPr>
          <w:p w14:paraId="07FE9DA4">
            <w:pPr>
              <w:spacing w:line="300" w:lineRule="exact"/>
              <w:jc w:val="left"/>
              <w:rPr>
                <w:rFonts w:ascii="仿宋" w:hAnsi="仿宋" w:eastAsia="仿宋" w:cs="Times New Roman"/>
              </w:rPr>
            </w:pPr>
            <w:r>
              <w:rPr>
                <w:rFonts w:hint="eastAsia" w:ascii="仿宋" w:hAnsi="仿宋" w:eastAsia="仿宋" w:cs="Times New Roman"/>
              </w:rPr>
              <w:t xml:space="preserve">  股级</w:t>
            </w:r>
          </w:p>
        </w:tc>
        <w:tc>
          <w:tcPr>
            <w:tcW w:w="2902" w:type="dxa"/>
            <w:vAlign w:val="center"/>
          </w:tcPr>
          <w:p w14:paraId="26A86A46">
            <w:pPr>
              <w:spacing w:line="300" w:lineRule="exact"/>
              <w:jc w:val="left"/>
              <w:rPr>
                <w:rFonts w:ascii="仿宋" w:hAnsi="仿宋" w:eastAsia="仿宋" w:cs="Times New Roman"/>
              </w:rPr>
            </w:pPr>
            <w:r>
              <w:rPr>
                <w:rFonts w:hint="eastAsia" w:ascii="仿宋" w:hAnsi="仿宋" w:eastAsia="仿宋" w:cs="Times New Roman"/>
              </w:rPr>
              <w:t xml:space="preserve">         自收自支</w:t>
            </w:r>
          </w:p>
        </w:tc>
      </w:tr>
      <w:tr w14:paraId="7915C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1" w:hRule="atLeast"/>
          <w:jc w:val="center"/>
        </w:trPr>
        <w:tc>
          <w:tcPr>
            <w:tcW w:w="3317" w:type="dxa"/>
            <w:vAlign w:val="center"/>
          </w:tcPr>
          <w:p w14:paraId="3B2B2580">
            <w:pPr>
              <w:spacing w:line="300" w:lineRule="exact"/>
              <w:jc w:val="left"/>
              <w:rPr>
                <w:rFonts w:ascii="仿宋" w:hAnsi="仿宋" w:eastAsia="仿宋" w:cs="Times New Roman"/>
              </w:rPr>
            </w:pPr>
            <w:r>
              <w:rPr>
                <w:rFonts w:hint="eastAsia" w:ascii="仿宋" w:hAnsi="仿宋" w:eastAsia="仿宋" w:cs="Times New Roman"/>
              </w:rPr>
              <w:t>价格认证中心</w:t>
            </w:r>
          </w:p>
        </w:tc>
        <w:tc>
          <w:tcPr>
            <w:tcW w:w="1134" w:type="dxa"/>
            <w:vAlign w:val="center"/>
          </w:tcPr>
          <w:p w14:paraId="6FB02D5A">
            <w:pPr>
              <w:spacing w:line="300" w:lineRule="exact"/>
              <w:ind w:firstLine="210" w:firstLineChars="100"/>
              <w:jc w:val="left"/>
              <w:rPr>
                <w:rFonts w:ascii="仿宋" w:hAnsi="仿宋" w:eastAsia="仿宋" w:cs="Times New Roman"/>
              </w:rPr>
            </w:pPr>
            <w:r>
              <w:rPr>
                <w:rFonts w:hint="eastAsia" w:ascii="仿宋" w:hAnsi="仿宋" w:eastAsia="仿宋" w:cs="Times New Roman"/>
              </w:rPr>
              <w:t>事业</w:t>
            </w:r>
          </w:p>
        </w:tc>
        <w:tc>
          <w:tcPr>
            <w:tcW w:w="1276" w:type="dxa"/>
            <w:vAlign w:val="center"/>
          </w:tcPr>
          <w:p w14:paraId="4C2A6CA8">
            <w:pPr>
              <w:spacing w:line="300" w:lineRule="exact"/>
              <w:jc w:val="left"/>
              <w:rPr>
                <w:rFonts w:ascii="仿宋" w:hAnsi="仿宋" w:eastAsia="仿宋" w:cs="Times New Roman"/>
              </w:rPr>
            </w:pPr>
            <w:r>
              <w:rPr>
                <w:rFonts w:hint="eastAsia" w:ascii="仿宋" w:hAnsi="仿宋" w:eastAsia="仿宋" w:cs="Times New Roman"/>
              </w:rPr>
              <w:t xml:space="preserve">  股级</w:t>
            </w:r>
          </w:p>
        </w:tc>
        <w:tc>
          <w:tcPr>
            <w:tcW w:w="2902" w:type="dxa"/>
            <w:vAlign w:val="center"/>
          </w:tcPr>
          <w:p w14:paraId="460139E6">
            <w:pPr>
              <w:spacing w:line="300" w:lineRule="exact"/>
              <w:ind w:firstLine="945" w:firstLineChars="450"/>
              <w:jc w:val="left"/>
              <w:rPr>
                <w:rFonts w:ascii="仿宋" w:hAnsi="仿宋" w:eastAsia="仿宋" w:cs="Times New Roman"/>
              </w:rPr>
            </w:pPr>
            <w:r>
              <w:rPr>
                <w:rFonts w:hint="eastAsia" w:ascii="仿宋" w:hAnsi="仿宋" w:eastAsia="仿宋" w:cs="Times New Roman"/>
              </w:rPr>
              <w:t>自收自支</w:t>
            </w:r>
          </w:p>
        </w:tc>
      </w:tr>
    </w:tbl>
    <w:p w14:paraId="06178D56">
      <w:pPr>
        <w:spacing w:line="560" w:lineRule="exact"/>
        <w:ind w:firstLine="640"/>
        <w:rPr>
          <w:rFonts w:ascii="黑体" w:hAnsi="黑体" w:eastAsia="黑体" w:cs="Times New Roman"/>
          <w:sz w:val="32"/>
          <w:szCs w:val="32"/>
        </w:rPr>
      </w:pPr>
      <w:r>
        <w:rPr>
          <w:rFonts w:hint="eastAsia" w:ascii="黑体" w:hAnsi="黑体" w:eastAsia="黑体" w:cs="黑体"/>
          <w:sz w:val="32"/>
          <w:szCs w:val="32"/>
        </w:rPr>
        <w:t>二、部门预算安排的总体情况</w:t>
      </w:r>
    </w:p>
    <w:p w14:paraId="6966BCA2">
      <w:pPr>
        <w:widowControl/>
        <w:spacing w:line="360" w:lineRule="auto"/>
        <w:ind w:firstLine="627" w:firstLineChars="196"/>
        <w:jc w:val="left"/>
        <w:rPr>
          <w:rFonts w:ascii="仿宋" w:hAnsi="仿宋" w:eastAsia="仿宋"/>
          <w:color w:val="333333"/>
          <w:sz w:val="32"/>
          <w:szCs w:val="32"/>
        </w:rPr>
      </w:pPr>
      <w:r>
        <w:rPr>
          <w:rFonts w:hint="eastAsia" w:ascii="仿宋" w:hAnsi="仿宋" w:eastAsia="仿宋"/>
          <w:color w:val="333333"/>
          <w:sz w:val="32"/>
          <w:szCs w:val="32"/>
        </w:rPr>
        <w:t>2018年部门收入预算总额为180.52万元，部门支出预算总额为180.52万元（其中人员经费160.3万元，项目经费0万元）。</w:t>
      </w:r>
      <w:r>
        <w:rPr>
          <w:rFonts w:ascii="仿宋" w:hAnsi="仿宋" w:eastAsia="仿宋"/>
          <w:color w:val="333333"/>
          <w:sz w:val="32"/>
          <w:szCs w:val="32"/>
        </w:rPr>
        <w:t>201</w:t>
      </w:r>
      <w:r>
        <w:rPr>
          <w:rFonts w:hint="eastAsia" w:ascii="仿宋" w:hAnsi="仿宋" w:eastAsia="仿宋"/>
          <w:color w:val="333333"/>
          <w:sz w:val="32"/>
          <w:szCs w:val="32"/>
        </w:rPr>
        <w:t>7</w:t>
      </w:r>
      <w:r>
        <w:rPr>
          <w:rFonts w:ascii="仿宋" w:hAnsi="仿宋" w:eastAsia="仿宋"/>
          <w:color w:val="333333"/>
          <w:sz w:val="32"/>
          <w:szCs w:val="32"/>
        </w:rPr>
        <w:t>年</w:t>
      </w:r>
      <w:r>
        <w:rPr>
          <w:rFonts w:hint="eastAsia" w:ascii="仿宋" w:hAnsi="仿宋" w:eastAsia="仿宋"/>
          <w:color w:val="333333"/>
          <w:sz w:val="32"/>
          <w:szCs w:val="32"/>
        </w:rPr>
        <w:t>物价局</w:t>
      </w:r>
      <w:r>
        <w:rPr>
          <w:rFonts w:ascii="仿宋" w:hAnsi="仿宋" w:eastAsia="仿宋"/>
          <w:color w:val="333333"/>
          <w:sz w:val="32"/>
          <w:szCs w:val="32"/>
        </w:rPr>
        <w:t>财政拨款收入</w:t>
      </w:r>
      <w:r>
        <w:rPr>
          <w:rFonts w:hint="eastAsia" w:ascii="仿宋" w:hAnsi="仿宋" w:eastAsia="仿宋"/>
          <w:color w:val="333333"/>
          <w:sz w:val="32"/>
          <w:szCs w:val="32"/>
        </w:rPr>
        <w:t>139.6</w:t>
      </w:r>
      <w:r>
        <w:rPr>
          <w:rFonts w:ascii="仿宋" w:hAnsi="仿宋" w:eastAsia="仿宋"/>
          <w:color w:val="333333"/>
          <w:sz w:val="32"/>
          <w:szCs w:val="32"/>
        </w:rPr>
        <w:t>万元，总支出</w:t>
      </w:r>
      <w:r>
        <w:rPr>
          <w:rFonts w:hint="eastAsia" w:ascii="仿宋" w:hAnsi="仿宋" w:eastAsia="仿宋"/>
          <w:color w:val="333333"/>
          <w:sz w:val="32"/>
          <w:szCs w:val="32"/>
        </w:rPr>
        <w:t>139.6</w:t>
      </w:r>
      <w:r>
        <w:rPr>
          <w:rFonts w:ascii="仿宋" w:hAnsi="仿宋" w:eastAsia="仿宋"/>
          <w:color w:val="333333"/>
          <w:sz w:val="32"/>
          <w:szCs w:val="32"/>
        </w:rPr>
        <w:t>万元。</w:t>
      </w:r>
      <w:r>
        <w:rPr>
          <w:rFonts w:hint="eastAsia" w:ascii="仿宋" w:hAnsi="仿宋" w:eastAsia="仿宋"/>
          <w:color w:val="333333"/>
          <w:sz w:val="32"/>
          <w:szCs w:val="32"/>
        </w:rPr>
        <w:t>与去年相比增加了40.92万元，积极贯彻落实新《</w:t>
      </w:r>
      <w:r>
        <w:rPr>
          <w:rFonts w:hint="eastAsia" w:ascii="仿宋" w:hAnsi="仿宋" w:eastAsia="仿宋"/>
          <w:color w:val="333333"/>
          <w:sz w:val="32"/>
          <w:szCs w:val="32"/>
          <w:lang w:eastAsia="zh-CN"/>
        </w:rPr>
        <w:t>中华人民共和国</w:t>
      </w:r>
      <w:bookmarkStart w:id="2" w:name="_GoBack"/>
      <w:bookmarkEnd w:id="2"/>
      <w:r>
        <w:rPr>
          <w:rFonts w:hint="eastAsia" w:ascii="仿宋" w:hAnsi="仿宋" w:eastAsia="仿宋"/>
          <w:color w:val="333333"/>
          <w:sz w:val="32"/>
          <w:szCs w:val="32"/>
        </w:rPr>
        <w:t>预算法》，按照讲求绩效的原则，对于当年未使用的预算，在调整预算中予以调减。</w:t>
      </w:r>
    </w:p>
    <w:p w14:paraId="722E458A">
      <w:pPr>
        <w:spacing w:line="560" w:lineRule="exact"/>
        <w:ind w:firstLine="640"/>
        <w:rPr>
          <w:rFonts w:ascii="楷体" w:hAnsi="楷体" w:eastAsia="楷体" w:cs="Times New Roman"/>
          <w:b/>
          <w:bCs/>
          <w:sz w:val="32"/>
          <w:szCs w:val="32"/>
        </w:rPr>
      </w:pPr>
      <w:r>
        <w:rPr>
          <w:rFonts w:ascii="楷体" w:hAnsi="楷体" w:eastAsia="楷体" w:cs="楷体"/>
          <w:b/>
          <w:bCs/>
          <w:sz w:val="32"/>
          <w:szCs w:val="32"/>
        </w:rPr>
        <w:t>1</w:t>
      </w:r>
      <w:r>
        <w:rPr>
          <w:rFonts w:hint="eastAsia" w:ascii="楷体" w:hAnsi="楷体" w:eastAsia="楷体" w:cs="楷体"/>
          <w:b/>
          <w:bCs/>
          <w:sz w:val="32"/>
          <w:szCs w:val="32"/>
        </w:rPr>
        <w:t>、收入说明</w:t>
      </w:r>
    </w:p>
    <w:p w14:paraId="2BA371A9">
      <w:pPr>
        <w:spacing w:line="560" w:lineRule="exact"/>
        <w:ind w:firstLine="640"/>
        <w:rPr>
          <w:rFonts w:ascii="仿宋" w:hAnsi="仿宋" w:eastAsia="仿宋"/>
          <w:color w:val="333333"/>
          <w:sz w:val="32"/>
          <w:szCs w:val="32"/>
        </w:rPr>
      </w:pPr>
      <w:r>
        <w:rPr>
          <w:rFonts w:ascii="仿宋" w:hAnsi="仿宋" w:eastAsia="仿宋"/>
          <w:color w:val="333333"/>
          <w:sz w:val="32"/>
          <w:szCs w:val="32"/>
        </w:rPr>
        <w:t>201</w:t>
      </w:r>
      <w:r>
        <w:rPr>
          <w:rFonts w:hint="eastAsia" w:ascii="仿宋" w:hAnsi="仿宋" w:eastAsia="仿宋"/>
          <w:color w:val="333333"/>
          <w:sz w:val="32"/>
          <w:szCs w:val="32"/>
        </w:rPr>
        <w:t>8年预算收入180.52万元，其中：一般公共预算收入180.52万元，政府性基金收入0万元，国有资本经营收入0万元，事业收入0万元，其他收入0万元。</w:t>
      </w:r>
    </w:p>
    <w:p w14:paraId="23A8926B">
      <w:pPr>
        <w:spacing w:line="560" w:lineRule="exact"/>
        <w:ind w:firstLine="640"/>
        <w:rPr>
          <w:rFonts w:ascii="楷体" w:hAnsi="楷体" w:eastAsia="楷体" w:cs="Times New Roman"/>
          <w:b/>
          <w:bCs/>
          <w:sz w:val="32"/>
          <w:szCs w:val="32"/>
        </w:rPr>
      </w:pPr>
      <w:r>
        <w:rPr>
          <w:rFonts w:ascii="楷体" w:hAnsi="楷体" w:eastAsia="楷体" w:cs="楷体"/>
          <w:b/>
          <w:bCs/>
          <w:sz w:val="32"/>
          <w:szCs w:val="32"/>
        </w:rPr>
        <w:t>2</w:t>
      </w:r>
      <w:r>
        <w:rPr>
          <w:rFonts w:hint="eastAsia" w:ascii="楷体" w:hAnsi="楷体" w:eastAsia="楷体" w:cs="楷体"/>
          <w:b/>
          <w:bCs/>
          <w:sz w:val="32"/>
          <w:szCs w:val="32"/>
        </w:rPr>
        <w:t>、支出说明</w:t>
      </w:r>
    </w:p>
    <w:p w14:paraId="64BD260C">
      <w:pPr>
        <w:spacing w:line="560" w:lineRule="exact"/>
        <w:ind w:firstLine="640"/>
        <w:rPr>
          <w:rFonts w:ascii="仿宋" w:hAnsi="仿宋" w:eastAsia="仿宋"/>
          <w:color w:val="333333"/>
          <w:sz w:val="32"/>
          <w:szCs w:val="32"/>
        </w:rPr>
      </w:pPr>
      <w:r>
        <w:rPr>
          <w:rFonts w:ascii="仿宋" w:hAnsi="仿宋" w:eastAsia="仿宋"/>
          <w:color w:val="333333"/>
          <w:sz w:val="32"/>
          <w:szCs w:val="32"/>
        </w:rPr>
        <w:t>201</w:t>
      </w:r>
      <w:r>
        <w:rPr>
          <w:rFonts w:hint="eastAsia" w:ascii="仿宋" w:hAnsi="仿宋" w:eastAsia="仿宋"/>
          <w:color w:val="333333"/>
          <w:sz w:val="32"/>
          <w:szCs w:val="32"/>
        </w:rPr>
        <w:t>8年支出预算180.52万元，其中基本支出180.52万元，包括人员经费和日常公用经费；项目支出0万元。</w:t>
      </w:r>
    </w:p>
    <w:p w14:paraId="56F6F877">
      <w:pPr>
        <w:spacing w:line="560" w:lineRule="exact"/>
        <w:ind w:firstLine="640"/>
        <w:rPr>
          <w:rFonts w:ascii="楷体" w:hAnsi="楷体" w:eastAsia="楷体" w:cs="Times New Roman"/>
          <w:b/>
          <w:bCs/>
          <w:sz w:val="32"/>
          <w:szCs w:val="32"/>
        </w:rPr>
      </w:pPr>
      <w:r>
        <w:rPr>
          <w:rFonts w:ascii="楷体" w:hAnsi="楷体" w:eastAsia="楷体" w:cs="楷体"/>
          <w:b/>
          <w:bCs/>
          <w:sz w:val="32"/>
          <w:szCs w:val="32"/>
        </w:rPr>
        <w:t>3</w:t>
      </w:r>
      <w:r>
        <w:rPr>
          <w:rFonts w:hint="eastAsia" w:ascii="楷体" w:hAnsi="楷体" w:eastAsia="楷体" w:cs="楷体"/>
          <w:b/>
          <w:bCs/>
          <w:sz w:val="32"/>
          <w:szCs w:val="32"/>
        </w:rPr>
        <w:t>、比上年增减变化情况</w:t>
      </w:r>
    </w:p>
    <w:p w14:paraId="31F9AE96">
      <w:pPr>
        <w:spacing w:line="560" w:lineRule="exact"/>
        <w:ind w:firstLine="640"/>
        <w:rPr>
          <w:rFonts w:ascii="仿宋" w:hAnsi="仿宋" w:eastAsia="仿宋"/>
          <w:color w:val="333333"/>
          <w:sz w:val="32"/>
          <w:szCs w:val="32"/>
        </w:rPr>
      </w:pPr>
      <w:r>
        <w:rPr>
          <w:rFonts w:ascii="仿宋" w:hAnsi="仿宋" w:eastAsia="仿宋"/>
          <w:color w:val="333333"/>
          <w:sz w:val="32"/>
          <w:szCs w:val="32"/>
        </w:rPr>
        <w:t>201</w:t>
      </w:r>
      <w:r>
        <w:rPr>
          <w:rFonts w:hint="eastAsia" w:ascii="仿宋" w:hAnsi="仿宋" w:eastAsia="仿宋"/>
          <w:color w:val="333333"/>
          <w:sz w:val="32"/>
          <w:szCs w:val="32"/>
        </w:rPr>
        <w:t>8年预算收支安排180.52万元，较</w:t>
      </w:r>
      <w:r>
        <w:rPr>
          <w:rFonts w:ascii="仿宋" w:hAnsi="仿宋" w:eastAsia="仿宋"/>
          <w:color w:val="333333"/>
          <w:sz w:val="32"/>
          <w:szCs w:val="32"/>
        </w:rPr>
        <w:t>201</w:t>
      </w:r>
      <w:r>
        <w:rPr>
          <w:rFonts w:hint="eastAsia" w:ascii="仿宋" w:hAnsi="仿宋" w:eastAsia="仿宋"/>
          <w:color w:val="333333"/>
          <w:sz w:val="32"/>
          <w:szCs w:val="32"/>
        </w:rPr>
        <w:t>7年预算增加40.92万元。</w:t>
      </w:r>
    </w:p>
    <w:p w14:paraId="19E258E1">
      <w:pPr>
        <w:autoSpaceDE w:val="0"/>
        <w:autoSpaceDN w:val="0"/>
        <w:adjustRightIn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三、机关运行经费安排情况</w:t>
      </w:r>
    </w:p>
    <w:p w14:paraId="5B222DB6">
      <w:pPr>
        <w:spacing w:line="560" w:lineRule="exact"/>
        <w:ind w:firstLine="640"/>
        <w:rPr>
          <w:rFonts w:ascii="仿宋" w:hAnsi="仿宋" w:eastAsia="仿宋"/>
          <w:color w:val="333333"/>
          <w:sz w:val="32"/>
          <w:szCs w:val="32"/>
        </w:rPr>
      </w:pPr>
      <w:r>
        <w:rPr>
          <w:rFonts w:hint="eastAsia" w:ascii="仿宋" w:hAnsi="仿宋" w:eastAsia="仿宋"/>
          <w:color w:val="333333"/>
          <w:sz w:val="32"/>
          <w:szCs w:val="32"/>
        </w:rPr>
        <w:t>日常公用经费安排20.22万元，包括：办公费、差旅费、水费、电费、会议费、招待费、转移支付，其他支出等。</w:t>
      </w:r>
      <w:r>
        <w:rPr>
          <w:rFonts w:ascii="仿宋" w:hAnsi="仿宋" w:eastAsia="仿宋"/>
          <w:color w:val="333333"/>
          <w:sz w:val="32"/>
          <w:szCs w:val="32"/>
        </w:rPr>
        <w:t>人员经费支出</w:t>
      </w:r>
      <w:r>
        <w:rPr>
          <w:rFonts w:hint="eastAsia" w:ascii="仿宋" w:hAnsi="仿宋" w:eastAsia="仿宋"/>
          <w:color w:val="333333"/>
          <w:sz w:val="32"/>
          <w:szCs w:val="32"/>
        </w:rPr>
        <w:t>160.3</w:t>
      </w:r>
      <w:r>
        <w:rPr>
          <w:rFonts w:ascii="仿宋" w:hAnsi="仿宋" w:eastAsia="仿宋"/>
          <w:color w:val="333333"/>
          <w:sz w:val="32"/>
          <w:szCs w:val="32"/>
        </w:rPr>
        <w:t>万元，同比去年增长</w:t>
      </w:r>
      <w:r>
        <w:rPr>
          <w:rFonts w:hint="eastAsia" w:ascii="仿宋" w:hAnsi="仿宋" w:eastAsia="仿宋"/>
          <w:color w:val="333333"/>
          <w:sz w:val="32"/>
          <w:szCs w:val="32"/>
        </w:rPr>
        <w:t>28</w:t>
      </w:r>
      <w:r>
        <w:rPr>
          <w:rFonts w:ascii="仿宋" w:hAnsi="仿宋" w:eastAsia="仿宋"/>
          <w:color w:val="333333"/>
          <w:sz w:val="32"/>
          <w:szCs w:val="32"/>
        </w:rPr>
        <w:t>%。增长原因是</w:t>
      </w:r>
      <w:r>
        <w:rPr>
          <w:rFonts w:hint="eastAsia" w:ascii="仿宋" w:hAnsi="仿宋" w:eastAsia="仿宋"/>
          <w:color w:val="333333"/>
          <w:sz w:val="32"/>
          <w:szCs w:val="32"/>
        </w:rPr>
        <w:t>2017</w:t>
      </w:r>
      <w:r>
        <w:rPr>
          <w:rFonts w:ascii="仿宋" w:hAnsi="仿宋" w:eastAsia="仿宋"/>
          <w:color w:val="333333"/>
          <w:sz w:val="32"/>
          <w:szCs w:val="32"/>
        </w:rPr>
        <w:t>年机关事业单位统一调高了工资标准。其中，工资福利支出</w:t>
      </w:r>
      <w:r>
        <w:rPr>
          <w:rFonts w:hint="eastAsia" w:ascii="仿宋" w:hAnsi="仿宋" w:eastAsia="仿宋"/>
          <w:color w:val="333333"/>
          <w:sz w:val="32"/>
          <w:szCs w:val="32"/>
        </w:rPr>
        <w:t>145.3</w:t>
      </w:r>
      <w:r>
        <w:rPr>
          <w:rFonts w:ascii="仿宋" w:hAnsi="仿宋" w:eastAsia="仿宋"/>
          <w:color w:val="333333"/>
          <w:sz w:val="32"/>
          <w:szCs w:val="32"/>
        </w:rPr>
        <w:t>万元，对个人和家庭的补助支出</w:t>
      </w:r>
      <w:r>
        <w:rPr>
          <w:rFonts w:hint="eastAsia" w:ascii="仿宋" w:hAnsi="仿宋" w:eastAsia="仿宋"/>
          <w:color w:val="333333"/>
          <w:sz w:val="32"/>
          <w:szCs w:val="32"/>
        </w:rPr>
        <w:t>15</w:t>
      </w:r>
      <w:r>
        <w:rPr>
          <w:rFonts w:ascii="仿宋" w:hAnsi="仿宋" w:eastAsia="仿宋"/>
          <w:color w:val="333333"/>
          <w:sz w:val="32"/>
          <w:szCs w:val="32"/>
        </w:rPr>
        <w:t>万元。</w:t>
      </w:r>
    </w:p>
    <w:p w14:paraId="08E5F4EC">
      <w:pPr>
        <w:autoSpaceDE w:val="0"/>
        <w:autoSpaceDN w:val="0"/>
        <w:adjustRightInd w:val="0"/>
        <w:spacing w:line="560" w:lineRule="exact"/>
        <w:ind w:firstLine="640" w:firstLineChars="200"/>
        <w:jc w:val="left"/>
        <w:rPr>
          <w:rFonts w:ascii="黑体" w:hAnsi="黑体" w:eastAsia="黑体" w:cs="Times New Roman"/>
          <w:sz w:val="32"/>
          <w:szCs w:val="32"/>
        </w:rPr>
      </w:pPr>
      <w:r>
        <w:rPr>
          <w:rFonts w:hint="eastAsia" w:ascii="黑体" w:hAnsi="黑体" w:eastAsia="黑体" w:cs="黑体"/>
          <w:sz w:val="32"/>
          <w:szCs w:val="32"/>
        </w:rPr>
        <w:t>四、财政拨款“三公”经费预算情况及增减变化原因</w:t>
      </w:r>
    </w:p>
    <w:p w14:paraId="243A832B">
      <w:pPr>
        <w:autoSpaceDE w:val="0"/>
        <w:autoSpaceDN w:val="0"/>
        <w:adjustRightInd w:val="0"/>
        <w:spacing w:line="560" w:lineRule="exact"/>
        <w:ind w:firstLine="640" w:firstLineChars="200"/>
        <w:jc w:val="left"/>
        <w:rPr>
          <w:rFonts w:ascii="仿宋" w:hAnsi="仿宋" w:eastAsia="仿宋" w:cs="Times New Roman"/>
          <w:sz w:val="32"/>
          <w:szCs w:val="32"/>
        </w:rPr>
      </w:pPr>
      <w:r>
        <w:rPr>
          <w:rFonts w:hint="eastAsia" w:ascii="仿宋" w:hAnsi="仿宋" w:eastAsia="仿宋" w:cs="仿宋_GB2312"/>
          <w:kern w:val="0"/>
          <w:sz w:val="32"/>
          <w:szCs w:val="32"/>
        </w:rPr>
        <w:t>2018年度“三公”预算支出4万元，其中，因公出国（境）费0元，安排公务用车维护费4万元，（其中公务用车购置费0元，公务用车运行维护费4万元），公务接等费0万元，2018年“三公”经费预算减少了17.6%。由于实行车补，油修费用预算</w:t>
      </w:r>
      <w:r>
        <w:rPr>
          <w:rFonts w:hint="eastAsia" w:ascii="仿宋" w:hAnsi="仿宋" w:eastAsia="仿宋" w:cs="仿宋_GB2312"/>
          <w:kern w:val="0"/>
          <w:sz w:val="32"/>
          <w:szCs w:val="32"/>
          <w:lang w:eastAsia="zh-CN"/>
        </w:rPr>
        <w:t>安排</w:t>
      </w:r>
      <w:r>
        <w:rPr>
          <w:rFonts w:hint="eastAsia" w:ascii="仿宋" w:hAnsi="仿宋" w:eastAsia="仿宋" w:cs="仿宋_GB2312"/>
          <w:kern w:val="0"/>
          <w:sz w:val="32"/>
          <w:szCs w:val="32"/>
        </w:rPr>
        <w:t>减少。</w:t>
      </w:r>
    </w:p>
    <w:p w14:paraId="42AB9006">
      <w:pPr>
        <w:spacing w:line="560" w:lineRule="exact"/>
        <w:ind w:firstLine="640"/>
        <w:rPr>
          <w:rFonts w:ascii="仿宋" w:hAnsi="仿宋" w:eastAsia="仿宋" w:cs="黑体"/>
          <w:sz w:val="32"/>
          <w:szCs w:val="32"/>
        </w:rPr>
        <w:sectPr>
          <w:footerReference r:id="rId3" w:type="default"/>
          <w:pgSz w:w="11906" w:h="16838"/>
          <w:pgMar w:top="1531" w:right="1474" w:bottom="1985" w:left="1588" w:header="851" w:footer="992" w:gutter="0"/>
          <w:cols w:space="425" w:num="1"/>
          <w:docGrid w:type="lines" w:linePitch="312" w:charSpace="0"/>
        </w:sectPr>
      </w:pPr>
    </w:p>
    <w:p w14:paraId="615F54F4">
      <w:pPr>
        <w:spacing w:line="560" w:lineRule="exact"/>
        <w:ind w:firstLine="640"/>
        <w:rPr>
          <w:rFonts w:ascii="黑体" w:hAnsi="黑体" w:eastAsia="黑体" w:cs="Times New Roman"/>
          <w:sz w:val="32"/>
          <w:szCs w:val="32"/>
        </w:rPr>
      </w:pPr>
      <w:r>
        <w:rPr>
          <w:rFonts w:hint="eastAsia" w:ascii="黑体" w:hAnsi="黑体" w:eastAsia="黑体" w:cs="黑体"/>
          <w:sz w:val="32"/>
          <w:szCs w:val="32"/>
        </w:rPr>
        <w:t>五、绩效预算信息</w:t>
      </w:r>
    </w:p>
    <w:p w14:paraId="60D9F523">
      <w:pPr>
        <w:spacing w:line="560" w:lineRule="exact"/>
        <w:ind w:firstLine="640" w:firstLineChars="200"/>
        <w:jc w:val="left"/>
        <w:outlineLvl w:val="0"/>
        <w:rPr>
          <w:rFonts w:ascii="仿宋" w:hAnsi="仿宋" w:eastAsia="仿宋" w:cs="楷体_GB2312"/>
          <w:bCs/>
          <w:sz w:val="32"/>
          <w:szCs w:val="32"/>
        </w:rPr>
      </w:pPr>
      <w:bookmarkStart w:id="0" w:name="_Toc471398463"/>
      <w:r>
        <w:rPr>
          <w:rFonts w:ascii="仿宋" w:hAnsi="仿宋" w:eastAsia="仿宋" w:cs="楷体_GB2312"/>
          <w:bCs/>
          <w:sz w:val="32"/>
          <w:szCs w:val="32"/>
        </w:rPr>
        <w:t>全面宣传贯彻执行国家、省、市的物价方针、政策；认真学习相关的规范性文件，落实价格改革方案；负责全县物价工作的综合管理和平衡，使物价总水平控制在3%的目标以内；参与重要商品储备制度的运作和监督；搞好市场监测，为价格总水平的决策研究提供科学依据。负责全县价格监测系统和价格信息网络建设，监测、分析、预报市场价格动态和价格变动趋势，及时反映市场物价方面的重要情况和问题，并提出具体意见和建议。审定国家管理的商品价格和服务收费，主持召开价格听证会；会同财政部门审定、调整行政事业性收费项目和标准；组织实施价格收费公示制度和明码标价制度，做到商品标价率达到100%，开展“物价信得过”活动，制止价格垄断、价格欺诈、价格暴利和低价倾销等不正当竞争；负责行政事业性收费的监督管理，制止乱收费行为；受理价格、收费违法行为和不正当价格行为的举报、投诉；依法查处价格违法行为和违法案件，对违纪单位实施行政处罚。</w:t>
      </w:r>
    </w:p>
    <w:p w14:paraId="44163D28">
      <w:pPr>
        <w:spacing w:line="560" w:lineRule="exact"/>
        <w:ind w:firstLine="640" w:firstLineChars="200"/>
        <w:jc w:val="left"/>
        <w:outlineLvl w:val="0"/>
        <w:rPr>
          <w:rFonts w:hint="eastAsia" w:ascii="仿宋" w:hAnsi="仿宋" w:eastAsia="仿宋" w:cs="楷体_GB2312"/>
          <w:bCs/>
          <w:sz w:val="32"/>
          <w:szCs w:val="32"/>
        </w:rPr>
      </w:pPr>
    </w:p>
    <w:p w14:paraId="57919F16">
      <w:pPr>
        <w:spacing w:line="560" w:lineRule="exact"/>
        <w:ind w:firstLine="643" w:firstLineChars="200"/>
        <w:jc w:val="left"/>
        <w:outlineLvl w:val="0"/>
        <w:rPr>
          <w:rFonts w:hint="eastAsia" w:ascii="仿宋" w:hAnsi="仿宋" w:eastAsia="仿宋" w:cs="楷体_GB2312"/>
          <w:b/>
          <w:bCs/>
          <w:sz w:val="32"/>
          <w:szCs w:val="32"/>
        </w:rPr>
      </w:pPr>
    </w:p>
    <w:p w14:paraId="018EBABE">
      <w:pPr>
        <w:spacing w:line="560" w:lineRule="exact"/>
        <w:ind w:firstLine="643" w:firstLineChars="200"/>
        <w:jc w:val="left"/>
        <w:outlineLvl w:val="0"/>
        <w:rPr>
          <w:rFonts w:hint="eastAsia" w:ascii="仿宋" w:hAnsi="仿宋" w:eastAsia="仿宋" w:cs="楷体_GB2312"/>
          <w:b/>
          <w:bCs/>
          <w:sz w:val="32"/>
          <w:szCs w:val="32"/>
        </w:rPr>
      </w:pPr>
    </w:p>
    <w:p w14:paraId="6C4A6882">
      <w:pPr>
        <w:spacing w:line="560" w:lineRule="exact"/>
        <w:ind w:firstLine="643" w:firstLineChars="200"/>
        <w:jc w:val="left"/>
        <w:outlineLvl w:val="0"/>
        <w:rPr>
          <w:rFonts w:ascii="楷体" w:hAnsi="楷体" w:eastAsia="楷体" w:cs="Times New Roman"/>
          <w:b/>
          <w:bCs/>
          <w:sz w:val="32"/>
          <w:szCs w:val="32"/>
        </w:rPr>
      </w:pPr>
      <w:r>
        <w:rPr>
          <w:rFonts w:hint="eastAsia" w:ascii="楷体" w:hAnsi="楷体" w:eastAsia="楷体" w:cs="楷体_GB2312"/>
          <w:b/>
          <w:bCs/>
          <w:sz w:val="32"/>
          <w:szCs w:val="32"/>
        </w:rPr>
        <w:t>部门职责及工作活动绩效目标指标：</w:t>
      </w:r>
      <w:bookmarkEnd w:id="0"/>
    </w:p>
    <w:tbl>
      <w:tblPr>
        <w:tblStyle w:val="4"/>
        <w:tblW w:w="139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14:paraId="42B8A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986" w:type="dxa"/>
            <w:gridSpan w:val="5"/>
            <w:tcBorders>
              <w:top w:val="single" w:color="FFFFFF" w:sz="6" w:space="0"/>
              <w:left w:val="single" w:color="FFFFFF" w:sz="6" w:space="0"/>
              <w:right w:val="single" w:color="FFFFFF" w:sz="6" w:space="0"/>
            </w:tcBorders>
            <w:shd w:val="clear" w:color="auto" w:fill="auto"/>
            <w:vAlign w:val="center"/>
          </w:tcPr>
          <w:p w14:paraId="4033C619">
            <w:pPr>
              <w:spacing w:line="300" w:lineRule="exact"/>
              <w:jc w:val="left"/>
              <w:rPr>
                <w:rFonts w:ascii="仿宋" w:hAnsi="仿宋" w:eastAsia="仿宋"/>
                <w:sz w:val="24"/>
              </w:rPr>
            </w:pPr>
            <w:r>
              <w:rPr>
                <w:rFonts w:ascii="仿宋" w:hAnsi="仿宋" w:eastAsia="仿宋"/>
                <w:sz w:val="24"/>
              </w:rPr>
              <w:t>411</w:t>
            </w:r>
            <w:r>
              <w:rPr>
                <w:rFonts w:hint="eastAsia" w:ascii="仿宋" w:hAnsi="仿宋" w:eastAsia="仿宋"/>
                <w:sz w:val="24"/>
              </w:rPr>
              <w:t>成安县物价局</w:t>
            </w:r>
          </w:p>
        </w:tc>
        <w:tc>
          <w:tcPr>
            <w:tcW w:w="2948" w:type="dxa"/>
            <w:gridSpan w:val="4"/>
            <w:tcBorders>
              <w:top w:val="single" w:color="FFFFFF" w:sz="6" w:space="0"/>
              <w:left w:val="single" w:color="FFFFFF" w:sz="6" w:space="0"/>
              <w:right w:val="single" w:color="FFFFFF" w:sz="6" w:space="0"/>
            </w:tcBorders>
            <w:shd w:val="clear" w:color="auto" w:fill="auto"/>
            <w:vAlign w:val="center"/>
          </w:tcPr>
          <w:p w14:paraId="2489A127">
            <w:pPr>
              <w:spacing w:line="300" w:lineRule="exact"/>
              <w:jc w:val="right"/>
              <w:rPr>
                <w:rFonts w:ascii="仿宋" w:hAnsi="仿宋" w:eastAsia="仿宋"/>
                <w:sz w:val="24"/>
              </w:rPr>
            </w:pPr>
            <w:r>
              <w:rPr>
                <w:rFonts w:hint="eastAsia" w:ascii="仿宋" w:hAnsi="仿宋" w:eastAsia="仿宋"/>
                <w:sz w:val="24"/>
              </w:rPr>
              <w:t>单位：万元</w:t>
            </w:r>
          </w:p>
        </w:tc>
      </w:tr>
      <w:tr w14:paraId="6A107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restart"/>
            <w:shd w:val="clear" w:color="auto" w:fill="auto"/>
            <w:vAlign w:val="center"/>
          </w:tcPr>
          <w:p w14:paraId="4184A1E7">
            <w:pPr>
              <w:spacing w:line="300" w:lineRule="exact"/>
              <w:jc w:val="center"/>
              <w:rPr>
                <w:rFonts w:ascii="仿宋" w:hAnsi="仿宋" w:eastAsia="仿宋"/>
                <w:b/>
              </w:rPr>
            </w:pPr>
            <w:r>
              <w:rPr>
                <w:rFonts w:hint="eastAsia" w:ascii="仿宋" w:hAnsi="仿宋" w:eastAsia="仿宋"/>
                <w:b/>
              </w:rPr>
              <w:t>职责活动</w:t>
            </w:r>
          </w:p>
        </w:tc>
        <w:tc>
          <w:tcPr>
            <w:tcW w:w="1276" w:type="dxa"/>
            <w:vMerge w:val="restart"/>
            <w:shd w:val="clear" w:color="auto" w:fill="auto"/>
            <w:vAlign w:val="center"/>
          </w:tcPr>
          <w:p w14:paraId="0EAFE25E">
            <w:pPr>
              <w:spacing w:line="300" w:lineRule="exact"/>
              <w:jc w:val="center"/>
              <w:rPr>
                <w:rFonts w:ascii="仿宋" w:hAnsi="仿宋" w:eastAsia="仿宋"/>
                <w:b/>
              </w:rPr>
            </w:pPr>
            <w:r>
              <w:rPr>
                <w:rFonts w:hint="eastAsia" w:ascii="仿宋" w:hAnsi="仿宋" w:eastAsia="仿宋"/>
                <w:b/>
              </w:rPr>
              <w:t>年度预算数</w:t>
            </w:r>
          </w:p>
        </w:tc>
        <w:tc>
          <w:tcPr>
            <w:tcW w:w="2976" w:type="dxa"/>
            <w:vMerge w:val="restart"/>
            <w:shd w:val="clear" w:color="auto" w:fill="auto"/>
            <w:vAlign w:val="center"/>
          </w:tcPr>
          <w:p w14:paraId="069889F9">
            <w:pPr>
              <w:spacing w:line="300" w:lineRule="exact"/>
              <w:jc w:val="center"/>
              <w:rPr>
                <w:rFonts w:ascii="仿宋" w:hAnsi="仿宋" w:eastAsia="仿宋"/>
                <w:b/>
              </w:rPr>
            </w:pPr>
            <w:r>
              <w:rPr>
                <w:rFonts w:hint="eastAsia" w:ascii="仿宋" w:hAnsi="仿宋" w:eastAsia="仿宋"/>
                <w:b/>
              </w:rPr>
              <w:t>内容描述</w:t>
            </w:r>
          </w:p>
        </w:tc>
        <w:tc>
          <w:tcPr>
            <w:tcW w:w="2976" w:type="dxa"/>
            <w:vMerge w:val="restart"/>
            <w:shd w:val="clear" w:color="auto" w:fill="auto"/>
            <w:vAlign w:val="center"/>
          </w:tcPr>
          <w:p w14:paraId="042EE27A">
            <w:pPr>
              <w:spacing w:line="300" w:lineRule="exact"/>
              <w:jc w:val="center"/>
              <w:rPr>
                <w:rFonts w:ascii="仿宋" w:hAnsi="仿宋" w:eastAsia="仿宋"/>
                <w:b/>
              </w:rPr>
            </w:pPr>
            <w:r>
              <w:rPr>
                <w:rFonts w:hint="eastAsia" w:ascii="仿宋" w:hAnsi="仿宋" w:eastAsia="仿宋"/>
                <w:b/>
              </w:rPr>
              <w:t>绩效目标</w:t>
            </w:r>
          </w:p>
        </w:tc>
        <w:tc>
          <w:tcPr>
            <w:tcW w:w="1417" w:type="dxa"/>
            <w:vMerge w:val="restart"/>
            <w:shd w:val="clear" w:color="auto" w:fill="auto"/>
            <w:vAlign w:val="center"/>
          </w:tcPr>
          <w:p w14:paraId="3A504C8A">
            <w:pPr>
              <w:spacing w:line="300" w:lineRule="exact"/>
              <w:jc w:val="center"/>
              <w:rPr>
                <w:rFonts w:ascii="仿宋" w:hAnsi="仿宋" w:eastAsia="仿宋"/>
                <w:b/>
              </w:rPr>
            </w:pPr>
            <w:r>
              <w:rPr>
                <w:rFonts w:hint="eastAsia" w:ascii="仿宋" w:hAnsi="仿宋" w:eastAsia="仿宋"/>
                <w:b/>
              </w:rPr>
              <w:t>绩效指标</w:t>
            </w:r>
          </w:p>
        </w:tc>
        <w:tc>
          <w:tcPr>
            <w:tcW w:w="2948" w:type="dxa"/>
            <w:gridSpan w:val="4"/>
            <w:shd w:val="clear" w:color="auto" w:fill="auto"/>
            <w:vAlign w:val="center"/>
          </w:tcPr>
          <w:p w14:paraId="1AAB46C0">
            <w:pPr>
              <w:spacing w:line="300" w:lineRule="exact"/>
              <w:jc w:val="center"/>
              <w:rPr>
                <w:rFonts w:ascii="仿宋" w:hAnsi="仿宋" w:eastAsia="仿宋"/>
                <w:b/>
              </w:rPr>
            </w:pPr>
            <w:r>
              <w:rPr>
                <w:rFonts w:hint="eastAsia" w:ascii="仿宋" w:hAnsi="仿宋" w:eastAsia="仿宋"/>
                <w:b/>
              </w:rPr>
              <w:t>评价标准</w:t>
            </w:r>
          </w:p>
        </w:tc>
      </w:tr>
      <w:tr w14:paraId="15051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continue"/>
            <w:shd w:val="clear" w:color="auto" w:fill="auto"/>
            <w:vAlign w:val="center"/>
          </w:tcPr>
          <w:p w14:paraId="4C3BDD19">
            <w:pPr>
              <w:spacing w:line="300" w:lineRule="exact"/>
              <w:jc w:val="left"/>
              <w:outlineLvl w:val="0"/>
              <w:rPr>
                <w:rFonts w:ascii="仿宋" w:hAnsi="仿宋" w:eastAsia="仿宋"/>
              </w:rPr>
            </w:pPr>
          </w:p>
        </w:tc>
        <w:tc>
          <w:tcPr>
            <w:tcW w:w="1276" w:type="dxa"/>
            <w:vMerge w:val="continue"/>
            <w:shd w:val="clear" w:color="auto" w:fill="auto"/>
            <w:vAlign w:val="center"/>
          </w:tcPr>
          <w:p w14:paraId="33486E9F">
            <w:pPr>
              <w:spacing w:line="300" w:lineRule="exact"/>
              <w:jc w:val="left"/>
              <w:outlineLvl w:val="0"/>
              <w:rPr>
                <w:rFonts w:ascii="仿宋" w:hAnsi="仿宋" w:eastAsia="仿宋"/>
              </w:rPr>
            </w:pPr>
          </w:p>
        </w:tc>
        <w:tc>
          <w:tcPr>
            <w:tcW w:w="2976" w:type="dxa"/>
            <w:vMerge w:val="continue"/>
            <w:shd w:val="clear" w:color="auto" w:fill="auto"/>
            <w:vAlign w:val="center"/>
          </w:tcPr>
          <w:p w14:paraId="484D0678">
            <w:pPr>
              <w:spacing w:line="300" w:lineRule="exact"/>
              <w:jc w:val="left"/>
              <w:outlineLvl w:val="0"/>
              <w:rPr>
                <w:rFonts w:ascii="仿宋" w:hAnsi="仿宋" w:eastAsia="仿宋"/>
              </w:rPr>
            </w:pPr>
          </w:p>
        </w:tc>
        <w:tc>
          <w:tcPr>
            <w:tcW w:w="2976" w:type="dxa"/>
            <w:vMerge w:val="continue"/>
            <w:shd w:val="clear" w:color="auto" w:fill="auto"/>
            <w:vAlign w:val="center"/>
          </w:tcPr>
          <w:p w14:paraId="16CD965D">
            <w:pPr>
              <w:spacing w:line="300" w:lineRule="exact"/>
              <w:jc w:val="left"/>
              <w:outlineLvl w:val="0"/>
              <w:rPr>
                <w:rFonts w:ascii="仿宋" w:hAnsi="仿宋" w:eastAsia="仿宋"/>
              </w:rPr>
            </w:pPr>
          </w:p>
        </w:tc>
        <w:tc>
          <w:tcPr>
            <w:tcW w:w="1417" w:type="dxa"/>
            <w:vMerge w:val="continue"/>
            <w:shd w:val="clear" w:color="auto" w:fill="auto"/>
            <w:vAlign w:val="center"/>
          </w:tcPr>
          <w:p w14:paraId="78EAB43D">
            <w:pPr>
              <w:spacing w:line="300" w:lineRule="exact"/>
              <w:jc w:val="left"/>
              <w:outlineLvl w:val="0"/>
              <w:rPr>
                <w:rFonts w:ascii="仿宋" w:hAnsi="仿宋" w:eastAsia="仿宋"/>
              </w:rPr>
            </w:pPr>
          </w:p>
        </w:tc>
        <w:tc>
          <w:tcPr>
            <w:tcW w:w="737" w:type="dxa"/>
            <w:shd w:val="clear" w:color="auto" w:fill="auto"/>
            <w:vAlign w:val="center"/>
          </w:tcPr>
          <w:p w14:paraId="45D36BC5">
            <w:pPr>
              <w:spacing w:line="300" w:lineRule="exact"/>
              <w:jc w:val="center"/>
              <w:rPr>
                <w:rFonts w:ascii="仿宋" w:hAnsi="仿宋" w:eastAsia="仿宋"/>
                <w:b/>
              </w:rPr>
            </w:pPr>
            <w:r>
              <w:rPr>
                <w:rFonts w:hint="eastAsia" w:ascii="仿宋" w:hAnsi="仿宋" w:eastAsia="仿宋"/>
                <w:b/>
              </w:rPr>
              <w:t>优</w:t>
            </w:r>
          </w:p>
        </w:tc>
        <w:tc>
          <w:tcPr>
            <w:tcW w:w="737" w:type="dxa"/>
            <w:shd w:val="clear" w:color="auto" w:fill="auto"/>
            <w:vAlign w:val="center"/>
          </w:tcPr>
          <w:p w14:paraId="1783A1D6">
            <w:pPr>
              <w:spacing w:line="300" w:lineRule="exact"/>
              <w:jc w:val="center"/>
              <w:rPr>
                <w:rFonts w:ascii="仿宋" w:hAnsi="仿宋" w:eastAsia="仿宋"/>
                <w:b/>
              </w:rPr>
            </w:pPr>
            <w:r>
              <w:rPr>
                <w:rFonts w:hint="eastAsia" w:ascii="仿宋" w:hAnsi="仿宋" w:eastAsia="仿宋"/>
                <w:b/>
              </w:rPr>
              <w:t>良</w:t>
            </w:r>
          </w:p>
        </w:tc>
        <w:tc>
          <w:tcPr>
            <w:tcW w:w="737" w:type="dxa"/>
            <w:shd w:val="clear" w:color="auto" w:fill="auto"/>
            <w:vAlign w:val="center"/>
          </w:tcPr>
          <w:p w14:paraId="74C80E7E">
            <w:pPr>
              <w:spacing w:line="300" w:lineRule="exact"/>
              <w:jc w:val="center"/>
              <w:rPr>
                <w:rFonts w:ascii="仿宋" w:hAnsi="仿宋" w:eastAsia="仿宋"/>
                <w:b/>
              </w:rPr>
            </w:pPr>
            <w:r>
              <w:rPr>
                <w:rFonts w:hint="eastAsia" w:ascii="仿宋" w:hAnsi="仿宋" w:eastAsia="仿宋"/>
                <w:b/>
              </w:rPr>
              <w:t>中</w:t>
            </w:r>
          </w:p>
        </w:tc>
        <w:tc>
          <w:tcPr>
            <w:tcW w:w="737" w:type="dxa"/>
            <w:shd w:val="clear" w:color="auto" w:fill="auto"/>
            <w:vAlign w:val="center"/>
          </w:tcPr>
          <w:p w14:paraId="355FF31F">
            <w:pPr>
              <w:spacing w:line="300" w:lineRule="exact"/>
              <w:jc w:val="center"/>
              <w:rPr>
                <w:rFonts w:ascii="仿宋" w:hAnsi="仿宋" w:eastAsia="仿宋"/>
                <w:b/>
              </w:rPr>
            </w:pPr>
            <w:r>
              <w:rPr>
                <w:rFonts w:hint="eastAsia" w:ascii="仿宋" w:hAnsi="仿宋" w:eastAsia="仿宋"/>
                <w:b/>
              </w:rPr>
              <w:t>差</w:t>
            </w:r>
          </w:p>
        </w:tc>
      </w:tr>
      <w:tr w14:paraId="656EA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57D9733C">
            <w:pPr>
              <w:spacing w:line="300" w:lineRule="exact"/>
              <w:jc w:val="left"/>
              <w:rPr>
                <w:rFonts w:ascii="仿宋" w:hAnsi="仿宋" w:eastAsia="仿宋"/>
                <w:b/>
              </w:rPr>
            </w:pPr>
            <w:r>
              <w:rPr>
                <w:rFonts w:hint="eastAsia" w:ascii="仿宋" w:hAnsi="仿宋" w:eastAsia="仿宋"/>
                <w:b/>
              </w:rPr>
              <w:t>价格监督检查</w:t>
            </w:r>
          </w:p>
        </w:tc>
        <w:tc>
          <w:tcPr>
            <w:tcW w:w="1276" w:type="dxa"/>
            <w:shd w:val="clear" w:color="auto" w:fill="auto"/>
            <w:vAlign w:val="center"/>
          </w:tcPr>
          <w:p w14:paraId="3D144D3F">
            <w:pPr>
              <w:spacing w:line="300" w:lineRule="exact"/>
              <w:jc w:val="left"/>
              <w:rPr>
                <w:rFonts w:ascii="仿宋" w:hAnsi="仿宋" w:eastAsia="仿宋"/>
              </w:rPr>
            </w:pPr>
          </w:p>
        </w:tc>
        <w:tc>
          <w:tcPr>
            <w:tcW w:w="2976" w:type="dxa"/>
            <w:shd w:val="clear" w:color="auto" w:fill="auto"/>
            <w:vAlign w:val="center"/>
          </w:tcPr>
          <w:p w14:paraId="2BB02785">
            <w:pPr>
              <w:spacing w:line="300" w:lineRule="exact"/>
              <w:jc w:val="left"/>
              <w:rPr>
                <w:rFonts w:ascii="仿宋" w:hAnsi="仿宋" w:eastAsia="仿宋"/>
              </w:rPr>
            </w:pPr>
            <w:r>
              <w:rPr>
                <w:rFonts w:hint="eastAsia" w:ascii="仿宋" w:hAnsi="仿宋" w:eastAsia="仿宋"/>
              </w:rPr>
              <w:t>组织价格和收费监督检查；受理价格处罚的复议案件和申诉案件；推进价格信用制度建设；依法办理价格举报案件；推行明码标价和价格、收费公示制度，对市场放开商品实施价格监管，加强反价格欺诈反垄断工作。</w:t>
            </w:r>
          </w:p>
          <w:p w14:paraId="3B933BD6">
            <w:pPr>
              <w:spacing w:line="300" w:lineRule="exact"/>
              <w:jc w:val="left"/>
              <w:rPr>
                <w:rFonts w:ascii="仿宋" w:hAnsi="仿宋" w:eastAsia="仿宋"/>
              </w:rPr>
            </w:pPr>
            <w:r>
              <w:rPr>
                <w:rFonts w:hint="eastAsia" w:ascii="仿宋" w:hAnsi="仿宋" w:eastAsia="仿宋"/>
              </w:rPr>
              <w:t>组织价格和收费监督检查；受理价格处罚的复议案件和申诉案件；推进价格信用制度建设；依法办理价格举报案件；推行明码标价和价格、收费公示制度，对市场放开商品实施价格监管，加强反价格欺诈反垄断工作。</w:t>
            </w:r>
          </w:p>
        </w:tc>
        <w:tc>
          <w:tcPr>
            <w:tcW w:w="2976" w:type="dxa"/>
            <w:shd w:val="clear" w:color="auto" w:fill="auto"/>
            <w:vAlign w:val="center"/>
          </w:tcPr>
          <w:p w14:paraId="4704F945">
            <w:pPr>
              <w:spacing w:line="300" w:lineRule="exact"/>
              <w:jc w:val="left"/>
              <w:rPr>
                <w:rFonts w:ascii="仿宋" w:hAnsi="仿宋" w:eastAsia="仿宋"/>
              </w:rPr>
            </w:pPr>
            <w:r>
              <w:rPr>
                <w:rFonts w:hint="eastAsia" w:ascii="仿宋" w:hAnsi="仿宋" w:eastAsia="仿宋"/>
              </w:rPr>
              <w:t>治理价格违法行为，规范收费环境和价格秩序；确保价格行政执法、处罚、审理程序合法；推行明码标价，促进明码实价；促进经营者价格自律，推进价格信用制度建设。</w:t>
            </w:r>
          </w:p>
          <w:p w14:paraId="1D36D817">
            <w:pPr>
              <w:spacing w:line="300" w:lineRule="exact"/>
              <w:jc w:val="left"/>
              <w:rPr>
                <w:rFonts w:ascii="仿宋" w:hAnsi="仿宋" w:eastAsia="仿宋"/>
              </w:rPr>
            </w:pPr>
            <w:r>
              <w:rPr>
                <w:rFonts w:hint="eastAsia" w:ascii="仿宋" w:hAnsi="仿宋" w:eastAsia="仿宋"/>
              </w:rPr>
              <w:t>治理价格违法行为，规范收费环境和价格秩序；确保价格行政执法、处罚、审理程序合法；推行明码标价，促进明码实价；促进经营者价格自律，推进价格信用制度建设。</w:t>
            </w:r>
          </w:p>
        </w:tc>
        <w:tc>
          <w:tcPr>
            <w:tcW w:w="1417" w:type="dxa"/>
            <w:shd w:val="clear" w:color="auto" w:fill="auto"/>
            <w:vAlign w:val="center"/>
          </w:tcPr>
          <w:p w14:paraId="791302FE">
            <w:pPr>
              <w:spacing w:line="300" w:lineRule="exact"/>
              <w:jc w:val="left"/>
              <w:rPr>
                <w:rFonts w:ascii="仿宋" w:hAnsi="仿宋" w:eastAsia="仿宋"/>
              </w:rPr>
            </w:pPr>
          </w:p>
        </w:tc>
        <w:tc>
          <w:tcPr>
            <w:tcW w:w="737" w:type="dxa"/>
            <w:shd w:val="clear" w:color="auto" w:fill="auto"/>
            <w:vAlign w:val="center"/>
          </w:tcPr>
          <w:p w14:paraId="09EE5486">
            <w:pPr>
              <w:spacing w:line="300" w:lineRule="exact"/>
              <w:jc w:val="center"/>
              <w:rPr>
                <w:rFonts w:ascii="仿宋" w:hAnsi="仿宋" w:eastAsia="仿宋"/>
              </w:rPr>
            </w:pPr>
          </w:p>
        </w:tc>
        <w:tc>
          <w:tcPr>
            <w:tcW w:w="737" w:type="dxa"/>
            <w:shd w:val="clear" w:color="auto" w:fill="auto"/>
            <w:vAlign w:val="center"/>
          </w:tcPr>
          <w:p w14:paraId="07B8709D">
            <w:pPr>
              <w:spacing w:line="300" w:lineRule="exact"/>
              <w:jc w:val="center"/>
              <w:rPr>
                <w:rFonts w:ascii="仿宋" w:hAnsi="仿宋" w:eastAsia="仿宋"/>
              </w:rPr>
            </w:pPr>
          </w:p>
        </w:tc>
        <w:tc>
          <w:tcPr>
            <w:tcW w:w="737" w:type="dxa"/>
            <w:shd w:val="clear" w:color="auto" w:fill="auto"/>
            <w:vAlign w:val="center"/>
          </w:tcPr>
          <w:p w14:paraId="101FAB89">
            <w:pPr>
              <w:spacing w:line="300" w:lineRule="exact"/>
              <w:jc w:val="center"/>
              <w:rPr>
                <w:rFonts w:ascii="仿宋" w:hAnsi="仿宋" w:eastAsia="仿宋"/>
              </w:rPr>
            </w:pPr>
          </w:p>
        </w:tc>
        <w:tc>
          <w:tcPr>
            <w:tcW w:w="737" w:type="dxa"/>
            <w:shd w:val="clear" w:color="auto" w:fill="auto"/>
            <w:vAlign w:val="center"/>
          </w:tcPr>
          <w:p w14:paraId="1036EB8A">
            <w:pPr>
              <w:spacing w:line="300" w:lineRule="exact"/>
              <w:jc w:val="center"/>
              <w:rPr>
                <w:rFonts w:ascii="仿宋" w:hAnsi="仿宋" w:eastAsia="仿宋"/>
              </w:rPr>
            </w:pPr>
          </w:p>
        </w:tc>
      </w:tr>
      <w:tr w14:paraId="47E84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74A95116">
            <w:pPr>
              <w:spacing w:line="300" w:lineRule="exact"/>
              <w:jc w:val="left"/>
              <w:rPr>
                <w:rFonts w:ascii="仿宋" w:hAnsi="仿宋" w:eastAsia="仿宋"/>
                <w:b/>
              </w:rPr>
            </w:pPr>
            <w:r>
              <w:rPr>
                <w:rFonts w:hint="eastAsia" w:ascii="仿宋" w:hAnsi="仿宋" w:eastAsia="仿宋"/>
                <w:b/>
              </w:rPr>
              <w:t>　　法制与案件审理</w:t>
            </w:r>
          </w:p>
        </w:tc>
        <w:tc>
          <w:tcPr>
            <w:tcW w:w="1276" w:type="dxa"/>
            <w:shd w:val="clear" w:color="auto" w:fill="auto"/>
            <w:vAlign w:val="center"/>
          </w:tcPr>
          <w:p w14:paraId="6018CE8F">
            <w:pPr>
              <w:spacing w:line="300" w:lineRule="exact"/>
              <w:jc w:val="left"/>
              <w:rPr>
                <w:rFonts w:ascii="仿宋" w:hAnsi="仿宋" w:eastAsia="仿宋"/>
              </w:rPr>
            </w:pPr>
          </w:p>
        </w:tc>
        <w:tc>
          <w:tcPr>
            <w:tcW w:w="2976" w:type="dxa"/>
            <w:shd w:val="clear" w:color="auto" w:fill="auto"/>
            <w:vAlign w:val="center"/>
          </w:tcPr>
          <w:p w14:paraId="7C4DB088">
            <w:pPr>
              <w:spacing w:line="300" w:lineRule="exact"/>
              <w:jc w:val="left"/>
              <w:rPr>
                <w:rFonts w:ascii="仿宋" w:hAnsi="仿宋" w:eastAsia="仿宋"/>
              </w:rPr>
            </w:pPr>
            <w:r>
              <w:rPr>
                <w:rFonts w:hint="eastAsia" w:ascii="仿宋" w:hAnsi="仿宋" w:eastAsia="仿宋"/>
              </w:rPr>
              <w:t>对全县价格违法案件执法情况进行监督、检查，对价格违法案件的审理、提出处理意见；受理价格处罚的行政复议、行政诉讼、申诉等案件；培训全县价格检查干部相关法律法规知识。</w:t>
            </w:r>
          </w:p>
        </w:tc>
        <w:tc>
          <w:tcPr>
            <w:tcW w:w="2976" w:type="dxa"/>
            <w:shd w:val="clear" w:color="auto" w:fill="auto"/>
            <w:vAlign w:val="center"/>
          </w:tcPr>
          <w:p w14:paraId="50E6B602">
            <w:pPr>
              <w:spacing w:line="300" w:lineRule="exact"/>
              <w:jc w:val="left"/>
              <w:rPr>
                <w:rFonts w:ascii="仿宋" w:hAnsi="仿宋" w:eastAsia="仿宋"/>
              </w:rPr>
            </w:pPr>
            <w:r>
              <w:rPr>
                <w:rFonts w:hint="eastAsia" w:ascii="仿宋" w:hAnsi="仿宋" w:eastAsia="仿宋"/>
              </w:rPr>
              <w:t>确保依法办案，确保价格行政执法、处罚、审理程序合法。</w:t>
            </w:r>
          </w:p>
        </w:tc>
        <w:tc>
          <w:tcPr>
            <w:tcW w:w="1417" w:type="dxa"/>
            <w:shd w:val="clear" w:color="auto" w:fill="auto"/>
            <w:vAlign w:val="center"/>
          </w:tcPr>
          <w:p w14:paraId="38A90071">
            <w:pPr>
              <w:spacing w:line="300" w:lineRule="exact"/>
              <w:jc w:val="left"/>
              <w:rPr>
                <w:rFonts w:ascii="仿宋" w:hAnsi="仿宋" w:eastAsia="仿宋"/>
              </w:rPr>
            </w:pPr>
            <w:r>
              <w:rPr>
                <w:rFonts w:hint="eastAsia" w:ascii="仿宋" w:hAnsi="仿宋" w:eastAsia="仿宋"/>
              </w:rPr>
              <w:t>案件办结率</w:t>
            </w:r>
          </w:p>
        </w:tc>
        <w:tc>
          <w:tcPr>
            <w:tcW w:w="737" w:type="dxa"/>
            <w:shd w:val="clear" w:color="auto" w:fill="auto"/>
            <w:vAlign w:val="center"/>
          </w:tcPr>
          <w:p w14:paraId="4221A84D">
            <w:pPr>
              <w:spacing w:line="300" w:lineRule="exact"/>
              <w:jc w:val="center"/>
              <w:rPr>
                <w:rFonts w:ascii="仿宋" w:hAnsi="仿宋" w:eastAsia="仿宋"/>
              </w:rPr>
            </w:pPr>
            <w:r>
              <w:rPr>
                <w:rFonts w:ascii="仿宋" w:hAnsi="仿宋" w:eastAsia="仿宋"/>
              </w:rPr>
              <w:t>100%</w:t>
            </w:r>
          </w:p>
        </w:tc>
        <w:tc>
          <w:tcPr>
            <w:tcW w:w="737" w:type="dxa"/>
            <w:shd w:val="clear" w:color="auto" w:fill="auto"/>
            <w:vAlign w:val="center"/>
          </w:tcPr>
          <w:p w14:paraId="5C627189">
            <w:pPr>
              <w:spacing w:line="300" w:lineRule="exact"/>
              <w:jc w:val="center"/>
              <w:rPr>
                <w:rFonts w:ascii="仿宋" w:hAnsi="仿宋" w:eastAsia="仿宋"/>
              </w:rPr>
            </w:pPr>
            <w:r>
              <w:rPr>
                <w:rFonts w:ascii="仿宋" w:hAnsi="仿宋" w:eastAsia="仿宋"/>
              </w:rPr>
              <w:t>90%</w:t>
            </w:r>
          </w:p>
        </w:tc>
        <w:tc>
          <w:tcPr>
            <w:tcW w:w="737" w:type="dxa"/>
            <w:shd w:val="clear" w:color="auto" w:fill="auto"/>
            <w:vAlign w:val="center"/>
          </w:tcPr>
          <w:p w14:paraId="3F930E05">
            <w:pPr>
              <w:spacing w:line="300" w:lineRule="exact"/>
              <w:jc w:val="center"/>
              <w:rPr>
                <w:rFonts w:ascii="仿宋" w:hAnsi="仿宋" w:eastAsia="仿宋"/>
              </w:rPr>
            </w:pPr>
            <w:r>
              <w:rPr>
                <w:rFonts w:ascii="仿宋" w:hAnsi="仿宋" w:eastAsia="仿宋"/>
              </w:rPr>
              <w:t>90%</w:t>
            </w:r>
          </w:p>
        </w:tc>
        <w:tc>
          <w:tcPr>
            <w:tcW w:w="737" w:type="dxa"/>
            <w:shd w:val="clear" w:color="auto" w:fill="auto"/>
            <w:vAlign w:val="center"/>
          </w:tcPr>
          <w:p w14:paraId="3D472B77">
            <w:pPr>
              <w:spacing w:line="300" w:lineRule="exact"/>
              <w:jc w:val="center"/>
              <w:rPr>
                <w:rFonts w:ascii="仿宋" w:hAnsi="仿宋" w:eastAsia="仿宋"/>
              </w:rPr>
            </w:pPr>
            <w:r>
              <w:rPr>
                <w:rFonts w:ascii="仿宋" w:hAnsi="仿宋" w:eastAsia="仿宋"/>
              </w:rPr>
              <w:t>70%</w:t>
            </w:r>
          </w:p>
        </w:tc>
      </w:tr>
      <w:tr w14:paraId="7A8FD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3A750332">
            <w:pPr>
              <w:spacing w:line="300" w:lineRule="exact"/>
              <w:jc w:val="left"/>
              <w:rPr>
                <w:rFonts w:ascii="仿宋" w:hAnsi="仿宋" w:eastAsia="仿宋"/>
                <w:b/>
              </w:rPr>
            </w:pPr>
            <w:r>
              <w:rPr>
                <w:rFonts w:hint="eastAsia" w:ascii="仿宋" w:hAnsi="仿宋" w:eastAsia="仿宋"/>
                <w:b/>
              </w:rPr>
              <w:t>商品和服务价格监督检查</w:t>
            </w:r>
          </w:p>
        </w:tc>
        <w:tc>
          <w:tcPr>
            <w:tcW w:w="1276" w:type="dxa"/>
            <w:shd w:val="clear" w:color="auto" w:fill="auto"/>
            <w:vAlign w:val="center"/>
          </w:tcPr>
          <w:p w14:paraId="6F845ABA">
            <w:pPr>
              <w:spacing w:line="300" w:lineRule="exact"/>
              <w:jc w:val="left"/>
              <w:rPr>
                <w:rFonts w:ascii="仿宋" w:hAnsi="仿宋" w:eastAsia="仿宋"/>
              </w:rPr>
            </w:pPr>
          </w:p>
        </w:tc>
        <w:tc>
          <w:tcPr>
            <w:tcW w:w="2976" w:type="dxa"/>
            <w:shd w:val="clear" w:color="auto" w:fill="auto"/>
            <w:vAlign w:val="center"/>
          </w:tcPr>
          <w:p w14:paraId="363BF61F">
            <w:pPr>
              <w:spacing w:line="300" w:lineRule="exact"/>
              <w:jc w:val="left"/>
              <w:rPr>
                <w:rFonts w:ascii="仿宋" w:hAnsi="仿宋" w:eastAsia="仿宋"/>
              </w:rPr>
            </w:pPr>
            <w:r>
              <w:rPr>
                <w:rFonts w:hint="eastAsia" w:ascii="仿宋" w:hAnsi="仿宋" w:eastAsia="仿宋"/>
              </w:rPr>
              <w:t>规范市场价格秩序，打击虚构原价、虚假打折等欺诈行为；完善电子商务、网络购物、快递等新兴服务业价格动态应急处置机制，打击价格违法行为，防范价格异动；开展价格诚信建设，探索不同行业明码标价的规则方法，建立经营者价格信用信息数据库，定期评定和发布经营者的价格信用等级。</w:t>
            </w:r>
          </w:p>
        </w:tc>
        <w:tc>
          <w:tcPr>
            <w:tcW w:w="2976" w:type="dxa"/>
            <w:shd w:val="clear" w:color="auto" w:fill="auto"/>
            <w:vAlign w:val="center"/>
          </w:tcPr>
          <w:p w14:paraId="5976AB11">
            <w:pPr>
              <w:spacing w:line="300" w:lineRule="exact"/>
              <w:jc w:val="left"/>
              <w:rPr>
                <w:rFonts w:ascii="仿宋" w:hAnsi="仿宋" w:eastAsia="仿宋"/>
              </w:rPr>
            </w:pPr>
            <w:r>
              <w:rPr>
                <w:rFonts w:hint="eastAsia" w:ascii="仿宋" w:hAnsi="仿宋" w:eastAsia="仿宋"/>
              </w:rPr>
              <w:t>治理价格违法行为，规范收费环境和价格秩序；确保价格行政执法、处罚、审理程序合法；推行明码标价，促进明码实价；促进经营者价格自律，推进价格信用制度建设。</w:t>
            </w:r>
          </w:p>
        </w:tc>
        <w:tc>
          <w:tcPr>
            <w:tcW w:w="1417" w:type="dxa"/>
            <w:shd w:val="clear" w:color="auto" w:fill="auto"/>
            <w:vAlign w:val="center"/>
          </w:tcPr>
          <w:p w14:paraId="4CE09B36">
            <w:pPr>
              <w:spacing w:line="300" w:lineRule="exact"/>
              <w:jc w:val="left"/>
              <w:rPr>
                <w:rFonts w:ascii="仿宋" w:hAnsi="仿宋" w:eastAsia="仿宋"/>
              </w:rPr>
            </w:pPr>
            <w:r>
              <w:rPr>
                <w:rFonts w:hint="eastAsia" w:ascii="仿宋" w:hAnsi="仿宋" w:eastAsia="仿宋"/>
              </w:rPr>
              <w:t>价格和收费监督检查目标</w:t>
            </w:r>
          </w:p>
        </w:tc>
        <w:tc>
          <w:tcPr>
            <w:tcW w:w="737" w:type="dxa"/>
            <w:shd w:val="clear" w:color="auto" w:fill="auto"/>
            <w:vAlign w:val="center"/>
          </w:tcPr>
          <w:p w14:paraId="66BFE875">
            <w:pPr>
              <w:spacing w:line="300" w:lineRule="exact"/>
              <w:jc w:val="center"/>
              <w:rPr>
                <w:rFonts w:ascii="仿宋" w:hAnsi="仿宋" w:eastAsia="仿宋"/>
              </w:rPr>
            </w:pPr>
            <w:r>
              <w:rPr>
                <w:rFonts w:ascii="仿宋" w:hAnsi="仿宋" w:eastAsia="仿宋"/>
              </w:rPr>
              <w:t>100%</w:t>
            </w:r>
          </w:p>
        </w:tc>
        <w:tc>
          <w:tcPr>
            <w:tcW w:w="737" w:type="dxa"/>
            <w:shd w:val="clear" w:color="auto" w:fill="auto"/>
            <w:vAlign w:val="center"/>
          </w:tcPr>
          <w:p w14:paraId="32810C87">
            <w:pPr>
              <w:spacing w:line="300" w:lineRule="exact"/>
              <w:jc w:val="center"/>
              <w:rPr>
                <w:rFonts w:ascii="仿宋" w:hAnsi="仿宋" w:eastAsia="仿宋"/>
              </w:rPr>
            </w:pPr>
            <w:r>
              <w:rPr>
                <w:rFonts w:ascii="仿宋" w:hAnsi="仿宋" w:eastAsia="仿宋"/>
              </w:rPr>
              <w:t>90%</w:t>
            </w:r>
          </w:p>
        </w:tc>
        <w:tc>
          <w:tcPr>
            <w:tcW w:w="737" w:type="dxa"/>
            <w:shd w:val="clear" w:color="auto" w:fill="auto"/>
            <w:vAlign w:val="center"/>
          </w:tcPr>
          <w:p w14:paraId="054FAE7B">
            <w:pPr>
              <w:spacing w:line="300" w:lineRule="exact"/>
              <w:jc w:val="center"/>
              <w:rPr>
                <w:rFonts w:ascii="仿宋" w:hAnsi="仿宋" w:eastAsia="仿宋"/>
              </w:rPr>
            </w:pPr>
            <w:r>
              <w:rPr>
                <w:rFonts w:ascii="仿宋" w:hAnsi="仿宋" w:eastAsia="仿宋"/>
              </w:rPr>
              <w:t>90%</w:t>
            </w:r>
          </w:p>
        </w:tc>
        <w:tc>
          <w:tcPr>
            <w:tcW w:w="737" w:type="dxa"/>
            <w:shd w:val="clear" w:color="auto" w:fill="auto"/>
            <w:vAlign w:val="center"/>
          </w:tcPr>
          <w:p w14:paraId="259E4712">
            <w:pPr>
              <w:spacing w:line="300" w:lineRule="exact"/>
              <w:jc w:val="center"/>
              <w:rPr>
                <w:rFonts w:ascii="仿宋" w:hAnsi="仿宋" w:eastAsia="仿宋"/>
              </w:rPr>
            </w:pPr>
            <w:r>
              <w:rPr>
                <w:rFonts w:ascii="仿宋" w:hAnsi="仿宋" w:eastAsia="仿宋"/>
              </w:rPr>
              <w:t>60%</w:t>
            </w:r>
          </w:p>
        </w:tc>
      </w:tr>
    </w:tbl>
    <w:p w14:paraId="4C2736AD">
      <w:pPr>
        <w:spacing w:line="300" w:lineRule="exact"/>
        <w:jc w:val="left"/>
        <w:outlineLvl w:val="0"/>
        <w:rPr>
          <w:rFonts w:ascii="仿宋" w:hAnsi="仿宋" w:eastAsia="仿宋"/>
        </w:rPr>
        <w:sectPr>
          <w:pgSz w:w="16839" w:h="11907" w:orient="landscape"/>
          <w:pgMar w:top="1020" w:right="1361" w:bottom="1020" w:left="1361" w:header="851" w:footer="992" w:gutter="0"/>
          <w:cols w:space="0" w:num="1"/>
          <w:docGrid w:type="lines" w:linePitch="318" w:charSpace="0"/>
        </w:sectPr>
      </w:pPr>
    </w:p>
    <w:p w14:paraId="2B078E45">
      <w:pPr>
        <w:autoSpaceDE w:val="0"/>
        <w:autoSpaceDN w:val="0"/>
        <w:adjustRightInd w:val="0"/>
        <w:spacing w:line="560" w:lineRule="exact"/>
        <w:ind w:firstLine="640" w:firstLineChars="200"/>
        <w:jc w:val="left"/>
        <w:rPr>
          <w:rFonts w:ascii="黑体" w:hAnsi="黑体" w:eastAsia="黑体" w:cs="Times New Roman"/>
          <w:sz w:val="32"/>
          <w:szCs w:val="32"/>
        </w:rPr>
      </w:pPr>
      <w:r>
        <w:rPr>
          <w:rFonts w:hint="eastAsia" w:ascii="黑体" w:hAnsi="黑体" w:eastAsia="黑体" w:cs="黑体"/>
          <w:sz w:val="32"/>
          <w:szCs w:val="32"/>
        </w:rPr>
        <w:t>六、政府采购预算情况</w:t>
      </w:r>
    </w:p>
    <w:p w14:paraId="0FB1E4AF">
      <w:pPr>
        <w:widowControl/>
        <w:spacing w:line="360" w:lineRule="auto"/>
        <w:ind w:firstLine="640" w:firstLineChars="200"/>
        <w:jc w:val="left"/>
        <w:rPr>
          <w:rFonts w:ascii="仿宋" w:hAnsi="仿宋" w:eastAsia="仿宋" w:cs="Times New Roman"/>
          <w:sz w:val="32"/>
          <w:szCs w:val="32"/>
        </w:rPr>
      </w:pPr>
      <w:bookmarkStart w:id="1" w:name="_Toc471398468"/>
      <w:r>
        <w:rPr>
          <w:rFonts w:ascii="仿宋" w:hAnsi="仿宋" w:eastAsia="仿宋" w:cs="仿宋_GB2312"/>
          <w:kern w:val="0"/>
          <w:sz w:val="32"/>
          <w:szCs w:val="32"/>
        </w:rPr>
        <w:t>政府采购指国家机关、事业单位和社会团体组织，使用财政性资金，购买集中采购目录以内的或者采购限额标准以上的货物、工程或服务的行为。政府采购应遵循公开透明、公平竞争、公正和诚实信用的原则。凡使用纳入预算管理的资金采购符合《河北省政府采购集中采购目录和限额标准》（冀财采[2015]11号）要求的货物、工程或服务的项目，采购人均应编入政府采购预算。</w:t>
      </w:r>
      <w:r>
        <w:rPr>
          <w:rFonts w:hint="eastAsia" w:ascii="仿宋" w:hAnsi="仿宋" w:eastAsia="仿宋" w:cs="微软雅黑"/>
          <w:kern w:val="0"/>
          <w:sz w:val="24"/>
          <w:szCs w:val="24"/>
        </w:rPr>
        <w:t xml:space="preserve"> </w:t>
      </w:r>
      <w:r>
        <w:rPr>
          <w:rFonts w:ascii="仿宋" w:hAnsi="仿宋" w:eastAsia="仿宋" w:cs="仿宋_GB2312"/>
          <w:kern w:val="0"/>
          <w:sz w:val="32"/>
          <w:szCs w:val="32"/>
        </w:rPr>
        <w:t>按照政府采购相关法律法规要求，结合我局实际，201</w:t>
      </w:r>
      <w:r>
        <w:rPr>
          <w:rFonts w:hint="eastAsia" w:ascii="仿宋" w:hAnsi="仿宋" w:eastAsia="仿宋" w:cs="仿宋_GB2312"/>
          <w:kern w:val="0"/>
          <w:sz w:val="32"/>
          <w:szCs w:val="32"/>
        </w:rPr>
        <w:t>8</w:t>
      </w:r>
      <w:r>
        <w:rPr>
          <w:rFonts w:ascii="仿宋" w:hAnsi="仿宋" w:eastAsia="仿宋" w:cs="仿宋_GB2312"/>
          <w:kern w:val="0"/>
          <w:sz w:val="32"/>
          <w:szCs w:val="32"/>
        </w:rPr>
        <w:t>年我局政府采购事项为</w:t>
      </w:r>
      <w:r>
        <w:rPr>
          <w:rFonts w:hint="eastAsia" w:ascii="仿宋" w:hAnsi="仿宋" w:eastAsia="仿宋" w:cs="仿宋_GB2312"/>
          <w:kern w:val="0"/>
          <w:sz w:val="32"/>
          <w:szCs w:val="32"/>
        </w:rPr>
        <w:t>5万元，</w:t>
      </w:r>
      <w:r>
        <w:rPr>
          <w:rFonts w:ascii="仿宋" w:hAnsi="仿宋" w:eastAsia="仿宋" w:cs="仿宋_GB2312"/>
          <w:kern w:val="0"/>
          <w:sz w:val="32"/>
          <w:szCs w:val="32"/>
        </w:rPr>
        <w:t>本年拟用于政府采购微机</w:t>
      </w:r>
      <w:r>
        <w:rPr>
          <w:rFonts w:hint="eastAsia" w:ascii="仿宋" w:hAnsi="仿宋" w:eastAsia="仿宋" w:cs="仿宋_GB2312"/>
          <w:kern w:val="0"/>
          <w:sz w:val="32"/>
          <w:szCs w:val="32"/>
        </w:rPr>
        <w:t>10台，单价0.4万元，计4万元；打印机4台，单价0.25万元，计1</w:t>
      </w:r>
      <w:r>
        <w:rPr>
          <w:rFonts w:ascii="仿宋" w:hAnsi="仿宋" w:eastAsia="仿宋" w:cs="仿宋_GB2312"/>
          <w:kern w:val="0"/>
          <w:sz w:val="32"/>
          <w:szCs w:val="32"/>
        </w:rPr>
        <w:t>万元。</w:t>
      </w:r>
      <w:r>
        <w:rPr>
          <w:rFonts w:hint="eastAsia" w:ascii="仿宋" w:hAnsi="仿宋" w:eastAsia="仿宋" w:cs="方正仿宋_GBK"/>
          <w:sz w:val="32"/>
          <w:szCs w:val="32"/>
        </w:rPr>
        <w:t>具体内容见下表。</w:t>
      </w:r>
    </w:p>
    <w:p w14:paraId="5801435C">
      <w:pPr>
        <w:spacing w:line="560" w:lineRule="exact"/>
        <w:jc w:val="center"/>
        <w:outlineLvl w:val="0"/>
        <w:rPr>
          <w:rFonts w:ascii="仿宋" w:hAnsi="仿宋" w:eastAsia="仿宋" w:cs="方正小标宋_GBK"/>
          <w:sz w:val="32"/>
          <w:szCs w:val="32"/>
        </w:rPr>
      </w:pPr>
    </w:p>
    <w:p w14:paraId="3BE4AE53">
      <w:pPr>
        <w:spacing w:line="560" w:lineRule="exact"/>
        <w:jc w:val="center"/>
        <w:outlineLvl w:val="0"/>
        <w:rPr>
          <w:rFonts w:ascii="仿宋" w:hAnsi="仿宋" w:eastAsia="仿宋" w:cs="方正小标宋_GBK"/>
          <w:sz w:val="32"/>
          <w:szCs w:val="32"/>
        </w:rPr>
      </w:pPr>
    </w:p>
    <w:p w14:paraId="2819E336">
      <w:pPr>
        <w:spacing w:line="560" w:lineRule="exact"/>
        <w:jc w:val="center"/>
        <w:outlineLvl w:val="0"/>
        <w:rPr>
          <w:rFonts w:ascii="仿宋" w:hAnsi="仿宋" w:eastAsia="仿宋" w:cs="方正小标宋_GBK"/>
          <w:sz w:val="32"/>
          <w:szCs w:val="32"/>
        </w:rPr>
      </w:pPr>
    </w:p>
    <w:p w14:paraId="1B6B1BDA">
      <w:pPr>
        <w:spacing w:line="560" w:lineRule="exact"/>
        <w:jc w:val="center"/>
        <w:outlineLvl w:val="0"/>
        <w:rPr>
          <w:rFonts w:ascii="仿宋" w:hAnsi="仿宋" w:eastAsia="仿宋" w:cs="方正小标宋_GBK"/>
          <w:sz w:val="32"/>
          <w:szCs w:val="32"/>
        </w:rPr>
      </w:pPr>
    </w:p>
    <w:p w14:paraId="4606019E">
      <w:pPr>
        <w:spacing w:line="560" w:lineRule="exact"/>
        <w:jc w:val="center"/>
        <w:outlineLvl w:val="0"/>
        <w:rPr>
          <w:rFonts w:ascii="仿宋" w:hAnsi="仿宋" w:eastAsia="仿宋" w:cs="方正小标宋_GBK"/>
          <w:sz w:val="32"/>
          <w:szCs w:val="32"/>
        </w:rPr>
      </w:pPr>
    </w:p>
    <w:p w14:paraId="65A0CFAB">
      <w:pPr>
        <w:spacing w:line="560" w:lineRule="exact"/>
        <w:jc w:val="center"/>
        <w:outlineLvl w:val="0"/>
        <w:rPr>
          <w:rFonts w:ascii="仿宋" w:hAnsi="仿宋" w:eastAsia="仿宋" w:cs="方正小标宋_GBK"/>
          <w:sz w:val="32"/>
          <w:szCs w:val="32"/>
        </w:rPr>
      </w:pPr>
    </w:p>
    <w:p w14:paraId="7B34D3FE">
      <w:pPr>
        <w:spacing w:line="560" w:lineRule="exact"/>
        <w:jc w:val="center"/>
        <w:outlineLvl w:val="0"/>
        <w:rPr>
          <w:rFonts w:ascii="仿宋" w:hAnsi="仿宋" w:eastAsia="仿宋" w:cs="方正小标宋_GBK"/>
          <w:sz w:val="32"/>
          <w:szCs w:val="32"/>
        </w:rPr>
      </w:pPr>
    </w:p>
    <w:p w14:paraId="3841569A">
      <w:pPr>
        <w:spacing w:line="560" w:lineRule="exact"/>
        <w:jc w:val="center"/>
        <w:outlineLvl w:val="0"/>
        <w:rPr>
          <w:rFonts w:ascii="仿宋" w:hAnsi="仿宋" w:eastAsia="仿宋" w:cs="方正小标宋_GBK"/>
          <w:sz w:val="32"/>
          <w:szCs w:val="32"/>
        </w:rPr>
      </w:pPr>
    </w:p>
    <w:p w14:paraId="51F74D6D">
      <w:pPr>
        <w:spacing w:line="560" w:lineRule="exact"/>
        <w:jc w:val="center"/>
        <w:outlineLvl w:val="0"/>
        <w:rPr>
          <w:rFonts w:ascii="仿宋" w:hAnsi="仿宋" w:eastAsia="仿宋" w:cs="方正小标宋_GBK"/>
          <w:sz w:val="32"/>
          <w:szCs w:val="32"/>
        </w:rPr>
      </w:pPr>
    </w:p>
    <w:p w14:paraId="66F61445">
      <w:pPr>
        <w:spacing w:line="560" w:lineRule="exact"/>
        <w:jc w:val="center"/>
        <w:outlineLvl w:val="0"/>
        <w:rPr>
          <w:rFonts w:ascii="仿宋" w:hAnsi="仿宋" w:eastAsia="仿宋" w:cs="方正小标宋_GBK"/>
          <w:sz w:val="32"/>
          <w:szCs w:val="32"/>
        </w:rPr>
      </w:pPr>
    </w:p>
    <w:p w14:paraId="367D788F">
      <w:pPr>
        <w:spacing w:line="560" w:lineRule="exact"/>
        <w:jc w:val="center"/>
        <w:outlineLvl w:val="0"/>
        <w:rPr>
          <w:rFonts w:ascii="黑体" w:hAnsi="黑体" w:eastAsia="黑体" w:cs="Times New Roman"/>
          <w:sz w:val="32"/>
          <w:szCs w:val="32"/>
        </w:rPr>
      </w:pPr>
      <w:r>
        <w:rPr>
          <w:rFonts w:hint="eastAsia" w:ascii="黑体" w:hAnsi="黑体" w:eastAsia="黑体" w:cs="方正小标宋_GBK"/>
          <w:sz w:val="32"/>
          <w:szCs w:val="32"/>
        </w:rPr>
        <w:t>部门政府采购预算</w:t>
      </w:r>
      <w:bookmarkEnd w:id="1"/>
    </w:p>
    <w:tbl>
      <w:tblPr>
        <w:tblStyle w:val="4"/>
        <w:tblW w:w="906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85"/>
        <w:gridCol w:w="567"/>
        <w:gridCol w:w="978"/>
        <w:gridCol w:w="725"/>
        <w:gridCol w:w="451"/>
        <w:gridCol w:w="544"/>
        <w:gridCol w:w="640"/>
        <w:gridCol w:w="556"/>
        <w:gridCol w:w="556"/>
        <w:gridCol w:w="556"/>
        <w:gridCol w:w="506"/>
        <w:gridCol w:w="545"/>
        <w:gridCol w:w="545"/>
        <w:gridCol w:w="506"/>
      </w:tblGrid>
      <w:tr w14:paraId="46227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290" w:type="dxa"/>
            <w:gridSpan w:val="7"/>
            <w:tcBorders>
              <w:top w:val="single" w:color="FFFFFF" w:sz="6" w:space="0"/>
              <w:left w:val="single" w:color="FFFFFF" w:sz="6" w:space="0"/>
              <w:right w:val="single" w:color="FFFFFF" w:sz="6" w:space="0"/>
            </w:tcBorders>
            <w:vAlign w:val="center"/>
          </w:tcPr>
          <w:p w14:paraId="6D0A5CF8">
            <w:pPr>
              <w:spacing w:line="560" w:lineRule="exact"/>
              <w:jc w:val="left"/>
              <w:rPr>
                <w:rFonts w:ascii="仿宋" w:hAnsi="仿宋" w:eastAsia="仿宋" w:cs="Times New Roman"/>
                <w:sz w:val="24"/>
                <w:szCs w:val="24"/>
              </w:rPr>
            </w:pPr>
            <w:r>
              <w:rPr>
                <w:rFonts w:hint="eastAsia" w:ascii="仿宋" w:hAnsi="仿宋" w:eastAsia="仿宋" w:cs="方正小标宋_GBK"/>
                <w:sz w:val="24"/>
                <w:szCs w:val="24"/>
              </w:rPr>
              <w:t>部门（单位）名称：成安县物价局</w:t>
            </w:r>
          </w:p>
        </w:tc>
        <w:tc>
          <w:tcPr>
            <w:tcW w:w="3770" w:type="dxa"/>
            <w:gridSpan w:val="7"/>
            <w:tcBorders>
              <w:top w:val="single" w:color="FFFFFF" w:sz="6" w:space="0"/>
              <w:left w:val="single" w:color="FFFFFF" w:sz="6" w:space="0"/>
              <w:right w:val="single" w:color="FFFFFF" w:sz="6" w:space="0"/>
            </w:tcBorders>
            <w:vAlign w:val="center"/>
          </w:tcPr>
          <w:p w14:paraId="40A0F8CB">
            <w:pPr>
              <w:spacing w:line="560" w:lineRule="exact"/>
              <w:jc w:val="right"/>
              <w:rPr>
                <w:rFonts w:ascii="仿宋" w:hAnsi="仿宋" w:eastAsia="仿宋" w:cs="Times New Roman"/>
                <w:sz w:val="24"/>
                <w:szCs w:val="24"/>
              </w:rPr>
            </w:pPr>
            <w:r>
              <w:rPr>
                <w:rFonts w:hint="eastAsia" w:ascii="仿宋" w:hAnsi="仿宋" w:eastAsia="仿宋" w:cs="方正书宋_GBK"/>
                <w:sz w:val="24"/>
                <w:szCs w:val="24"/>
              </w:rPr>
              <w:t>单位：万元</w:t>
            </w:r>
          </w:p>
        </w:tc>
      </w:tr>
      <w:tr w14:paraId="4B6C8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952" w:type="dxa"/>
            <w:gridSpan w:val="2"/>
            <w:vAlign w:val="center"/>
          </w:tcPr>
          <w:p w14:paraId="6F572BBA">
            <w:pPr>
              <w:spacing w:line="560" w:lineRule="exact"/>
              <w:jc w:val="center"/>
              <w:rPr>
                <w:rFonts w:ascii="仿宋" w:hAnsi="仿宋" w:eastAsia="仿宋" w:cs="Times New Roman"/>
                <w:b/>
                <w:bCs/>
              </w:rPr>
            </w:pPr>
            <w:r>
              <w:rPr>
                <w:rFonts w:hint="eastAsia" w:ascii="仿宋" w:hAnsi="仿宋" w:eastAsia="仿宋" w:cs="方正书宋_GBK"/>
                <w:b/>
                <w:bCs/>
              </w:rPr>
              <w:t>政府采购项目来源</w:t>
            </w:r>
          </w:p>
        </w:tc>
        <w:tc>
          <w:tcPr>
            <w:tcW w:w="978" w:type="dxa"/>
            <w:vMerge w:val="restart"/>
            <w:vAlign w:val="center"/>
          </w:tcPr>
          <w:p w14:paraId="20EBF371">
            <w:pPr>
              <w:spacing w:line="560" w:lineRule="exact"/>
              <w:jc w:val="center"/>
              <w:rPr>
                <w:rFonts w:ascii="仿宋" w:hAnsi="仿宋" w:eastAsia="仿宋" w:cs="Times New Roman"/>
                <w:b/>
                <w:bCs/>
              </w:rPr>
            </w:pPr>
            <w:r>
              <w:rPr>
                <w:rFonts w:hint="eastAsia" w:ascii="仿宋" w:hAnsi="仿宋" w:eastAsia="仿宋" w:cs="方正书宋_GBK"/>
                <w:b/>
                <w:bCs/>
              </w:rPr>
              <w:t>采购物名称</w:t>
            </w:r>
          </w:p>
        </w:tc>
        <w:tc>
          <w:tcPr>
            <w:tcW w:w="725" w:type="dxa"/>
            <w:vMerge w:val="restart"/>
            <w:vAlign w:val="center"/>
          </w:tcPr>
          <w:p w14:paraId="72BCF772">
            <w:pPr>
              <w:spacing w:line="280" w:lineRule="exact"/>
              <w:jc w:val="center"/>
              <w:rPr>
                <w:rFonts w:ascii="仿宋" w:hAnsi="仿宋" w:eastAsia="仿宋" w:cs="Times New Roman"/>
                <w:b/>
                <w:bCs/>
              </w:rPr>
            </w:pPr>
            <w:r>
              <w:rPr>
                <w:rFonts w:hint="eastAsia" w:ascii="仿宋" w:hAnsi="仿宋" w:eastAsia="仿宋" w:cs="方正书宋_GBK"/>
                <w:b/>
                <w:bCs/>
              </w:rPr>
              <w:t>政府采购目录序号</w:t>
            </w:r>
          </w:p>
        </w:tc>
        <w:tc>
          <w:tcPr>
            <w:tcW w:w="451" w:type="dxa"/>
            <w:vMerge w:val="restart"/>
            <w:vAlign w:val="center"/>
          </w:tcPr>
          <w:p w14:paraId="0CC486ED">
            <w:pPr>
              <w:spacing w:line="280" w:lineRule="exact"/>
              <w:jc w:val="center"/>
              <w:rPr>
                <w:rFonts w:ascii="仿宋" w:hAnsi="仿宋" w:eastAsia="仿宋" w:cs="Times New Roman"/>
                <w:b/>
                <w:bCs/>
              </w:rPr>
            </w:pPr>
            <w:r>
              <w:rPr>
                <w:rFonts w:hint="eastAsia" w:ascii="仿宋" w:hAnsi="仿宋" w:eastAsia="仿宋" w:cs="方正书宋_GBK"/>
                <w:b/>
                <w:bCs/>
              </w:rPr>
              <w:t>数量</w:t>
            </w:r>
            <w:r>
              <w:rPr>
                <w:rFonts w:ascii="仿宋" w:hAnsi="仿宋" w:eastAsia="仿宋" w:cs="方正书宋_GBK"/>
                <w:b/>
                <w:bCs/>
              </w:rPr>
              <w:t xml:space="preserve">  </w:t>
            </w:r>
            <w:r>
              <w:rPr>
                <w:rFonts w:hint="eastAsia" w:ascii="仿宋" w:hAnsi="仿宋" w:eastAsia="仿宋" w:cs="方正书宋_GBK"/>
                <w:b/>
                <w:bCs/>
              </w:rPr>
              <w:t>单位</w:t>
            </w:r>
          </w:p>
        </w:tc>
        <w:tc>
          <w:tcPr>
            <w:tcW w:w="544" w:type="dxa"/>
            <w:vMerge w:val="restart"/>
            <w:vAlign w:val="center"/>
          </w:tcPr>
          <w:p w14:paraId="72FCE611">
            <w:pPr>
              <w:spacing w:line="280" w:lineRule="exact"/>
              <w:jc w:val="center"/>
              <w:rPr>
                <w:rFonts w:ascii="仿宋" w:hAnsi="仿宋" w:eastAsia="仿宋" w:cs="Times New Roman"/>
                <w:b/>
                <w:bCs/>
              </w:rPr>
            </w:pPr>
            <w:r>
              <w:rPr>
                <w:rFonts w:hint="eastAsia" w:ascii="仿宋" w:hAnsi="仿宋" w:eastAsia="仿宋" w:cs="方正书宋_GBK"/>
                <w:b/>
                <w:bCs/>
              </w:rPr>
              <w:t>数量</w:t>
            </w:r>
          </w:p>
        </w:tc>
        <w:tc>
          <w:tcPr>
            <w:tcW w:w="640" w:type="dxa"/>
            <w:vMerge w:val="restart"/>
            <w:vAlign w:val="center"/>
          </w:tcPr>
          <w:p w14:paraId="5E8D263E">
            <w:pPr>
              <w:spacing w:line="280" w:lineRule="exact"/>
              <w:jc w:val="center"/>
              <w:rPr>
                <w:rFonts w:ascii="仿宋" w:hAnsi="仿宋" w:eastAsia="仿宋" w:cs="Times New Roman"/>
                <w:b/>
                <w:bCs/>
              </w:rPr>
            </w:pPr>
            <w:r>
              <w:rPr>
                <w:rFonts w:hint="eastAsia" w:ascii="仿宋" w:hAnsi="仿宋" w:eastAsia="仿宋" w:cs="方正书宋_GBK"/>
                <w:b/>
                <w:bCs/>
              </w:rPr>
              <w:t>单价</w:t>
            </w:r>
          </w:p>
        </w:tc>
        <w:tc>
          <w:tcPr>
            <w:tcW w:w="3770" w:type="dxa"/>
            <w:gridSpan w:val="7"/>
            <w:vAlign w:val="center"/>
          </w:tcPr>
          <w:p w14:paraId="6EF2F14B">
            <w:pPr>
              <w:spacing w:line="280" w:lineRule="exact"/>
              <w:jc w:val="center"/>
              <w:rPr>
                <w:rFonts w:ascii="仿宋" w:hAnsi="仿宋" w:eastAsia="仿宋" w:cs="Times New Roman"/>
                <w:b/>
                <w:bCs/>
              </w:rPr>
            </w:pPr>
            <w:r>
              <w:rPr>
                <w:rFonts w:hint="eastAsia" w:ascii="仿宋" w:hAnsi="仿宋" w:eastAsia="仿宋" w:cs="方正书宋_GBK"/>
                <w:b/>
                <w:bCs/>
              </w:rPr>
              <w:t>政府采购金额</w:t>
            </w:r>
          </w:p>
        </w:tc>
      </w:tr>
      <w:tr w14:paraId="71CE7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7" w:hRule="atLeast"/>
          <w:tblHeader/>
          <w:jc w:val="center"/>
        </w:trPr>
        <w:tc>
          <w:tcPr>
            <w:tcW w:w="1385" w:type="dxa"/>
            <w:vMerge w:val="restart"/>
            <w:vAlign w:val="center"/>
          </w:tcPr>
          <w:p w14:paraId="39E2A854">
            <w:pPr>
              <w:spacing w:line="560" w:lineRule="exact"/>
              <w:jc w:val="center"/>
              <w:rPr>
                <w:rFonts w:ascii="仿宋" w:hAnsi="仿宋" w:eastAsia="仿宋" w:cs="Times New Roman"/>
                <w:b/>
                <w:bCs/>
              </w:rPr>
            </w:pPr>
            <w:r>
              <w:rPr>
                <w:rFonts w:hint="eastAsia" w:ascii="仿宋" w:hAnsi="仿宋" w:eastAsia="仿宋" w:cs="方正书宋_GBK"/>
                <w:b/>
                <w:bCs/>
              </w:rPr>
              <w:t>项目名称</w:t>
            </w:r>
          </w:p>
        </w:tc>
        <w:tc>
          <w:tcPr>
            <w:tcW w:w="567" w:type="dxa"/>
            <w:vMerge w:val="restart"/>
            <w:vAlign w:val="center"/>
          </w:tcPr>
          <w:p w14:paraId="652B4A1C">
            <w:pPr>
              <w:spacing w:line="560" w:lineRule="exact"/>
              <w:jc w:val="center"/>
              <w:rPr>
                <w:rFonts w:ascii="仿宋" w:hAnsi="仿宋" w:eastAsia="仿宋" w:cs="Times New Roman"/>
                <w:b/>
                <w:bCs/>
              </w:rPr>
            </w:pPr>
            <w:r>
              <w:rPr>
                <w:rFonts w:hint="eastAsia" w:ascii="仿宋" w:hAnsi="仿宋" w:eastAsia="仿宋" w:cs="方正书宋_GBK"/>
                <w:b/>
                <w:bCs/>
              </w:rPr>
              <w:t>预算资金</w:t>
            </w:r>
          </w:p>
        </w:tc>
        <w:tc>
          <w:tcPr>
            <w:tcW w:w="978" w:type="dxa"/>
            <w:vMerge w:val="continue"/>
            <w:vAlign w:val="center"/>
          </w:tcPr>
          <w:p w14:paraId="26272628">
            <w:pPr>
              <w:spacing w:line="560" w:lineRule="exact"/>
              <w:jc w:val="left"/>
              <w:outlineLvl w:val="0"/>
              <w:rPr>
                <w:rFonts w:ascii="仿宋" w:hAnsi="仿宋" w:eastAsia="仿宋" w:cs="Times New Roman"/>
              </w:rPr>
            </w:pPr>
          </w:p>
        </w:tc>
        <w:tc>
          <w:tcPr>
            <w:tcW w:w="725" w:type="dxa"/>
            <w:vMerge w:val="continue"/>
            <w:vAlign w:val="center"/>
          </w:tcPr>
          <w:p w14:paraId="42392C29">
            <w:pPr>
              <w:spacing w:line="280" w:lineRule="exact"/>
              <w:jc w:val="left"/>
              <w:outlineLvl w:val="0"/>
              <w:rPr>
                <w:rFonts w:ascii="仿宋" w:hAnsi="仿宋" w:eastAsia="仿宋" w:cs="Times New Roman"/>
              </w:rPr>
            </w:pPr>
          </w:p>
        </w:tc>
        <w:tc>
          <w:tcPr>
            <w:tcW w:w="451" w:type="dxa"/>
            <w:vMerge w:val="continue"/>
            <w:vAlign w:val="center"/>
          </w:tcPr>
          <w:p w14:paraId="59C5C76B">
            <w:pPr>
              <w:spacing w:line="280" w:lineRule="exact"/>
              <w:jc w:val="left"/>
              <w:outlineLvl w:val="0"/>
              <w:rPr>
                <w:rFonts w:ascii="仿宋" w:hAnsi="仿宋" w:eastAsia="仿宋" w:cs="Times New Roman"/>
              </w:rPr>
            </w:pPr>
          </w:p>
        </w:tc>
        <w:tc>
          <w:tcPr>
            <w:tcW w:w="544" w:type="dxa"/>
            <w:vMerge w:val="continue"/>
            <w:vAlign w:val="center"/>
          </w:tcPr>
          <w:p w14:paraId="662C950B">
            <w:pPr>
              <w:spacing w:line="280" w:lineRule="exact"/>
              <w:jc w:val="left"/>
              <w:outlineLvl w:val="0"/>
              <w:rPr>
                <w:rFonts w:ascii="仿宋" w:hAnsi="仿宋" w:eastAsia="仿宋" w:cs="Times New Roman"/>
              </w:rPr>
            </w:pPr>
          </w:p>
        </w:tc>
        <w:tc>
          <w:tcPr>
            <w:tcW w:w="640" w:type="dxa"/>
            <w:vMerge w:val="continue"/>
            <w:vAlign w:val="center"/>
          </w:tcPr>
          <w:p w14:paraId="290829E6">
            <w:pPr>
              <w:spacing w:line="280" w:lineRule="exact"/>
              <w:jc w:val="left"/>
              <w:outlineLvl w:val="0"/>
              <w:rPr>
                <w:rFonts w:ascii="仿宋" w:hAnsi="仿宋" w:eastAsia="仿宋" w:cs="Times New Roman"/>
              </w:rPr>
            </w:pPr>
          </w:p>
        </w:tc>
        <w:tc>
          <w:tcPr>
            <w:tcW w:w="556" w:type="dxa"/>
            <w:vMerge w:val="restart"/>
            <w:vAlign w:val="center"/>
          </w:tcPr>
          <w:p w14:paraId="58F8EFBE">
            <w:pPr>
              <w:spacing w:line="280" w:lineRule="exact"/>
              <w:jc w:val="center"/>
              <w:rPr>
                <w:rFonts w:ascii="仿宋" w:hAnsi="仿宋" w:eastAsia="仿宋" w:cs="Times New Roman"/>
                <w:b/>
                <w:bCs/>
              </w:rPr>
            </w:pPr>
            <w:r>
              <w:rPr>
                <w:rFonts w:hint="eastAsia" w:ascii="仿宋" w:hAnsi="仿宋" w:eastAsia="仿宋" w:cs="方正书宋_GBK"/>
                <w:b/>
                <w:bCs/>
              </w:rPr>
              <w:t>总计</w:t>
            </w:r>
          </w:p>
        </w:tc>
        <w:tc>
          <w:tcPr>
            <w:tcW w:w="2708" w:type="dxa"/>
            <w:gridSpan w:val="5"/>
            <w:vAlign w:val="center"/>
          </w:tcPr>
          <w:p w14:paraId="4094E278">
            <w:pPr>
              <w:spacing w:line="280" w:lineRule="exact"/>
              <w:jc w:val="center"/>
              <w:rPr>
                <w:rFonts w:ascii="仿宋" w:hAnsi="仿宋" w:eastAsia="仿宋" w:cs="Times New Roman"/>
                <w:b/>
                <w:bCs/>
              </w:rPr>
            </w:pPr>
            <w:r>
              <w:rPr>
                <w:rFonts w:hint="eastAsia" w:ascii="仿宋" w:hAnsi="仿宋" w:eastAsia="仿宋" w:cs="方正书宋_GBK"/>
                <w:b/>
                <w:bCs/>
              </w:rPr>
              <w:t>当年部门预算安排资金</w:t>
            </w:r>
          </w:p>
        </w:tc>
        <w:tc>
          <w:tcPr>
            <w:tcW w:w="506" w:type="dxa"/>
            <w:vMerge w:val="restart"/>
            <w:vAlign w:val="center"/>
          </w:tcPr>
          <w:p w14:paraId="2E9F8CE6">
            <w:pPr>
              <w:spacing w:line="280" w:lineRule="exact"/>
              <w:jc w:val="center"/>
              <w:rPr>
                <w:rFonts w:ascii="仿宋" w:hAnsi="仿宋" w:eastAsia="仿宋" w:cs="Times New Roman"/>
                <w:b/>
                <w:bCs/>
              </w:rPr>
            </w:pPr>
            <w:r>
              <w:rPr>
                <w:rFonts w:hint="eastAsia" w:ascii="仿宋" w:hAnsi="仿宋" w:eastAsia="仿宋" w:cs="方正书宋_GBK"/>
                <w:b/>
                <w:bCs/>
              </w:rPr>
              <w:t>其他渠道资金</w:t>
            </w:r>
          </w:p>
        </w:tc>
      </w:tr>
      <w:tr w14:paraId="6D609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385" w:type="dxa"/>
            <w:vMerge w:val="continue"/>
            <w:vAlign w:val="center"/>
          </w:tcPr>
          <w:p w14:paraId="58CA5D10">
            <w:pPr>
              <w:spacing w:line="560" w:lineRule="exact"/>
              <w:jc w:val="left"/>
              <w:outlineLvl w:val="0"/>
              <w:rPr>
                <w:rFonts w:ascii="仿宋" w:hAnsi="仿宋" w:eastAsia="仿宋" w:cs="Times New Roman"/>
              </w:rPr>
            </w:pPr>
          </w:p>
        </w:tc>
        <w:tc>
          <w:tcPr>
            <w:tcW w:w="567" w:type="dxa"/>
            <w:vMerge w:val="continue"/>
            <w:vAlign w:val="center"/>
          </w:tcPr>
          <w:p w14:paraId="2AA119DD">
            <w:pPr>
              <w:spacing w:line="560" w:lineRule="exact"/>
              <w:jc w:val="left"/>
              <w:outlineLvl w:val="0"/>
              <w:rPr>
                <w:rFonts w:ascii="仿宋" w:hAnsi="仿宋" w:eastAsia="仿宋" w:cs="Times New Roman"/>
              </w:rPr>
            </w:pPr>
          </w:p>
        </w:tc>
        <w:tc>
          <w:tcPr>
            <w:tcW w:w="978" w:type="dxa"/>
            <w:vMerge w:val="continue"/>
            <w:vAlign w:val="center"/>
          </w:tcPr>
          <w:p w14:paraId="157ACC5C">
            <w:pPr>
              <w:spacing w:line="560" w:lineRule="exact"/>
              <w:jc w:val="left"/>
              <w:outlineLvl w:val="0"/>
              <w:rPr>
                <w:rFonts w:ascii="仿宋" w:hAnsi="仿宋" w:eastAsia="仿宋" w:cs="Times New Roman"/>
              </w:rPr>
            </w:pPr>
          </w:p>
        </w:tc>
        <w:tc>
          <w:tcPr>
            <w:tcW w:w="725" w:type="dxa"/>
            <w:vMerge w:val="continue"/>
            <w:vAlign w:val="center"/>
          </w:tcPr>
          <w:p w14:paraId="7A6FDD59">
            <w:pPr>
              <w:spacing w:line="280" w:lineRule="exact"/>
              <w:jc w:val="left"/>
              <w:outlineLvl w:val="0"/>
              <w:rPr>
                <w:rFonts w:ascii="仿宋" w:hAnsi="仿宋" w:eastAsia="仿宋" w:cs="Times New Roman"/>
              </w:rPr>
            </w:pPr>
          </w:p>
        </w:tc>
        <w:tc>
          <w:tcPr>
            <w:tcW w:w="451" w:type="dxa"/>
            <w:vMerge w:val="continue"/>
            <w:vAlign w:val="center"/>
          </w:tcPr>
          <w:p w14:paraId="67F2C882">
            <w:pPr>
              <w:spacing w:line="280" w:lineRule="exact"/>
              <w:jc w:val="left"/>
              <w:outlineLvl w:val="0"/>
              <w:rPr>
                <w:rFonts w:ascii="仿宋" w:hAnsi="仿宋" w:eastAsia="仿宋" w:cs="Times New Roman"/>
              </w:rPr>
            </w:pPr>
          </w:p>
        </w:tc>
        <w:tc>
          <w:tcPr>
            <w:tcW w:w="544" w:type="dxa"/>
            <w:vMerge w:val="continue"/>
            <w:vAlign w:val="center"/>
          </w:tcPr>
          <w:p w14:paraId="5196BF5A">
            <w:pPr>
              <w:spacing w:line="280" w:lineRule="exact"/>
              <w:jc w:val="left"/>
              <w:outlineLvl w:val="0"/>
              <w:rPr>
                <w:rFonts w:ascii="仿宋" w:hAnsi="仿宋" w:eastAsia="仿宋" w:cs="Times New Roman"/>
              </w:rPr>
            </w:pPr>
          </w:p>
        </w:tc>
        <w:tc>
          <w:tcPr>
            <w:tcW w:w="640" w:type="dxa"/>
            <w:vMerge w:val="continue"/>
            <w:vAlign w:val="center"/>
          </w:tcPr>
          <w:p w14:paraId="5F4F03E8">
            <w:pPr>
              <w:spacing w:line="280" w:lineRule="exact"/>
              <w:jc w:val="left"/>
              <w:outlineLvl w:val="0"/>
              <w:rPr>
                <w:rFonts w:ascii="仿宋" w:hAnsi="仿宋" w:eastAsia="仿宋" w:cs="Times New Roman"/>
              </w:rPr>
            </w:pPr>
          </w:p>
        </w:tc>
        <w:tc>
          <w:tcPr>
            <w:tcW w:w="556" w:type="dxa"/>
            <w:vMerge w:val="continue"/>
            <w:vAlign w:val="center"/>
          </w:tcPr>
          <w:p w14:paraId="012BAF17">
            <w:pPr>
              <w:spacing w:line="280" w:lineRule="exact"/>
              <w:jc w:val="left"/>
              <w:outlineLvl w:val="0"/>
              <w:rPr>
                <w:rFonts w:ascii="仿宋" w:hAnsi="仿宋" w:eastAsia="仿宋" w:cs="Times New Roman"/>
              </w:rPr>
            </w:pPr>
          </w:p>
        </w:tc>
        <w:tc>
          <w:tcPr>
            <w:tcW w:w="556" w:type="dxa"/>
            <w:vAlign w:val="center"/>
          </w:tcPr>
          <w:p w14:paraId="06A5F8D6">
            <w:pPr>
              <w:spacing w:line="280" w:lineRule="exact"/>
              <w:jc w:val="center"/>
              <w:rPr>
                <w:rFonts w:ascii="仿宋" w:hAnsi="仿宋" w:eastAsia="仿宋" w:cs="Times New Roman"/>
                <w:b/>
                <w:bCs/>
              </w:rPr>
            </w:pPr>
            <w:r>
              <w:rPr>
                <w:rFonts w:hint="eastAsia" w:ascii="仿宋" w:hAnsi="仿宋" w:eastAsia="仿宋" w:cs="方正书宋_GBK"/>
                <w:b/>
                <w:bCs/>
              </w:rPr>
              <w:t>合计</w:t>
            </w:r>
          </w:p>
        </w:tc>
        <w:tc>
          <w:tcPr>
            <w:tcW w:w="556" w:type="dxa"/>
            <w:vAlign w:val="center"/>
          </w:tcPr>
          <w:p w14:paraId="070BBB64">
            <w:pPr>
              <w:spacing w:line="280" w:lineRule="exact"/>
              <w:jc w:val="center"/>
              <w:rPr>
                <w:rFonts w:ascii="仿宋" w:hAnsi="仿宋" w:eastAsia="仿宋" w:cs="Times New Roman"/>
                <w:b/>
                <w:bCs/>
              </w:rPr>
            </w:pPr>
            <w:r>
              <w:rPr>
                <w:rFonts w:hint="eastAsia" w:ascii="仿宋" w:hAnsi="仿宋" w:eastAsia="仿宋" w:cs="方正书宋_GBK"/>
                <w:b/>
                <w:bCs/>
              </w:rPr>
              <w:t>一般公共预算拨款</w:t>
            </w:r>
          </w:p>
        </w:tc>
        <w:tc>
          <w:tcPr>
            <w:tcW w:w="506" w:type="dxa"/>
            <w:vAlign w:val="center"/>
          </w:tcPr>
          <w:p w14:paraId="28F328F2">
            <w:pPr>
              <w:spacing w:line="280" w:lineRule="exact"/>
              <w:jc w:val="center"/>
              <w:rPr>
                <w:rFonts w:ascii="仿宋" w:hAnsi="仿宋" w:eastAsia="仿宋" w:cs="Times New Roman"/>
                <w:b/>
                <w:bCs/>
              </w:rPr>
            </w:pPr>
            <w:r>
              <w:rPr>
                <w:rFonts w:hint="eastAsia" w:ascii="仿宋" w:hAnsi="仿宋" w:eastAsia="仿宋" w:cs="方正书宋_GBK"/>
                <w:b/>
                <w:bCs/>
              </w:rPr>
              <w:t>基金预算拨款</w:t>
            </w:r>
          </w:p>
        </w:tc>
        <w:tc>
          <w:tcPr>
            <w:tcW w:w="545" w:type="dxa"/>
            <w:vAlign w:val="center"/>
          </w:tcPr>
          <w:p w14:paraId="130A7ED8">
            <w:pPr>
              <w:spacing w:line="280" w:lineRule="exact"/>
              <w:jc w:val="center"/>
              <w:rPr>
                <w:rFonts w:ascii="仿宋" w:hAnsi="仿宋" w:eastAsia="仿宋" w:cs="Times New Roman"/>
                <w:b/>
                <w:bCs/>
              </w:rPr>
            </w:pPr>
            <w:r>
              <w:rPr>
                <w:rFonts w:hint="eastAsia" w:ascii="仿宋" w:hAnsi="仿宋" w:eastAsia="仿宋" w:cs="方正书宋_GBK"/>
                <w:b/>
                <w:bCs/>
              </w:rPr>
              <w:t>财政专户核拨</w:t>
            </w:r>
          </w:p>
        </w:tc>
        <w:tc>
          <w:tcPr>
            <w:tcW w:w="545" w:type="dxa"/>
            <w:vAlign w:val="center"/>
          </w:tcPr>
          <w:p w14:paraId="4F2A9CAA">
            <w:pPr>
              <w:spacing w:line="280" w:lineRule="exact"/>
              <w:jc w:val="center"/>
              <w:rPr>
                <w:rFonts w:ascii="仿宋" w:hAnsi="仿宋" w:eastAsia="仿宋" w:cs="Times New Roman"/>
                <w:b/>
                <w:bCs/>
              </w:rPr>
            </w:pPr>
            <w:r>
              <w:rPr>
                <w:rFonts w:hint="eastAsia" w:ascii="仿宋" w:hAnsi="仿宋" w:eastAsia="仿宋" w:cs="方正书宋_GBK"/>
                <w:b/>
                <w:bCs/>
              </w:rPr>
              <w:t>其他来源收入</w:t>
            </w:r>
          </w:p>
        </w:tc>
        <w:tc>
          <w:tcPr>
            <w:tcW w:w="506" w:type="dxa"/>
            <w:vMerge w:val="continue"/>
            <w:vAlign w:val="center"/>
          </w:tcPr>
          <w:p w14:paraId="483C1F2E">
            <w:pPr>
              <w:spacing w:line="560" w:lineRule="exact"/>
              <w:jc w:val="left"/>
              <w:outlineLvl w:val="0"/>
              <w:rPr>
                <w:rFonts w:ascii="仿宋" w:hAnsi="仿宋" w:eastAsia="仿宋" w:cs="Times New Roman"/>
              </w:rPr>
            </w:pPr>
          </w:p>
        </w:tc>
      </w:tr>
      <w:tr w14:paraId="298B0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385" w:type="dxa"/>
            <w:vAlign w:val="center"/>
          </w:tcPr>
          <w:p w14:paraId="3F2BA342">
            <w:pPr>
              <w:spacing w:line="560" w:lineRule="exact"/>
              <w:jc w:val="center"/>
              <w:rPr>
                <w:rFonts w:ascii="仿宋" w:hAnsi="仿宋" w:eastAsia="仿宋" w:cs="Times New Roman"/>
                <w:bCs/>
              </w:rPr>
            </w:pPr>
            <w:r>
              <w:rPr>
                <w:rFonts w:hint="eastAsia" w:ascii="仿宋" w:hAnsi="仿宋" w:eastAsia="仿宋" w:cs="方正书宋_GBK"/>
                <w:bCs/>
              </w:rPr>
              <w:t>合　计</w:t>
            </w:r>
          </w:p>
        </w:tc>
        <w:tc>
          <w:tcPr>
            <w:tcW w:w="567" w:type="dxa"/>
            <w:vAlign w:val="center"/>
          </w:tcPr>
          <w:p w14:paraId="0C55AC28">
            <w:pPr>
              <w:spacing w:line="560" w:lineRule="exact"/>
              <w:jc w:val="right"/>
              <w:rPr>
                <w:rFonts w:ascii="仿宋" w:hAnsi="仿宋" w:eastAsia="仿宋" w:cs="Times New Roman"/>
                <w:bCs/>
              </w:rPr>
            </w:pPr>
            <w:r>
              <w:rPr>
                <w:rFonts w:hint="eastAsia" w:ascii="仿宋" w:hAnsi="仿宋" w:eastAsia="仿宋" w:cs="Times New Roman"/>
                <w:bCs/>
              </w:rPr>
              <w:t>5</w:t>
            </w:r>
          </w:p>
        </w:tc>
        <w:tc>
          <w:tcPr>
            <w:tcW w:w="978" w:type="dxa"/>
            <w:vAlign w:val="center"/>
          </w:tcPr>
          <w:p w14:paraId="01BF219F">
            <w:pPr>
              <w:spacing w:line="560" w:lineRule="exact"/>
              <w:jc w:val="left"/>
              <w:rPr>
                <w:rFonts w:ascii="仿宋" w:hAnsi="仿宋" w:eastAsia="仿宋" w:cs="Times New Roman"/>
                <w:bCs/>
              </w:rPr>
            </w:pPr>
          </w:p>
        </w:tc>
        <w:tc>
          <w:tcPr>
            <w:tcW w:w="725" w:type="dxa"/>
            <w:vAlign w:val="center"/>
          </w:tcPr>
          <w:p w14:paraId="0058B68E">
            <w:pPr>
              <w:spacing w:line="560" w:lineRule="exact"/>
              <w:jc w:val="left"/>
              <w:rPr>
                <w:rFonts w:ascii="仿宋" w:hAnsi="仿宋" w:eastAsia="仿宋" w:cs="Times New Roman"/>
                <w:bCs/>
              </w:rPr>
            </w:pPr>
          </w:p>
        </w:tc>
        <w:tc>
          <w:tcPr>
            <w:tcW w:w="451" w:type="dxa"/>
            <w:vAlign w:val="center"/>
          </w:tcPr>
          <w:p w14:paraId="179B886B">
            <w:pPr>
              <w:spacing w:line="560" w:lineRule="exact"/>
              <w:jc w:val="left"/>
              <w:rPr>
                <w:rFonts w:ascii="仿宋" w:hAnsi="仿宋" w:eastAsia="仿宋" w:cs="Times New Roman"/>
                <w:bCs/>
              </w:rPr>
            </w:pPr>
          </w:p>
        </w:tc>
        <w:tc>
          <w:tcPr>
            <w:tcW w:w="544" w:type="dxa"/>
            <w:vAlign w:val="center"/>
          </w:tcPr>
          <w:p w14:paraId="1BB16A79">
            <w:pPr>
              <w:spacing w:line="560" w:lineRule="exact"/>
              <w:jc w:val="right"/>
              <w:rPr>
                <w:rFonts w:ascii="仿宋" w:hAnsi="仿宋" w:eastAsia="仿宋" w:cs="Times New Roman"/>
                <w:bCs/>
              </w:rPr>
            </w:pPr>
          </w:p>
        </w:tc>
        <w:tc>
          <w:tcPr>
            <w:tcW w:w="640" w:type="dxa"/>
            <w:vAlign w:val="center"/>
          </w:tcPr>
          <w:p w14:paraId="1103FDB1">
            <w:pPr>
              <w:spacing w:line="560" w:lineRule="exact"/>
              <w:jc w:val="right"/>
              <w:rPr>
                <w:rFonts w:ascii="仿宋" w:hAnsi="仿宋" w:eastAsia="仿宋" w:cs="Times New Roman"/>
                <w:bCs/>
              </w:rPr>
            </w:pPr>
          </w:p>
        </w:tc>
        <w:tc>
          <w:tcPr>
            <w:tcW w:w="556" w:type="dxa"/>
            <w:vAlign w:val="center"/>
          </w:tcPr>
          <w:p w14:paraId="3DE4786F">
            <w:pPr>
              <w:spacing w:line="560" w:lineRule="exact"/>
              <w:jc w:val="right"/>
              <w:rPr>
                <w:rFonts w:ascii="仿宋" w:hAnsi="仿宋" w:eastAsia="仿宋" w:cs="Times New Roman"/>
                <w:bCs/>
              </w:rPr>
            </w:pPr>
            <w:r>
              <w:rPr>
                <w:rFonts w:hint="eastAsia" w:ascii="仿宋" w:hAnsi="仿宋" w:eastAsia="仿宋" w:cs="Times New Roman"/>
                <w:bCs/>
              </w:rPr>
              <w:t>5</w:t>
            </w:r>
          </w:p>
        </w:tc>
        <w:tc>
          <w:tcPr>
            <w:tcW w:w="556" w:type="dxa"/>
            <w:vAlign w:val="center"/>
          </w:tcPr>
          <w:p w14:paraId="5F55B8B7">
            <w:pPr>
              <w:spacing w:line="560" w:lineRule="exact"/>
              <w:jc w:val="right"/>
              <w:rPr>
                <w:rFonts w:ascii="仿宋" w:hAnsi="仿宋" w:eastAsia="仿宋" w:cs="Times New Roman"/>
                <w:bCs/>
              </w:rPr>
            </w:pPr>
            <w:r>
              <w:rPr>
                <w:rFonts w:hint="eastAsia" w:ascii="仿宋" w:hAnsi="仿宋" w:eastAsia="仿宋" w:cs="Times New Roman"/>
                <w:bCs/>
              </w:rPr>
              <w:t>5</w:t>
            </w:r>
          </w:p>
        </w:tc>
        <w:tc>
          <w:tcPr>
            <w:tcW w:w="556" w:type="dxa"/>
            <w:vAlign w:val="center"/>
          </w:tcPr>
          <w:p w14:paraId="162D82FE">
            <w:pPr>
              <w:spacing w:line="560" w:lineRule="exact"/>
              <w:jc w:val="right"/>
              <w:rPr>
                <w:rFonts w:ascii="仿宋" w:hAnsi="仿宋" w:eastAsia="仿宋" w:cs="Times New Roman"/>
                <w:bCs/>
              </w:rPr>
            </w:pPr>
            <w:r>
              <w:rPr>
                <w:rFonts w:hint="eastAsia" w:ascii="仿宋" w:hAnsi="仿宋" w:eastAsia="仿宋" w:cs="Times New Roman"/>
                <w:bCs/>
              </w:rPr>
              <w:t>5</w:t>
            </w:r>
          </w:p>
        </w:tc>
        <w:tc>
          <w:tcPr>
            <w:tcW w:w="506" w:type="dxa"/>
            <w:vAlign w:val="center"/>
          </w:tcPr>
          <w:p w14:paraId="4B87F760">
            <w:pPr>
              <w:spacing w:line="560" w:lineRule="exact"/>
              <w:jc w:val="right"/>
              <w:rPr>
                <w:rFonts w:ascii="仿宋" w:hAnsi="仿宋" w:eastAsia="仿宋" w:cs="Times New Roman"/>
                <w:bCs/>
              </w:rPr>
            </w:pPr>
          </w:p>
        </w:tc>
        <w:tc>
          <w:tcPr>
            <w:tcW w:w="545" w:type="dxa"/>
            <w:vAlign w:val="center"/>
          </w:tcPr>
          <w:p w14:paraId="7F0A07E4">
            <w:pPr>
              <w:spacing w:line="560" w:lineRule="exact"/>
              <w:jc w:val="right"/>
              <w:rPr>
                <w:rFonts w:ascii="仿宋" w:hAnsi="仿宋" w:eastAsia="仿宋" w:cs="Times New Roman"/>
                <w:bCs/>
              </w:rPr>
            </w:pPr>
          </w:p>
        </w:tc>
        <w:tc>
          <w:tcPr>
            <w:tcW w:w="545" w:type="dxa"/>
            <w:vAlign w:val="center"/>
          </w:tcPr>
          <w:p w14:paraId="10688400">
            <w:pPr>
              <w:spacing w:line="560" w:lineRule="exact"/>
              <w:jc w:val="right"/>
              <w:rPr>
                <w:rFonts w:ascii="仿宋" w:hAnsi="仿宋" w:eastAsia="仿宋" w:cs="Times New Roman"/>
                <w:bCs/>
              </w:rPr>
            </w:pPr>
          </w:p>
        </w:tc>
        <w:tc>
          <w:tcPr>
            <w:tcW w:w="506" w:type="dxa"/>
            <w:vAlign w:val="center"/>
          </w:tcPr>
          <w:p w14:paraId="776F2938">
            <w:pPr>
              <w:spacing w:line="560" w:lineRule="exact"/>
              <w:jc w:val="right"/>
              <w:rPr>
                <w:rFonts w:ascii="仿宋" w:hAnsi="仿宋" w:eastAsia="仿宋" w:cs="Times New Roman"/>
                <w:b/>
                <w:bCs/>
              </w:rPr>
            </w:pPr>
          </w:p>
        </w:tc>
      </w:tr>
      <w:tr w14:paraId="0AB1C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385" w:type="dxa"/>
            <w:vAlign w:val="center"/>
          </w:tcPr>
          <w:p w14:paraId="630BCD3D">
            <w:pPr>
              <w:spacing w:line="560" w:lineRule="exact"/>
              <w:jc w:val="center"/>
              <w:rPr>
                <w:rFonts w:ascii="仿宋" w:hAnsi="仿宋" w:eastAsia="仿宋" w:cs="Times New Roman"/>
                <w:bCs/>
              </w:rPr>
            </w:pPr>
          </w:p>
        </w:tc>
        <w:tc>
          <w:tcPr>
            <w:tcW w:w="567" w:type="dxa"/>
            <w:vAlign w:val="center"/>
          </w:tcPr>
          <w:p w14:paraId="6BB96DF5">
            <w:pPr>
              <w:spacing w:line="560" w:lineRule="exact"/>
              <w:jc w:val="right"/>
              <w:rPr>
                <w:rFonts w:ascii="仿宋" w:hAnsi="仿宋" w:eastAsia="仿宋" w:cs="Times New Roman"/>
                <w:bCs/>
              </w:rPr>
            </w:pPr>
            <w:r>
              <w:rPr>
                <w:rFonts w:hint="eastAsia" w:ascii="仿宋" w:hAnsi="仿宋" w:eastAsia="仿宋" w:cs="Times New Roman"/>
                <w:bCs/>
              </w:rPr>
              <w:t>4</w:t>
            </w:r>
          </w:p>
        </w:tc>
        <w:tc>
          <w:tcPr>
            <w:tcW w:w="978" w:type="dxa"/>
            <w:vAlign w:val="center"/>
          </w:tcPr>
          <w:p w14:paraId="5311F688">
            <w:pPr>
              <w:spacing w:line="560" w:lineRule="exact"/>
              <w:jc w:val="left"/>
              <w:rPr>
                <w:rFonts w:ascii="仿宋" w:hAnsi="仿宋" w:eastAsia="仿宋" w:cs="Times New Roman"/>
                <w:bCs/>
              </w:rPr>
            </w:pPr>
            <w:r>
              <w:rPr>
                <w:rFonts w:hint="eastAsia" w:ascii="仿宋" w:hAnsi="仿宋" w:eastAsia="仿宋" w:cs="Times New Roman"/>
                <w:bCs/>
              </w:rPr>
              <w:t>电脑</w:t>
            </w:r>
          </w:p>
        </w:tc>
        <w:tc>
          <w:tcPr>
            <w:tcW w:w="725" w:type="dxa"/>
            <w:vAlign w:val="center"/>
          </w:tcPr>
          <w:p w14:paraId="44991F97">
            <w:pPr>
              <w:spacing w:line="560" w:lineRule="exact"/>
              <w:jc w:val="left"/>
              <w:rPr>
                <w:rFonts w:ascii="仿宋" w:hAnsi="仿宋" w:eastAsia="仿宋" w:cs="Times New Roman"/>
                <w:bCs/>
              </w:rPr>
            </w:pPr>
          </w:p>
        </w:tc>
        <w:tc>
          <w:tcPr>
            <w:tcW w:w="451" w:type="dxa"/>
            <w:vAlign w:val="center"/>
          </w:tcPr>
          <w:p w14:paraId="79691BDE">
            <w:pPr>
              <w:spacing w:line="560" w:lineRule="exact"/>
              <w:jc w:val="left"/>
              <w:rPr>
                <w:rFonts w:ascii="仿宋" w:hAnsi="仿宋" w:eastAsia="仿宋" w:cs="Times New Roman"/>
                <w:bCs/>
              </w:rPr>
            </w:pPr>
            <w:r>
              <w:rPr>
                <w:rFonts w:hint="eastAsia" w:ascii="仿宋" w:hAnsi="仿宋" w:eastAsia="仿宋" w:cs="Times New Roman"/>
                <w:bCs/>
              </w:rPr>
              <w:t>台</w:t>
            </w:r>
          </w:p>
        </w:tc>
        <w:tc>
          <w:tcPr>
            <w:tcW w:w="544" w:type="dxa"/>
            <w:vAlign w:val="center"/>
          </w:tcPr>
          <w:p w14:paraId="4E241DCA">
            <w:pPr>
              <w:spacing w:line="560" w:lineRule="exact"/>
              <w:jc w:val="right"/>
              <w:rPr>
                <w:rFonts w:ascii="仿宋" w:hAnsi="仿宋" w:eastAsia="仿宋" w:cs="Times New Roman"/>
                <w:bCs/>
              </w:rPr>
            </w:pPr>
            <w:r>
              <w:rPr>
                <w:rFonts w:hint="eastAsia" w:ascii="仿宋" w:hAnsi="仿宋" w:eastAsia="仿宋" w:cs="Times New Roman"/>
                <w:bCs/>
              </w:rPr>
              <w:t>10</w:t>
            </w:r>
          </w:p>
        </w:tc>
        <w:tc>
          <w:tcPr>
            <w:tcW w:w="640" w:type="dxa"/>
            <w:vAlign w:val="center"/>
          </w:tcPr>
          <w:p w14:paraId="2B3DF024">
            <w:pPr>
              <w:spacing w:line="560" w:lineRule="exact"/>
              <w:jc w:val="right"/>
              <w:rPr>
                <w:rFonts w:ascii="仿宋" w:hAnsi="仿宋" w:eastAsia="仿宋" w:cs="Times New Roman"/>
                <w:bCs/>
              </w:rPr>
            </w:pPr>
            <w:r>
              <w:rPr>
                <w:rFonts w:hint="eastAsia" w:ascii="仿宋" w:hAnsi="仿宋" w:eastAsia="仿宋" w:cs="Times New Roman"/>
                <w:bCs/>
              </w:rPr>
              <w:t>0.4</w:t>
            </w:r>
          </w:p>
        </w:tc>
        <w:tc>
          <w:tcPr>
            <w:tcW w:w="556" w:type="dxa"/>
            <w:vAlign w:val="center"/>
          </w:tcPr>
          <w:p w14:paraId="6947BA77">
            <w:pPr>
              <w:spacing w:line="560" w:lineRule="exact"/>
              <w:jc w:val="right"/>
              <w:rPr>
                <w:rFonts w:ascii="仿宋" w:hAnsi="仿宋" w:eastAsia="仿宋" w:cs="Times New Roman"/>
                <w:bCs/>
              </w:rPr>
            </w:pPr>
            <w:r>
              <w:rPr>
                <w:rFonts w:hint="eastAsia" w:ascii="仿宋" w:hAnsi="仿宋" w:eastAsia="仿宋" w:cs="Times New Roman"/>
                <w:bCs/>
              </w:rPr>
              <w:t>4</w:t>
            </w:r>
          </w:p>
        </w:tc>
        <w:tc>
          <w:tcPr>
            <w:tcW w:w="556" w:type="dxa"/>
            <w:vAlign w:val="center"/>
          </w:tcPr>
          <w:p w14:paraId="391320BE">
            <w:pPr>
              <w:spacing w:line="560" w:lineRule="exact"/>
              <w:jc w:val="right"/>
              <w:rPr>
                <w:rFonts w:ascii="仿宋" w:hAnsi="仿宋" w:eastAsia="仿宋" w:cs="Times New Roman"/>
                <w:bCs/>
              </w:rPr>
            </w:pPr>
            <w:r>
              <w:rPr>
                <w:rFonts w:hint="eastAsia" w:ascii="仿宋" w:hAnsi="仿宋" w:eastAsia="仿宋" w:cs="Times New Roman"/>
                <w:bCs/>
              </w:rPr>
              <w:t>4</w:t>
            </w:r>
          </w:p>
        </w:tc>
        <w:tc>
          <w:tcPr>
            <w:tcW w:w="556" w:type="dxa"/>
            <w:vAlign w:val="center"/>
          </w:tcPr>
          <w:p w14:paraId="4BEDDC07">
            <w:pPr>
              <w:spacing w:line="560" w:lineRule="exact"/>
              <w:jc w:val="right"/>
              <w:rPr>
                <w:rFonts w:ascii="仿宋" w:hAnsi="仿宋" w:eastAsia="仿宋" w:cs="Times New Roman"/>
                <w:bCs/>
              </w:rPr>
            </w:pPr>
            <w:r>
              <w:rPr>
                <w:rFonts w:hint="eastAsia" w:ascii="仿宋" w:hAnsi="仿宋" w:eastAsia="仿宋" w:cs="Times New Roman"/>
                <w:bCs/>
              </w:rPr>
              <w:t>4</w:t>
            </w:r>
          </w:p>
        </w:tc>
        <w:tc>
          <w:tcPr>
            <w:tcW w:w="506" w:type="dxa"/>
            <w:vAlign w:val="center"/>
          </w:tcPr>
          <w:p w14:paraId="6EBC57DA">
            <w:pPr>
              <w:spacing w:line="560" w:lineRule="exact"/>
              <w:jc w:val="right"/>
              <w:rPr>
                <w:rFonts w:ascii="仿宋" w:hAnsi="仿宋" w:eastAsia="仿宋" w:cs="Times New Roman"/>
                <w:bCs/>
              </w:rPr>
            </w:pPr>
          </w:p>
        </w:tc>
        <w:tc>
          <w:tcPr>
            <w:tcW w:w="545" w:type="dxa"/>
            <w:vAlign w:val="center"/>
          </w:tcPr>
          <w:p w14:paraId="1BBE9346">
            <w:pPr>
              <w:spacing w:line="560" w:lineRule="exact"/>
              <w:jc w:val="right"/>
              <w:rPr>
                <w:rFonts w:ascii="仿宋" w:hAnsi="仿宋" w:eastAsia="仿宋" w:cs="Times New Roman"/>
                <w:bCs/>
              </w:rPr>
            </w:pPr>
          </w:p>
        </w:tc>
        <w:tc>
          <w:tcPr>
            <w:tcW w:w="545" w:type="dxa"/>
            <w:vAlign w:val="center"/>
          </w:tcPr>
          <w:p w14:paraId="2B43B5C7">
            <w:pPr>
              <w:spacing w:line="560" w:lineRule="exact"/>
              <w:jc w:val="right"/>
              <w:rPr>
                <w:rFonts w:ascii="仿宋" w:hAnsi="仿宋" w:eastAsia="仿宋" w:cs="Times New Roman"/>
                <w:bCs/>
              </w:rPr>
            </w:pPr>
          </w:p>
        </w:tc>
        <w:tc>
          <w:tcPr>
            <w:tcW w:w="506" w:type="dxa"/>
            <w:vAlign w:val="center"/>
          </w:tcPr>
          <w:p w14:paraId="10B2D421">
            <w:pPr>
              <w:spacing w:line="560" w:lineRule="exact"/>
              <w:jc w:val="right"/>
              <w:rPr>
                <w:rFonts w:ascii="仿宋" w:hAnsi="仿宋" w:eastAsia="仿宋" w:cs="Times New Roman"/>
                <w:b/>
                <w:bCs/>
              </w:rPr>
            </w:pPr>
          </w:p>
        </w:tc>
      </w:tr>
      <w:tr w14:paraId="23104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385" w:type="dxa"/>
            <w:vAlign w:val="center"/>
          </w:tcPr>
          <w:p w14:paraId="418249C7">
            <w:pPr>
              <w:spacing w:line="560" w:lineRule="exact"/>
              <w:jc w:val="left"/>
              <w:rPr>
                <w:rFonts w:ascii="仿宋" w:hAnsi="仿宋" w:eastAsia="仿宋" w:cs="Times New Roman"/>
              </w:rPr>
            </w:pPr>
          </w:p>
        </w:tc>
        <w:tc>
          <w:tcPr>
            <w:tcW w:w="567" w:type="dxa"/>
            <w:vAlign w:val="center"/>
          </w:tcPr>
          <w:p w14:paraId="590D4427">
            <w:pPr>
              <w:spacing w:line="560" w:lineRule="exact"/>
              <w:jc w:val="right"/>
              <w:rPr>
                <w:rFonts w:ascii="仿宋" w:hAnsi="仿宋" w:eastAsia="仿宋" w:cs="Times New Roman"/>
                <w:bCs/>
              </w:rPr>
            </w:pPr>
            <w:r>
              <w:rPr>
                <w:rFonts w:hint="eastAsia" w:ascii="仿宋" w:hAnsi="仿宋" w:eastAsia="仿宋" w:cs="Times New Roman"/>
                <w:bCs/>
              </w:rPr>
              <w:t>1</w:t>
            </w:r>
          </w:p>
        </w:tc>
        <w:tc>
          <w:tcPr>
            <w:tcW w:w="978" w:type="dxa"/>
            <w:vAlign w:val="center"/>
          </w:tcPr>
          <w:p w14:paraId="4CE720D6">
            <w:pPr>
              <w:spacing w:line="560" w:lineRule="exact"/>
              <w:jc w:val="left"/>
              <w:rPr>
                <w:rFonts w:ascii="仿宋" w:hAnsi="仿宋" w:eastAsia="仿宋" w:cs="Times New Roman"/>
                <w:bCs/>
              </w:rPr>
            </w:pPr>
            <w:r>
              <w:rPr>
                <w:rFonts w:hint="eastAsia" w:ascii="仿宋" w:hAnsi="仿宋" w:eastAsia="仿宋" w:cs="Times New Roman"/>
                <w:bCs/>
              </w:rPr>
              <w:t>打印机</w:t>
            </w:r>
          </w:p>
        </w:tc>
        <w:tc>
          <w:tcPr>
            <w:tcW w:w="725" w:type="dxa"/>
            <w:vAlign w:val="center"/>
          </w:tcPr>
          <w:p w14:paraId="5990027A">
            <w:pPr>
              <w:spacing w:line="560" w:lineRule="exact"/>
              <w:jc w:val="left"/>
              <w:rPr>
                <w:rFonts w:ascii="仿宋" w:hAnsi="仿宋" w:eastAsia="仿宋" w:cs="Times New Roman"/>
                <w:bCs/>
              </w:rPr>
            </w:pPr>
          </w:p>
        </w:tc>
        <w:tc>
          <w:tcPr>
            <w:tcW w:w="451" w:type="dxa"/>
            <w:vAlign w:val="center"/>
          </w:tcPr>
          <w:p w14:paraId="6AC5B938">
            <w:pPr>
              <w:spacing w:line="560" w:lineRule="exact"/>
              <w:jc w:val="left"/>
              <w:rPr>
                <w:rFonts w:ascii="仿宋" w:hAnsi="仿宋" w:eastAsia="仿宋" w:cs="Times New Roman"/>
                <w:bCs/>
              </w:rPr>
            </w:pPr>
            <w:r>
              <w:rPr>
                <w:rFonts w:hint="eastAsia" w:ascii="仿宋" w:hAnsi="仿宋" w:eastAsia="仿宋" w:cs="Times New Roman"/>
                <w:bCs/>
              </w:rPr>
              <w:t>台</w:t>
            </w:r>
          </w:p>
        </w:tc>
        <w:tc>
          <w:tcPr>
            <w:tcW w:w="544" w:type="dxa"/>
            <w:vAlign w:val="center"/>
          </w:tcPr>
          <w:p w14:paraId="5C74782A">
            <w:pPr>
              <w:spacing w:line="560" w:lineRule="exact"/>
              <w:jc w:val="right"/>
              <w:rPr>
                <w:rFonts w:ascii="仿宋" w:hAnsi="仿宋" w:eastAsia="仿宋" w:cs="Times New Roman"/>
                <w:bCs/>
              </w:rPr>
            </w:pPr>
            <w:r>
              <w:rPr>
                <w:rFonts w:hint="eastAsia" w:ascii="仿宋" w:hAnsi="仿宋" w:eastAsia="仿宋" w:cs="Times New Roman"/>
                <w:bCs/>
              </w:rPr>
              <w:t>4</w:t>
            </w:r>
          </w:p>
        </w:tc>
        <w:tc>
          <w:tcPr>
            <w:tcW w:w="640" w:type="dxa"/>
            <w:vAlign w:val="center"/>
          </w:tcPr>
          <w:p w14:paraId="4D7B666F">
            <w:pPr>
              <w:spacing w:line="560" w:lineRule="exact"/>
              <w:jc w:val="right"/>
              <w:rPr>
                <w:rFonts w:ascii="仿宋" w:hAnsi="仿宋" w:eastAsia="仿宋" w:cs="Times New Roman"/>
                <w:bCs/>
              </w:rPr>
            </w:pPr>
            <w:r>
              <w:rPr>
                <w:rFonts w:hint="eastAsia" w:ascii="仿宋" w:hAnsi="仿宋" w:eastAsia="仿宋" w:cs="Times New Roman"/>
                <w:bCs/>
              </w:rPr>
              <w:t>0.25</w:t>
            </w:r>
          </w:p>
        </w:tc>
        <w:tc>
          <w:tcPr>
            <w:tcW w:w="556" w:type="dxa"/>
            <w:vAlign w:val="center"/>
          </w:tcPr>
          <w:p w14:paraId="5B44546E">
            <w:pPr>
              <w:spacing w:line="560" w:lineRule="exact"/>
              <w:jc w:val="right"/>
              <w:rPr>
                <w:rFonts w:ascii="仿宋" w:hAnsi="仿宋" w:eastAsia="仿宋" w:cs="Times New Roman"/>
                <w:bCs/>
              </w:rPr>
            </w:pPr>
            <w:r>
              <w:rPr>
                <w:rFonts w:hint="eastAsia" w:ascii="仿宋" w:hAnsi="仿宋" w:eastAsia="仿宋" w:cs="Times New Roman"/>
                <w:bCs/>
              </w:rPr>
              <w:t>1</w:t>
            </w:r>
          </w:p>
        </w:tc>
        <w:tc>
          <w:tcPr>
            <w:tcW w:w="556" w:type="dxa"/>
            <w:vAlign w:val="center"/>
          </w:tcPr>
          <w:p w14:paraId="0A33EE18">
            <w:pPr>
              <w:spacing w:line="560" w:lineRule="exact"/>
              <w:jc w:val="right"/>
              <w:rPr>
                <w:rFonts w:ascii="仿宋" w:hAnsi="仿宋" w:eastAsia="仿宋" w:cs="Times New Roman"/>
              </w:rPr>
            </w:pPr>
            <w:r>
              <w:rPr>
                <w:rFonts w:hint="eastAsia" w:ascii="仿宋" w:hAnsi="仿宋" w:eastAsia="仿宋" w:cs="Times New Roman"/>
              </w:rPr>
              <w:t>1</w:t>
            </w:r>
          </w:p>
        </w:tc>
        <w:tc>
          <w:tcPr>
            <w:tcW w:w="556" w:type="dxa"/>
            <w:vAlign w:val="center"/>
          </w:tcPr>
          <w:p w14:paraId="3B7778F9">
            <w:pPr>
              <w:spacing w:line="560" w:lineRule="exact"/>
              <w:jc w:val="right"/>
              <w:rPr>
                <w:rFonts w:ascii="仿宋" w:hAnsi="仿宋" w:eastAsia="仿宋" w:cs="Times New Roman"/>
              </w:rPr>
            </w:pPr>
            <w:r>
              <w:rPr>
                <w:rFonts w:hint="eastAsia" w:ascii="仿宋" w:hAnsi="仿宋" w:eastAsia="仿宋" w:cs="Times New Roman"/>
              </w:rPr>
              <w:t>1</w:t>
            </w:r>
          </w:p>
        </w:tc>
        <w:tc>
          <w:tcPr>
            <w:tcW w:w="506" w:type="dxa"/>
            <w:vAlign w:val="center"/>
          </w:tcPr>
          <w:p w14:paraId="5D65F4EC">
            <w:pPr>
              <w:spacing w:line="560" w:lineRule="exact"/>
              <w:jc w:val="right"/>
              <w:rPr>
                <w:rFonts w:ascii="仿宋" w:hAnsi="仿宋" w:eastAsia="仿宋" w:cs="Times New Roman"/>
              </w:rPr>
            </w:pPr>
          </w:p>
        </w:tc>
        <w:tc>
          <w:tcPr>
            <w:tcW w:w="545" w:type="dxa"/>
            <w:vAlign w:val="center"/>
          </w:tcPr>
          <w:p w14:paraId="41C1E1AB">
            <w:pPr>
              <w:spacing w:line="560" w:lineRule="exact"/>
              <w:jc w:val="right"/>
              <w:rPr>
                <w:rFonts w:ascii="仿宋" w:hAnsi="仿宋" w:eastAsia="仿宋" w:cs="Times New Roman"/>
              </w:rPr>
            </w:pPr>
          </w:p>
        </w:tc>
        <w:tc>
          <w:tcPr>
            <w:tcW w:w="545" w:type="dxa"/>
            <w:vAlign w:val="center"/>
          </w:tcPr>
          <w:p w14:paraId="5389FC74">
            <w:pPr>
              <w:spacing w:line="560" w:lineRule="exact"/>
              <w:jc w:val="right"/>
              <w:rPr>
                <w:rFonts w:ascii="仿宋" w:hAnsi="仿宋" w:eastAsia="仿宋" w:cs="Times New Roman"/>
              </w:rPr>
            </w:pPr>
          </w:p>
        </w:tc>
        <w:tc>
          <w:tcPr>
            <w:tcW w:w="506" w:type="dxa"/>
            <w:vAlign w:val="center"/>
          </w:tcPr>
          <w:p w14:paraId="6735ABC8">
            <w:pPr>
              <w:spacing w:line="560" w:lineRule="exact"/>
              <w:jc w:val="right"/>
              <w:rPr>
                <w:rFonts w:ascii="仿宋" w:hAnsi="仿宋" w:eastAsia="仿宋" w:cs="Times New Roman"/>
              </w:rPr>
            </w:pPr>
          </w:p>
        </w:tc>
      </w:tr>
    </w:tbl>
    <w:p w14:paraId="2B6003EE">
      <w:pPr>
        <w:autoSpaceDE w:val="0"/>
        <w:autoSpaceDN w:val="0"/>
        <w:adjustRightInd w:val="0"/>
        <w:spacing w:line="560" w:lineRule="exact"/>
        <w:ind w:left="198" w:firstLine="640" w:firstLineChars="200"/>
        <w:jc w:val="left"/>
        <w:rPr>
          <w:rFonts w:ascii="仿宋" w:hAnsi="仿宋" w:eastAsia="仿宋" w:cs="Times New Roman"/>
          <w:sz w:val="32"/>
          <w:szCs w:val="32"/>
        </w:rPr>
      </w:pPr>
    </w:p>
    <w:p w14:paraId="2F8CB054">
      <w:pPr>
        <w:autoSpaceDE w:val="0"/>
        <w:autoSpaceDN w:val="0"/>
        <w:adjustRightInd w:val="0"/>
        <w:spacing w:line="560" w:lineRule="exact"/>
        <w:ind w:left="198" w:firstLine="800" w:firstLineChars="250"/>
        <w:jc w:val="left"/>
        <w:rPr>
          <w:rFonts w:ascii="黑体" w:hAnsi="黑体" w:eastAsia="黑体" w:cs="Times New Roman"/>
          <w:sz w:val="32"/>
          <w:szCs w:val="32"/>
        </w:rPr>
      </w:pPr>
      <w:r>
        <w:rPr>
          <w:rFonts w:hint="eastAsia" w:ascii="黑体" w:hAnsi="黑体" w:eastAsia="黑体" w:cs="黑体"/>
          <w:sz w:val="32"/>
          <w:szCs w:val="32"/>
        </w:rPr>
        <w:t>七、国有资产信息</w:t>
      </w:r>
    </w:p>
    <w:p w14:paraId="7C85C42E">
      <w:pPr>
        <w:widowControl/>
        <w:spacing w:line="360" w:lineRule="auto"/>
        <w:ind w:left="412" w:leftChars="196" w:firstLine="640"/>
        <w:jc w:val="left"/>
        <w:rPr>
          <w:rFonts w:ascii="仿宋" w:hAnsi="仿宋" w:eastAsia="仿宋" w:cs="仿宋_GB2312"/>
          <w:kern w:val="0"/>
          <w:sz w:val="32"/>
          <w:szCs w:val="32"/>
        </w:rPr>
      </w:pPr>
      <w:r>
        <w:rPr>
          <w:rFonts w:ascii="仿宋" w:hAnsi="仿宋" w:eastAsia="仿宋" w:cs="宋体"/>
          <w:color w:val="333333"/>
          <w:kern w:val="0"/>
          <w:sz w:val="32"/>
          <w:szCs w:val="32"/>
        </w:rPr>
        <w:t>截止上年</w:t>
      </w:r>
      <w:r>
        <w:rPr>
          <w:rFonts w:ascii="仿宋" w:hAnsi="仿宋" w:eastAsia="仿宋" w:cs="仿宋_GB2312"/>
          <w:kern w:val="0"/>
          <w:sz w:val="32"/>
          <w:szCs w:val="32"/>
        </w:rPr>
        <w:t>末固定资产</w:t>
      </w:r>
      <w:r>
        <w:rPr>
          <w:rFonts w:hint="eastAsia" w:ascii="仿宋" w:hAnsi="仿宋" w:eastAsia="仿宋" w:cs="仿宋_GB2312"/>
          <w:kern w:val="0"/>
          <w:sz w:val="32"/>
          <w:szCs w:val="32"/>
          <w:lang w:eastAsia="zh-CN"/>
        </w:rPr>
        <w:t>账</w:t>
      </w:r>
      <w:r>
        <w:rPr>
          <w:rFonts w:ascii="仿宋" w:hAnsi="仿宋" w:eastAsia="仿宋" w:cs="仿宋_GB2312"/>
          <w:kern w:val="0"/>
          <w:sz w:val="32"/>
          <w:szCs w:val="32"/>
        </w:rPr>
        <w:t>面结余</w:t>
      </w:r>
      <w:r>
        <w:rPr>
          <w:rFonts w:hint="eastAsia" w:ascii="仿宋" w:hAnsi="仿宋" w:eastAsia="仿宋" w:cs="仿宋_GB2312"/>
          <w:kern w:val="0"/>
          <w:sz w:val="32"/>
          <w:szCs w:val="32"/>
        </w:rPr>
        <w:t>30</w:t>
      </w:r>
      <w:r>
        <w:rPr>
          <w:rFonts w:ascii="仿宋" w:hAnsi="仿宋" w:eastAsia="仿宋" w:cs="仿宋_GB2312"/>
          <w:kern w:val="0"/>
          <w:sz w:val="32"/>
          <w:szCs w:val="32"/>
        </w:rPr>
        <w:t>万元。</w:t>
      </w:r>
      <w:r>
        <w:rPr>
          <w:rFonts w:hint="eastAsia" w:ascii="仿宋" w:hAnsi="仿宋" w:eastAsia="仿宋" w:cs="仿宋_GB2312"/>
          <w:kern w:val="0"/>
          <w:sz w:val="32"/>
          <w:szCs w:val="32"/>
        </w:rPr>
        <w:t>其中：房屋价值0万元，车辆价值8万元，其它资产办公用电脑、办公家具、专用设备等价值22万元。2018年我单位拟购置5万元，</w:t>
      </w:r>
      <w:r>
        <w:rPr>
          <w:rFonts w:hint="eastAsia" w:ascii="仿宋" w:hAnsi="仿宋" w:eastAsia="仿宋" w:cs="仿宋_GB2312"/>
          <w:sz w:val="32"/>
          <w:szCs w:val="32"/>
        </w:rPr>
        <w:t>详见下表。</w:t>
      </w:r>
    </w:p>
    <w:tbl>
      <w:tblPr>
        <w:tblStyle w:val="4"/>
        <w:tblW w:w="9060" w:type="dxa"/>
        <w:tblInd w:w="-106" w:type="dxa"/>
        <w:tblLayout w:type="fixed"/>
        <w:tblCellMar>
          <w:top w:w="0" w:type="dxa"/>
          <w:left w:w="108" w:type="dxa"/>
          <w:bottom w:w="0" w:type="dxa"/>
          <w:right w:w="108" w:type="dxa"/>
        </w:tblCellMar>
      </w:tblPr>
      <w:tblGrid>
        <w:gridCol w:w="4139"/>
        <w:gridCol w:w="1320"/>
        <w:gridCol w:w="3601"/>
      </w:tblGrid>
      <w:tr w14:paraId="0E48E850">
        <w:tblPrEx>
          <w:tblCellMar>
            <w:top w:w="0" w:type="dxa"/>
            <w:left w:w="108" w:type="dxa"/>
            <w:bottom w:w="0" w:type="dxa"/>
            <w:right w:w="108" w:type="dxa"/>
          </w:tblCellMar>
        </w:tblPrEx>
        <w:trPr>
          <w:trHeight w:val="705" w:hRule="atLeast"/>
        </w:trPr>
        <w:tc>
          <w:tcPr>
            <w:tcW w:w="9060" w:type="dxa"/>
            <w:gridSpan w:val="3"/>
            <w:tcBorders>
              <w:top w:val="nil"/>
              <w:left w:val="nil"/>
              <w:bottom w:val="nil"/>
              <w:right w:val="nil"/>
            </w:tcBorders>
            <w:vAlign w:val="center"/>
          </w:tcPr>
          <w:p w14:paraId="7E07649D">
            <w:pPr>
              <w:widowControl/>
              <w:jc w:val="center"/>
              <w:rPr>
                <w:rFonts w:ascii="仿宋" w:hAnsi="仿宋" w:eastAsia="仿宋" w:cs="Times New Roman"/>
                <w:b/>
                <w:bCs/>
                <w:kern w:val="0"/>
                <w:sz w:val="32"/>
                <w:szCs w:val="32"/>
              </w:rPr>
            </w:pPr>
          </w:p>
          <w:p w14:paraId="05502798">
            <w:pPr>
              <w:widowControl/>
              <w:jc w:val="center"/>
              <w:rPr>
                <w:rFonts w:ascii="仿宋" w:hAnsi="仿宋" w:eastAsia="仿宋" w:cs="Times New Roman"/>
                <w:b/>
                <w:bCs/>
                <w:kern w:val="0"/>
                <w:sz w:val="32"/>
                <w:szCs w:val="32"/>
              </w:rPr>
            </w:pPr>
          </w:p>
          <w:p w14:paraId="76319E33">
            <w:pPr>
              <w:widowControl/>
              <w:jc w:val="center"/>
              <w:rPr>
                <w:rFonts w:ascii="仿宋" w:hAnsi="仿宋" w:eastAsia="仿宋" w:cs="Times New Roman"/>
                <w:b/>
                <w:bCs/>
                <w:kern w:val="0"/>
                <w:sz w:val="32"/>
                <w:szCs w:val="32"/>
              </w:rPr>
            </w:pPr>
          </w:p>
          <w:p w14:paraId="2E9D98E2">
            <w:pPr>
              <w:widowControl/>
              <w:jc w:val="center"/>
              <w:rPr>
                <w:rFonts w:ascii="仿宋" w:hAnsi="仿宋" w:eastAsia="仿宋" w:cs="Times New Roman"/>
                <w:b/>
                <w:bCs/>
                <w:kern w:val="0"/>
                <w:sz w:val="32"/>
                <w:szCs w:val="32"/>
              </w:rPr>
            </w:pPr>
          </w:p>
          <w:p w14:paraId="4F53F751">
            <w:pPr>
              <w:widowControl/>
              <w:jc w:val="center"/>
              <w:rPr>
                <w:rFonts w:ascii="黑体" w:hAnsi="黑体" w:eastAsia="黑体" w:cs="Times New Roman"/>
                <w:bCs/>
                <w:kern w:val="0"/>
                <w:sz w:val="32"/>
                <w:szCs w:val="32"/>
              </w:rPr>
            </w:pPr>
            <w:r>
              <w:rPr>
                <w:rFonts w:hint="eastAsia" w:ascii="黑体" w:hAnsi="黑体" w:eastAsia="黑体" w:cs="宋体"/>
                <w:bCs/>
                <w:kern w:val="0"/>
                <w:sz w:val="32"/>
                <w:szCs w:val="32"/>
              </w:rPr>
              <w:t>部门固定资产占用情况表</w:t>
            </w:r>
          </w:p>
        </w:tc>
      </w:tr>
      <w:tr w14:paraId="196D08CF">
        <w:tblPrEx>
          <w:tblCellMar>
            <w:top w:w="0" w:type="dxa"/>
            <w:left w:w="108" w:type="dxa"/>
            <w:bottom w:w="0" w:type="dxa"/>
            <w:right w:w="108" w:type="dxa"/>
          </w:tblCellMar>
        </w:tblPrEx>
        <w:trPr>
          <w:trHeight w:val="510" w:hRule="atLeast"/>
        </w:trPr>
        <w:tc>
          <w:tcPr>
            <w:tcW w:w="5459" w:type="dxa"/>
            <w:gridSpan w:val="2"/>
            <w:tcBorders>
              <w:top w:val="nil"/>
              <w:left w:val="nil"/>
              <w:bottom w:val="nil"/>
              <w:right w:val="nil"/>
            </w:tcBorders>
            <w:vAlign w:val="center"/>
          </w:tcPr>
          <w:p w14:paraId="2A233EA7">
            <w:pPr>
              <w:widowControl/>
              <w:jc w:val="left"/>
              <w:rPr>
                <w:rFonts w:ascii="仿宋" w:hAnsi="仿宋" w:eastAsia="仿宋" w:cs="Times New Roman"/>
                <w:kern w:val="0"/>
                <w:sz w:val="22"/>
              </w:rPr>
            </w:pPr>
            <w:r>
              <w:rPr>
                <w:rFonts w:hint="eastAsia" w:ascii="仿宋" w:hAnsi="仿宋" w:eastAsia="仿宋" w:cs="宋体"/>
                <w:kern w:val="0"/>
                <w:sz w:val="22"/>
                <w:szCs w:val="22"/>
              </w:rPr>
              <w:t>编制部门：成安县物价局</w:t>
            </w:r>
          </w:p>
        </w:tc>
        <w:tc>
          <w:tcPr>
            <w:tcW w:w="3601" w:type="dxa"/>
            <w:tcBorders>
              <w:top w:val="nil"/>
              <w:left w:val="nil"/>
              <w:bottom w:val="nil"/>
              <w:right w:val="nil"/>
            </w:tcBorders>
            <w:vAlign w:val="center"/>
          </w:tcPr>
          <w:p w14:paraId="1DCEAE3F">
            <w:pPr>
              <w:widowControl/>
              <w:ind w:firstLine="550" w:firstLineChars="250"/>
              <w:jc w:val="left"/>
              <w:rPr>
                <w:rFonts w:ascii="仿宋" w:hAnsi="仿宋" w:eastAsia="仿宋" w:cs="宋体"/>
                <w:kern w:val="0"/>
                <w:sz w:val="22"/>
              </w:rPr>
            </w:pPr>
            <w:r>
              <w:rPr>
                <w:rFonts w:hint="eastAsia" w:ascii="仿宋" w:hAnsi="仿宋" w:eastAsia="仿宋" w:cs="宋体"/>
                <w:kern w:val="0"/>
                <w:sz w:val="22"/>
                <w:szCs w:val="22"/>
              </w:rPr>
              <w:t>截止时间：</w:t>
            </w:r>
            <w:r>
              <w:rPr>
                <w:rFonts w:ascii="仿宋" w:hAnsi="仿宋" w:eastAsia="仿宋" w:cs="宋体"/>
                <w:kern w:val="0"/>
                <w:sz w:val="22"/>
                <w:szCs w:val="22"/>
              </w:rPr>
              <w:t>20</w:t>
            </w:r>
            <w:r>
              <w:rPr>
                <w:rFonts w:hint="eastAsia" w:ascii="仿宋" w:hAnsi="仿宋" w:eastAsia="仿宋" w:cs="宋体"/>
                <w:kern w:val="0"/>
                <w:sz w:val="22"/>
                <w:szCs w:val="22"/>
              </w:rPr>
              <w:t>17年12月31日</w:t>
            </w:r>
            <w:r>
              <w:rPr>
                <w:rFonts w:ascii="仿宋" w:hAnsi="仿宋" w:eastAsia="仿宋" w:cs="宋体"/>
                <w:kern w:val="0"/>
                <w:sz w:val="22"/>
                <w:szCs w:val="22"/>
              </w:rPr>
              <w:t xml:space="preserve">  </w:t>
            </w:r>
          </w:p>
        </w:tc>
      </w:tr>
      <w:tr w14:paraId="67ADFB5E">
        <w:tblPrEx>
          <w:tblCellMar>
            <w:top w:w="0" w:type="dxa"/>
            <w:left w:w="108" w:type="dxa"/>
            <w:bottom w:w="0" w:type="dxa"/>
            <w:right w:w="108" w:type="dxa"/>
          </w:tblCellMar>
        </w:tblPrEx>
        <w:trPr>
          <w:trHeight w:val="645" w:hRule="atLeast"/>
        </w:trPr>
        <w:tc>
          <w:tcPr>
            <w:tcW w:w="4139" w:type="dxa"/>
            <w:tcBorders>
              <w:top w:val="single" w:color="auto" w:sz="4" w:space="0"/>
              <w:left w:val="single" w:color="auto" w:sz="4" w:space="0"/>
              <w:bottom w:val="single" w:color="auto" w:sz="4" w:space="0"/>
              <w:right w:val="single" w:color="auto" w:sz="4" w:space="0"/>
            </w:tcBorders>
            <w:vAlign w:val="center"/>
          </w:tcPr>
          <w:p w14:paraId="2169A103">
            <w:pPr>
              <w:widowControl/>
              <w:jc w:val="center"/>
              <w:rPr>
                <w:rFonts w:ascii="仿宋" w:hAnsi="仿宋" w:eastAsia="仿宋" w:cs="Times New Roman"/>
                <w:b/>
                <w:bCs/>
                <w:kern w:val="0"/>
                <w:sz w:val="22"/>
              </w:rPr>
            </w:pPr>
            <w:r>
              <w:rPr>
                <w:rFonts w:hint="eastAsia" w:ascii="仿宋" w:hAnsi="仿宋" w:eastAsia="仿宋" w:cs="宋体"/>
                <w:b/>
                <w:bCs/>
                <w:kern w:val="0"/>
                <w:sz w:val="22"/>
                <w:szCs w:val="22"/>
              </w:rPr>
              <w:t>项</w:t>
            </w:r>
            <w:r>
              <w:rPr>
                <w:rFonts w:ascii="仿宋" w:hAnsi="仿宋" w:eastAsia="仿宋" w:cs="宋体"/>
                <w:b/>
                <w:bCs/>
                <w:kern w:val="0"/>
                <w:sz w:val="22"/>
                <w:szCs w:val="22"/>
              </w:rPr>
              <w:t xml:space="preserve">   </w:t>
            </w:r>
            <w:r>
              <w:rPr>
                <w:rFonts w:hint="eastAsia" w:ascii="仿宋" w:hAnsi="仿宋" w:eastAsia="仿宋" w:cs="宋体"/>
                <w:b/>
                <w:bCs/>
                <w:kern w:val="0"/>
                <w:sz w:val="22"/>
                <w:szCs w:val="22"/>
              </w:rPr>
              <w:t>目</w:t>
            </w:r>
          </w:p>
        </w:tc>
        <w:tc>
          <w:tcPr>
            <w:tcW w:w="1320" w:type="dxa"/>
            <w:tcBorders>
              <w:top w:val="single" w:color="auto" w:sz="4" w:space="0"/>
              <w:left w:val="nil"/>
              <w:bottom w:val="single" w:color="auto" w:sz="4" w:space="0"/>
              <w:right w:val="single" w:color="auto" w:sz="4" w:space="0"/>
            </w:tcBorders>
            <w:vAlign w:val="center"/>
          </w:tcPr>
          <w:p w14:paraId="50B0148B">
            <w:pPr>
              <w:widowControl/>
              <w:jc w:val="center"/>
              <w:rPr>
                <w:rFonts w:ascii="仿宋" w:hAnsi="仿宋" w:eastAsia="仿宋" w:cs="Times New Roman"/>
                <w:b/>
                <w:bCs/>
                <w:kern w:val="0"/>
                <w:sz w:val="22"/>
              </w:rPr>
            </w:pPr>
            <w:r>
              <w:rPr>
                <w:rFonts w:hint="eastAsia" w:ascii="仿宋" w:hAnsi="仿宋" w:eastAsia="仿宋" w:cs="宋体"/>
                <w:b/>
                <w:bCs/>
                <w:kern w:val="0"/>
                <w:sz w:val="22"/>
                <w:szCs w:val="22"/>
              </w:rPr>
              <w:t>数量</w:t>
            </w:r>
          </w:p>
        </w:tc>
        <w:tc>
          <w:tcPr>
            <w:tcW w:w="3601" w:type="dxa"/>
            <w:tcBorders>
              <w:top w:val="single" w:color="auto" w:sz="4" w:space="0"/>
              <w:left w:val="nil"/>
              <w:bottom w:val="single" w:color="auto" w:sz="4" w:space="0"/>
              <w:right w:val="single" w:color="auto" w:sz="4" w:space="0"/>
            </w:tcBorders>
            <w:vAlign w:val="center"/>
          </w:tcPr>
          <w:p w14:paraId="3D71BF62">
            <w:pPr>
              <w:widowControl/>
              <w:jc w:val="center"/>
              <w:rPr>
                <w:rFonts w:ascii="仿宋" w:hAnsi="仿宋" w:eastAsia="仿宋" w:cs="Times New Roman"/>
                <w:b/>
                <w:bCs/>
                <w:kern w:val="0"/>
                <w:sz w:val="22"/>
              </w:rPr>
            </w:pPr>
            <w:r>
              <w:rPr>
                <w:rFonts w:hint="eastAsia" w:ascii="仿宋" w:hAnsi="仿宋" w:eastAsia="仿宋" w:cs="宋体"/>
                <w:b/>
                <w:bCs/>
                <w:kern w:val="0"/>
                <w:sz w:val="22"/>
                <w:szCs w:val="22"/>
              </w:rPr>
              <w:t>价值（金额单位：万元）</w:t>
            </w:r>
          </w:p>
        </w:tc>
      </w:tr>
      <w:tr w14:paraId="60B84300">
        <w:tblPrEx>
          <w:tblCellMar>
            <w:top w:w="0" w:type="dxa"/>
            <w:left w:w="108" w:type="dxa"/>
            <w:bottom w:w="0" w:type="dxa"/>
            <w:right w:w="108" w:type="dxa"/>
          </w:tblCellMar>
        </w:tblPrEx>
        <w:trPr>
          <w:trHeight w:val="645" w:hRule="atLeast"/>
        </w:trPr>
        <w:tc>
          <w:tcPr>
            <w:tcW w:w="4139" w:type="dxa"/>
            <w:tcBorders>
              <w:top w:val="nil"/>
              <w:left w:val="single" w:color="auto" w:sz="4" w:space="0"/>
              <w:bottom w:val="single" w:color="auto" w:sz="4" w:space="0"/>
              <w:right w:val="single" w:color="auto" w:sz="4" w:space="0"/>
            </w:tcBorders>
            <w:vAlign w:val="center"/>
          </w:tcPr>
          <w:p w14:paraId="50AD9C46">
            <w:pPr>
              <w:widowControl/>
              <w:jc w:val="center"/>
              <w:rPr>
                <w:rFonts w:ascii="仿宋" w:hAnsi="仿宋" w:eastAsia="仿宋" w:cs="Times New Roman"/>
                <w:kern w:val="0"/>
                <w:sz w:val="22"/>
              </w:rPr>
            </w:pPr>
            <w:r>
              <w:rPr>
                <w:rFonts w:hint="eastAsia" w:ascii="仿宋" w:hAnsi="仿宋" w:eastAsia="仿宋" w:cs="宋体"/>
                <w:kern w:val="0"/>
                <w:sz w:val="22"/>
                <w:szCs w:val="22"/>
              </w:rPr>
              <w:t>资产总额</w:t>
            </w:r>
          </w:p>
        </w:tc>
        <w:tc>
          <w:tcPr>
            <w:tcW w:w="1320" w:type="dxa"/>
            <w:tcBorders>
              <w:top w:val="nil"/>
              <w:left w:val="nil"/>
              <w:bottom w:val="single" w:color="auto" w:sz="4" w:space="0"/>
              <w:right w:val="single" w:color="auto" w:sz="4" w:space="0"/>
            </w:tcBorders>
            <w:vAlign w:val="center"/>
          </w:tcPr>
          <w:p w14:paraId="4FE67220">
            <w:pPr>
              <w:widowControl/>
              <w:jc w:val="center"/>
              <w:rPr>
                <w:rFonts w:ascii="仿宋" w:hAnsi="仿宋" w:eastAsia="仿宋" w:cs="宋体"/>
                <w:kern w:val="0"/>
                <w:sz w:val="22"/>
              </w:rPr>
            </w:pPr>
            <w:r>
              <w:rPr>
                <w:rFonts w:ascii="仿宋" w:hAnsi="仿宋" w:eastAsia="仿宋" w:cs="宋体"/>
                <w:kern w:val="0"/>
                <w:sz w:val="22"/>
                <w:szCs w:val="22"/>
              </w:rPr>
              <w:t>——</w:t>
            </w:r>
          </w:p>
        </w:tc>
        <w:tc>
          <w:tcPr>
            <w:tcW w:w="3601" w:type="dxa"/>
            <w:tcBorders>
              <w:top w:val="nil"/>
              <w:left w:val="nil"/>
              <w:bottom w:val="single" w:color="auto" w:sz="4" w:space="0"/>
              <w:right w:val="single" w:color="auto" w:sz="4" w:space="0"/>
            </w:tcBorders>
            <w:vAlign w:val="center"/>
          </w:tcPr>
          <w:p w14:paraId="40935305">
            <w:pPr>
              <w:widowControl/>
              <w:jc w:val="center"/>
              <w:rPr>
                <w:rFonts w:ascii="仿宋" w:hAnsi="仿宋" w:eastAsia="仿宋" w:cs="宋体"/>
                <w:kern w:val="0"/>
                <w:sz w:val="22"/>
              </w:rPr>
            </w:pPr>
            <w:r>
              <w:rPr>
                <w:rFonts w:hint="eastAsia" w:ascii="仿宋" w:hAnsi="仿宋" w:eastAsia="仿宋" w:cs="宋体"/>
                <w:kern w:val="0"/>
                <w:sz w:val="22"/>
              </w:rPr>
              <w:t>30</w:t>
            </w:r>
          </w:p>
        </w:tc>
      </w:tr>
      <w:tr w14:paraId="0BA9305C">
        <w:tblPrEx>
          <w:tblCellMar>
            <w:top w:w="0" w:type="dxa"/>
            <w:left w:w="108" w:type="dxa"/>
            <w:bottom w:w="0" w:type="dxa"/>
            <w:right w:w="108" w:type="dxa"/>
          </w:tblCellMar>
        </w:tblPrEx>
        <w:trPr>
          <w:trHeight w:val="645" w:hRule="atLeast"/>
        </w:trPr>
        <w:tc>
          <w:tcPr>
            <w:tcW w:w="4139" w:type="dxa"/>
            <w:tcBorders>
              <w:top w:val="nil"/>
              <w:left w:val="single" w:color="auto" w:sz="4" w:space="0"/>
              <w:bottom w:val="single" w:color="auto" w:sz="4" w:space="0"/>
              <w:right w:val="single" w:color="auto" w:sz="4" w:space="0"/>
            </w:tcBorders>
            <w:vAlign w:val="center"/>
          </w:tcPr>
          <w:p w14:paraId="5010CD19">
            <w:pPr>
              <w:widowControl/>
              <w:jc w:val="left"/>
              <w:rPr>
                <w:rFonts w:ascii="仿宋" w:hAnsi="仿宋" w:eastAsia="仿宋" w:cs="Times New Roman"/>
                <w:kern w:val="0"/>
                <w:sz w:val="22"/>
              </w:rPr>
            </w:pPr>
            <w:r>
              <w:rPr>
                <w:rFonts w:ascii="仿宋" w:hAnsi="仿宋" w:eastAsia="仿宋" w:cs="宋体"/>
                <w:kern w:val="0"/>
                <w:sz w:val="22"/>
                <w:szCs w:val="22"/>
              </w:rPr>
              <w:t>1</w:t>
            </w:r>
            <w:r>
              <w:rPr>
                <w:rFonts w:hint="eastAsia" w:ascii="仿宋" w:hAnsi="仿宋" w:eastAsia="仿宋" w:cs="宋体"/>
                <w:kern w:val="0"/>
                <w:sz w:val="22"/>
                <w:szCs w:val="22"/>
              </w:rPr>
              <w:t>、房屋（平方米）</w:t>
            </w:r>
          </w:p>
        </w:tc>
        <w:tc>
          <w:tcPr>
            <w:tcW w:w="1320" w:type="dxa"/>
            <w:tcBorders>
              <w:top w:val="nil"/>
              <w:left w:val="nil"/>
              <w:bottom w:val="single" w:color="auto" w:sz="4" w:space="0"/>
              <w:right w:val="single" w:color="auto" w:sz="4" w:space="0"/>
            </w:tcBorders>
            <w:vAlign w:val="center"/>
          </w:tcPr>
          <w:p w14:paraId="759C3C0B">
            <w:pPr>
              <w:widowControl/>
              <w:jc w:val="center"/>
              <w:rPr>
                <w:rFonts w:ascii="仿宋" w:hAnsi="仿宋" w:eastAsia="仿宋" w:cs="Times New Roman"/>
                <w:kern w:val="0"/>
                <w:sz w:val="22"/>
              </w:rPr>
            </w:pPr>
          </w:p>
        </w:tc>
        <w:tc>
          <w:tcPr>
            <w:tcW w:w="3601" w:type="dxa"/>
            <w:tcBorders>
              <w:top w:val="nil"/>
              <w:left w:val="nil"/>
              <w:bottom w:val="single" w:color="auto" w:sz="4" w:space="0"/>
              <w:right w:val="single" w:color="auto" w:sz="4" w:space="0"/>
            </w:tcBorders>
            <w:vAlign w:val="center"/>
          </w:tcPr>
          <w:p w14:paraId="22FCB9E2">
            <w:pPr>
              <w:widowControl/>
              <w:jc w:val="center"/>
              <w:rPr>
                <w:rFonts w:ascii="仿宋" w:hAnsi="仿宋" w:eastAsia="仿宋" w:cs="Times New Roman"/>
                <w:kern w:val="0"/>
                <w:sz w:val="22"/>
              </w:rPr>
            </w:pPr>
          </w:p>
        </w:tc>
      </w:tr>
      <w:tr w14:paraId="128175FF">
        <w:tblPrEx>
          <w:tblCellMar>
            <w:top w:w="0" w:type="dxa"/>
            <w:left w:w="108" w:type="dxa"/>
            <w:bottom w:w="0" w:type="dxa"/>
            <w:right w:w="108" w:type="dxa"/>
          </w:tblCellMar>
        </w:tblPrEx>
        <w:trPr>
          <w:trHeight w:val="645" w:hRule="atLeast"/>
        </w:trPr>
        <w:tc>
          <w:tcPr>
            <w:tcW w:w="4139" w:type="dxa"/>
            <w:tcBorders>
              <w:top w:val="nil"/>
              <w:left w:val="single" w:color="auto" w:sz="4" w:space="0"/>
              <w:bottom w:val="single" w:color="auto" w:sz="4" w:space="0"/>
              <w:right w:val="single" w:color="auto" w:sz="4" w:space="0"/>
            </w:tcBorders>
            <w:vAlign w:val="center"/>
          </w:tcPr>
          <w:p w14:paraId="2E683152">
            <w:pPr>
              <w:widowControl/>
              <w:jc w:val="left"/>
              <w:rPr>
                <w:rFonts w:ascii="仿宋" w:hAnsi="仿宋" w:eastAsia="仿宋" w:cs="Times New Roman"/>
                <w:kern w:val="0"/>
                <w:sz w:val="22"/>
              </w:rPr>
            </w:pPr>
            <w:r>
              <w:rPr>
                <w:rFonts w:ascii="仿宋" w:hAnsi="仿宋" w:eastAsia="仿宋" w:cs="宋体"/>
                <w:kern w:val="0"/>
                <w:sz w:val="22"/>
                <w:szCs w:val="22"/>
              </w:rPr>
              <w:t xml:space="preserve">   </w:t>
            </w:r>
            <w:r>
              <w:rPr>
                <w:rFonts w:hint="eastAsia" w:ascii="仿宋" w:hAnsi="仿宋" w:eastAsia="仿宋" w:cs="宋体"/>
                <w:kern w:val="0"/>
                <w:sz w:val="22"/>
                <w:szCs w:val="22"/>
              </w:rPr>
              <w:t>其中：办公用房（平方米）</w:t>
            </w:r>
          </w:p>
        </w:tc>
        <w:tc>
          <w:tcPr>
            <w:tcW w:w="1320" w:type="dxa"/>
            <w:tcBorders>
              <w:top w:val="nil"/>
              <w:left w:val="nil"/>
              <w:bottom w:val="single" w:color="auto" w:sz="4" w:space="0"/>
              <w:right w:val="single" w:color="auto" w:sz="4" w:space="0"/>
            </w:tcBorders>
            <w:vAlign w:val="center"/>
          </w:tcPr>
          <w:p w14:paraId="4E2FB676">
            <w:pPr>
              <w:widowControl/>
              <w:jc w:val="center"/>
              <w:rPr>
                <w:rFonts w:ascii="仿宋" w:hAnsi="仿宋" w:eastAsia="仿宋" w:cs="Times New Roman"/>
                <w:kern w:val="0"/>
                <w:sz w:val="22"/>
              </w:rPr>
            </w:pPr>
          </w:p>
        </w:tc>
        <w:tc>
          <w:tcPr>
            <w:tcW w:w="3601" w:type="dxa"/>
            <w:tcBorders>
              <w:top w:val="nil"/>
              <w:left w:val="nil"/>
              <w:bottom w:val="single" w:color="auto" w:sz="4" w:space="0"/>
              <w:right w:val="single" w:color="auto" w:sz="4" w:space="0"/>
            </w:tcBorders>
            <w:vAlign w:val="center"/>
          </w:tcPr>
          <w:p w14:paraId="62A3AEC8">
            <w:pPr>
              <w:widowControl/>
              <w:jc w:val="center"/>
              <w:rPr>
                <w:rFonts w:ascii="仿宋" w:hAnsi="仿宋" w:eastAsia="仿宋" w:cs="Times New Roman"/>
                <w:kern w:val="0"/>
                <w:sz w:val="22"/>
              </w:rPr>
            </w:pPr>
          </w:p>
        </w:tc>
      </w:tr>
      <w:tr w14:paraId="76A0DA38">
        <w:tblPrEx>
          <w:tblCellMar>
            <w:top w:w="0" w:type="dxa"/>
            <w:left w:w="108" w:type="dxa"/>
            <w:bottom w:w="0" w:type="dxa"/>
            <w:right w:w="108" w:type="dxa"/>
          </w:tblCellMar>
        </w:tblPrEx>
        <w:trPr>
          <w:trHeight w:val="645" w:hRule="atLeast"/>
        </w:trPr>
        <w:tc>
          <w:tcPr>
            <w:tcW w:w="4139" w:type="dxa"/>
            <w:tcBorders>
              <w:top w:val="nil"/>
              <w:left w:val="single" w:color="auto" w:sz="4" w:space="0"/>
              <w:bottom w:val="single" w:color="auto" w:sz="4" w:space="0"/>
              <w:right w:val="single" w:color="auto" w:sz="4" w:space="0"/>
            </w:tcBorders>
            <w:vAlign w:val="center"/>
          </w:tcPr>
          <w:p w14:paraId="4B01E709">
            <w:pPr>
              <w:widowControl/>
              <w:jc w:val="left"/>
              <w:rPr>
                <w:rFonts w:ascii="仿宋" w:hAnsi="仿宋" w:eastAsia="仿宋" w:cs="Times New Roman"/>
                <w:kern w:val="0"/>
                <w:sz w:val="22"/>
              </w:rPr>
            </w:pPr>
            <w:r>
              <w:rPr>
                <w:rFonts w:ascii="仿宋" w:hAnsi="仿宋" w:eastAsia="仿宋" w:cs="宋体"/>
                <w:kern w:val="0"/>
                <w:sz w:val="22"/>
                <w:szCs w:val="22"/>
              </w:rPr>
              <w:t>2</w:t>
            </w:r>
            <w:r>
              <w:rPr>
                <w:rFonts w:hint="eastAsia" w:ascii="仿宋" w:hAnsi="仿宋" w:eastAsia="仿宋" w:cs="宋体"/>
                <w:kern w:val="0"/>
                <w:sz w:val="22"/>
                <w:szCs w:val="22"/>
              </w:rPr>
              <w:t>、车辆（台、辆）</w:t>
            </w:r>
          </w:p>
        </w:tc>
        <w:tc>
          <w:tcPr>
            <w:tcW w:w="1320" w:type="dxa"/>
            <w:tcBorders>
              <w:top w:val="nil"/>
              <w:left w:val="nil"/>
              <w:bottom w:val="single" w:color="auto" w:sz="4" w:space="0"/>
              <w:right w:val="single" w:color="auto" w:sz="4" w:space="0"/>
            </w:tcBorders>
            <w:vAlign w:val="center"/>
          </w:tcPr>
          <w:p w14:paraId="3B9546CD">
            <w:pPr>
              <w:widowControl/>
              <w:jc w:val="center"/>
              <w:rPr>
                <w:rFonts w:ascii="仿宋" w:hAnsi="仿宋" w:eastAsia="仿宋" w:cs="Times New Roman"/>
                <w:kern w:val="0"/>
                <w:sz w:val="22"/>
              </w:rPr>
            </w:pPr>
            <w:r>
              <w:rPr>
                <w:rFonts w:hint="eastAsia" w:ascii="仿宋" w:hAnsi="仿宋" w:eastAsia="仿宋" w:cs="Times New Roman"/>
                <w:kern w:val="0"/>
                <w:sz w:val="22"/>
              </w:rPr>
              <w:t>1</w:t>
            </w:r>
          </w:p>
        </w:tc>
        <w:tc>
          <w:tcPr>
            <w:tcW w:w="3601" w:type="dxa"/>
            <w:tcBorders>
              <w:top w:val="nil"/>
              <w:left w:val="nil"/>
              <w:bottom w:val="single" w:color="auto" w:sz="4" w:space="0"/>
              <w:right w:val="single" w:color="auto" w:sz="4" w:space="0"/>
            </w:tcBorders>
            <w:vAlign w:val="center"/>
          </w:tcPr>
          <w:p w14:paraId="71F9BBDD">
            <w:pPr>
              <w:widowControl/>
              <w:jc w:val="center"/>
              <w:rPr>
                <w:rFonts w:ascii="仿宋" w:hAnsi="仿宋" w:eastAsia="仿宋" w:cs="Times New Roman"/>
                <w:kern w:val="0"/>
                <w:sz w:val="22"/>
              </w:rPr>
            </w:pPr>
            <w:r>
              <w:rPr>
                <w:rFonts w:hint="eastAsia" w:ascii="仿宋" w:hAnsi="仿宋" w:eastAsia="仿宋" w:cs="Times New Roman"/>
                <w:kern w:val="0"/>
                <w:sz w:val="22"/>
              </w:rPr>
              <w:t>8</w:t>
            </w:r>
          </w:p>
        </w:tc>
      </w:tr>
      <w:tr w14:paraId="7FCBDD57">
        <w:tblPrEx>
          <w:tblCellMar>
            <w:top w:w="0" w:type="dxa"/>
            <w:left w:w="108" w:type="dxa"/>
            <w:bottom w:w="0" w:type="dxa"/>
            <w:right w:w="108" w:type="dxa"/>
          </w:tblCellMar>
        </w:tblPrEx>
        <w:trPr>
          <w:trHeight w:val="645" w:hRule="atLeast"/>
        </w:trPr>
        <w:tc>
          <w:tcPr>
            <w:tcW w:w="4139" w:type="dxa"/>
            <w:tcBorders>
              <w:top w:val="nil"/>
              <w:left w:val="single" w:color="auto" w:sz="4" w:space="0"/>
              <w:bottom w:val="single" w:color="auto" w:sz="4" w:space="0"/>
              <w:right w:val="single" w:color="auto" w:sz="4" w:space="0"/>
            </w:tcBorders>
            <w:vAlign w:val="center"/>
          </w:tcPr>
          <w:p w14:paraId="588AB6CA">
            <w:pPr>
              <w:widowControl/>
              <w:jc w:val="left"/>
              <w:rPr>
                <w:rFonts w:ascii="仿宋" w:hAnsi="仿宋" w:eastAsia="仿宋" w:cs="Times New Roman"/>
                <w:kern w:val="0"/>
                <w:sz w:val="22"/>
              </w:rPr>
            </w:pPr>
            <w:r>
              <w:rPr>
                <w:rFonts w:ascii="仿宋" w:hAnsi="仿宋" w:eastAsia="仿宋" w:cs="宋体"/>
                <w:kern w:val="0"/>
                <w:sz w:val="22"/>
                <w:szCs w:val="22"/>
              </w:rPr>
              <w:t>3</w:t>
            </w:r>
            <w:r>
              <w:rPr>
                <w:rFonts w:hint="eastAsia" w:ascii="仿宋" w:hAnsi="仿宋" w:eastAsia="仿宋" w:cs="宋体"/>
                <w:kern w:val="0"/>
                <w:sz w:val="22"/>
                <w:szCs w:val="22"/>
              </w:rPr>
              <w:t>、单价在</w:t>
            </w:r>
            <w:r>
              <w:rPr>
                <w:rFonts w:ascii="仿宋" w:hAnsi="仿宋" w:eastAsia="仿宋" w:cs="宋体"/>
                <w:kern w:val="0"/>
                <w:sz w:val="22"/>
                <w:szCs w:val="22"/>
              </w:rPr>
              <w:t>50</w:t>
            </w:r>
            <w:r>
              <w:rPr>
                <w:rFonts w:hint="eastAsia" w:ascii="仿宋" w:hAnsi="仿宋" w:eastAsia="仿宋" w:cs="宋体"/>
                <w:kern w:val="0"/>
                <w:sz w:val="22"/>
                <w:szCs w:val="22"/>
              </w:rPr>
              <w:t>万元以上的设备</w:t>
            </w:r>
          </w:p>
        </w:tc>
        <w:tc>
          <w:tcPr>
            <w:tcW w:w="1320" w:type="dxa"/>
            <w:tcBorders>
              <w:top w:val="nil"/>
              <w:left w:val="nil"/>
              <w:bottom w:val="single" w:color="auto" w:sz="4" w:space="0"/>
              <w:right w:val="single" w:color="auto" w:sz="4" w:space="0"/>
            </w:tcBorders>
            <w:vAlign w:val="center"/>
          </w:tcPr>
          <w:p w14:paraId="38CDF3F1">
            <w:pPr>
              <w:widowControl/>
              <w:jc w:val="center"/>
              <w:rPr>
                <w:rFonts w:ascii="仿宋" w:hAnsi="仿宋" w:eastAsia="仿宋" w:cs="Times New Roman"/>
                <w:kern w:val="0"/>
                <w:sz w:val="22"/>
              </w:rPr>
            </w:pPr>
          </w:p>
        </w:tc>
        <w:tc>
          <w:tcPr>
            <w:tcW w:w="3601" w:type="dxa"/>
            <w:tcBorders>
              <w:top w:val="nil"/>
              <w:left w:val="nil"/>
              <w:bottom w:val="single" w:color="auto" w:sz="4" w:space="0"/>
              <w:right w:val="single" w:color="auto" w:sz="4" w:space="0"/>
            </w:tcBorders>
            <w:vAlign w:val="center"/>
          </w:tcPr>
          <w:p w14:paraId="07E4EE0F">
            <w:pPr>
              <w:widowControl/>
              <w:jc w:val="center"/>
              <w:rPr>
                <w:rFonts w:ascii="仿宋" w:hAnsi="仿宋" w:eastAsia="仿宋" w:cs="Times New Roman"/>
                <w:kern w:val="0"/>
                <w:sz w:val="22"/>
              </w:rPr>
            </w:pPr>
          </w:p>
        </w:tc>
      </w:tr>
      <w:tr w14:paraId="6BB52A22">
        <w:tblPrEx>
          <w:tblCellMar>
            <w:top w:w="0" w:type="dxa"/>
            <w:left w:w="108" w:type="dxa"/>
            <w:bottom w:w="0" w:type="dxa"/>
            <w:right w:w="108" w:type="dxa"/>
          </w:tblCellMar>
        </w:tblPrEx>
        <w:trPr>
          <w:trHeight w:val="645" w:hRule="atLeast"/>
        </w:trPr>
        <w:tc>
          <w:tcPr>
            <w:tcW w:w="4139" w:type="dxa"/>
            <w:tcBorders>
              <w:top w:val="nil"/>
              <w:left w:val="single" w:color="auto" w:sz="4" w:space="0"/>
              <w:bottom w:val="single" w:color="auto" w:sz="4" w:space="0"/>
              <w:right w:val="single" w:color="auto" w:sz="4" w:space="0"/>
            </w:tcBorders>
            <w:vAlign w:val="center"/>
          </w:tcPr>
          <w:p w14:paraId="42656FF0">
            <w:pPr>
              <w:widowControl/>
              <w:jc w:val="left"/>
              <w:rPr>
                <w:rFonts w:ascii="仿宋" w:hAnsi="仿宋" w:eastAsia="仿宋" w:cs="Times New Roman"/>
                <w:kern w:val="0"/>
                <w:sz w:val="22"/>
              </w:rPr>
            </w:pPr>
            <w:r>
              <w:rPr>
                <w:rFonts w:ascii="仿宋" w:hAnsi="仿宋" w:eastAsia="仿宋" w:cs="宋体"/>
                <w:kern w:val="0"/>
                <w:sz w:val="22"/>
                <w:szCs w:val="22"/>
              </w:rPr>
              <w:t>4</w:t>
            </w:r>
            <w:r>
              <w:rPr>
                <w:rFonts w:hint="eastAsia" w:ascii="仿宋" w:hAnsi="仿宋" w:eastAsia="仿宋" w:cs="宋体"/>
                <w:kern w:val="0"/>
                <w:sz w:val="22"/>
                <w:szCs w:val="22"/>
              </w:rPr>
              <w:t>、其他固定资产</w:t>
            </w:r>
          </w:p>
        </w:tc>
        <w:tc>
          <w:tcPr>
            <w:tcW w:w="1320" w:type="dxa"/>
            <w:tcBorders>
              <w:top w:val="nil"/>
              <w:left w:val="nil"/>
              <w:bottom w:val="single" w:color="auto" w:sz="4" w:space="0"/>
              <w:right w:val="single" w:color="auto" w:sz="4" w:space="0"/>
            </w:tcBorders>
            <w:vAlign w:val="center"/>
          </w:tcPr>
          <w:p w14:paraId="1D25B383">
            <w:pPr>
              <w:widowControl/>
              <w:jc w:val="center"/>
              <w:rPr>
                <w:rFonts w:ascii="仿宋" w:hAnsi="仿宋" w:eastAsia="仿宋" w:cs="Times New Roman"/>
                <w:kern w:val="0"/>
                <w:sz w:val="22"/>
              </w:rPr>
            </w:pPr>
          </w:p>
        </w:tc>
        <w:tc>
          <w:tcPr>
            <w:tcW w:w="3601" w:type="dxa"/>
            <w:tcBorders>
              <w:top w:val="nil"/>
              <w:left w:val="nil"/>
              <w:bottom w:val="single" w:color="auto" w:sz="4" w:space="0"/>
              <w:right w:val="single" w:color="auto" w:sz="4" w:space="0"/>
            </w:tcBorders>
            <w:vAlign w:val="center"/>
          </w:tcPr>
          <w:p w14:paraId="7F59B675">
            <w:pPr>
              <w:widowControl/>
              <w:jc w:val="center"/>
              <w:rPr>
                <w:rFonts w:ascii="仿宋" w:hAnsi="仿宋" w:eastAsia="仿宋" w:cs="Times New Roman"/>
                <w:kern w:val="0"/>
                <w:sz w:val="22"/>
              </w:rPr>
            </w:pPr>
            <w:r>
              <w:rPr>
                <w:rFonts w:hint="eastAsia" w:ascii="仿宋" w:hAnsi="仿宋" w:eastAsia="仿宋" w:cs="Times New Roman"/>
                <w:kern w:val="0"/>
                <w:sz w:val="22"/>
              </w:rPr>
              <w:t>22</w:t>
            </w:r>
          </w:p>
        </w:tc>
      </w:tr>
    </w:tbl>
    <w:p w14:paraId="3212DFFD">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黑体"/>
          <w:sz w:val="32"/>
          <w:szCs w:val="32"/>
        </w:rPr>
        <w:t>八、名词解释</w:t>
      </w:r>
    </w:p>
    <w:p w14:paraId="741CF89C">
      <w:pPr>
        <w:widowControl/>
        <w:spacing w:line="360" w:lineRule="auto"/>
        <w:jc w:val="left"/>
        <w:rPr>
          <w:rFonts w:ascii="仿宋" w:hAnsi="仿宋" w:eastAsia="仿宋" w:cs="仿宋"/>
          <w:kern w:val="0"/>
          <w:sz w:val="32"/>
          <w:szCs w:val="32"/>
        </w:rPr>
      </w:pPr>
      <w:r>
        <w:rPr>
          <w:rFonts w:hint="eastAsia" w:ascii="仿宋" w:hAnsi="宋体" w:eastAsia="仿宋" w:cs="宋体"/>
          <w:kern w:val="0"/>
          <w:sz w:val="32"/>
          <w:szCs w:val="32"/>
        </w:rPr>
        <w:t xml:space="preserve">   </w:t>
      </w:r>
      <w:r>
        <w:rPr>
          <w:rFonts w:hint="eastAsia" w:ascii="楷体" w:hAnsi="楷体" w:eastAsia="楷体" w:cs="仿宋"/>
          <w:bCs/>
          <w:kern w:val="0"/>
          <w:sz w:val="32"/>
          <w:szCs w:val="32"/>
        </w:rPr>
        <w:t>1、财政拨款收入：</w:t>
      </w:r>
      <w:r>
        <w:rPr>
          <w:rFonts w:hint="eastAsia" w:ascii="仿宋" w:hAnsi="仿宋" w:eastAsia="仿宋" w:cs="仿宋"/>
          <w:bCs/>
          <w:kern w:val="0"/>
          <w:sz w:val="32"/>
          <w:szCs w:val="32"/>
        </w:rPr>
        <w:t>指</w:t>
      </w:r>
      <w:r>
        <w:rPr>
          <w:rFonts w:hint="eastAsia" w:ascii="仿宋" w:hAnsi="仿宋" w:eastAsia="仿宋" w:cs="仿宋"/>
          <w:kern w:val="0"/>
          <w:sz w:val="32"/>
          <w:szCs w:val="32"/>
        </w:rPr>
        <w:t>财政当年拨付的资金。</w:t>
      </w:r>
    </w:p>
    <w:p w14:paraId="4FD5DEC1">
      <w:pPr>
        <w:widowControl/>
        <w:spacing w:line="360" w:lineRule="auto"/>
        <w:ind w:firstLine="640" w:firstLineChars="200"/>
        <w:jc w:val="left"/>
        <w:rPr>
          <w:rFonts w:ascii="仿宋" w:hAnsi="仿宋" w:eastAsia="仿宋" w:cs="微软雅黑"/>
          <w:kern w:val="0"/>
          <w:sz w:val="24"/>
          <w:szCs w:val="24"/>
        </w:rPr>
      </w:pPr>
      <w:r>
        <w:rPr>
          <w:rFonts w:hint="eastAsia" w:ascii="楷体" w:hAnsi="楷体" w:eastAsia="楷体" w:cs="仿宋"/>
          <w:kern w:val="0"/>
          <w:sz w:val="32"/>
          <w:szCs w:val="32"/>
        </w:rPr>
        <w:t>2、“三公”经费：</w:t>
      </w:r>
      <w:r>
        <w:rPr>
          <w:rFonts w:hint="eastAsia" w:ascii="仿宋" w:hAnsi="仿宋" w:eastAsia="仿宋" w:cs="仿宋"/>
          <w:kern w:val="0"/>
          <w:sz w:val="32"/>
          <w:szCs w:val="32"/>
        </w:rPr>
        <w:t>包括因公出国（境）费、公务接待费和公务用车购置及运行费。因公出国（境）费，指单位工作人员公务出国（境）的住宿费、差旅费、伙食补助费、杂费、培训费等支出。公务接待费，指单位按规定开支的各类公务接待（含外宾接待）支出。公务用车购置及运行费，指单位公务用车购置费及租用费、燃料费、维修费、等支出，公务用车指用于履行公务的机动车辆，包括领导干部专车、一般公务用车和执法执勤等业务用车。</w:t>
      </w:r>
      <w:r>
        <w:rPr>
          <w:rFonts w:hint="eastAsia" w:ascii="仿宋" w:hAnsi="仿宋" w:eastAsia="仿宋" w:cs="微软雅黑"/>
          <w:kern w:val="0"/>
          <w:sz w:val="24"/>
          <w:szCs w:val="24"/>
        </w:rPr>
        <w:t xml:space="preserve"> </w:t>
      </w:r>
    </w:p>
    <w:p w14:paraId="15D8D03F">
      <w:pPr>
        <w:widowControl/>
        <w:spacing w:line="360" w:lineRule="auto"/>
        <w:ind w:firstLine="640" w:firstLineChars="200"/>
        <w:jc w:val="left"/>
        <w:rPr>
          <w:rFonts w:ascii="仿宋" w:hAnsi="宋体" w:eastAsia="仿宋" w:cs="宋体"/>
          <w:kern w:val="0"/>
          <w:sz w:val="32"/>
          <w:szCs w:val="32"/>
        </w:rPr>
      </w:pPr>
      <w:r>
        <w:rPr>
          <w:rFonts w:hint="eastAsia" w:ascii="楷体" w:hAnsi="楷体" w:eastAsia="楷体" w:cs="微软雅黑"/>
          <w:kern w:val="0"/>
          <w:sz w:val="32"/>
          <w:szCs w:val="32"/>
        </w:rPr>
        <w:t>3</w:t>
      </w:r>
      <w:r>
        <w:rPr>
          <w:rFonts w:hint="eastAsia" w:ascii="楷体" w:hAnsi="楷体" w:eastAsia="楷体" w:cs="仿宋"/>
          <w:kern w:val="0"/>
          <w:sz w:val="32"/>
          <w:szCs w:val="32"/>
        </w:rPr>
        <w:t>、年初结转和结余：</w:t>
      </w:r>
      <w:r>
        <w:rPr>
          <w:rFonts w:hint="eastAsia" w:ascii="仿宋" w:hAnsi="仿宋" w:eastAsia="仿宋" w:cs="仿宋"/>
          <w:kern w:val="0"/>
          <w:sz w:val="32"/>
          <w:szCs w:val="32"/>
        </w:rPr>
        <w:t>指以前年度尚未完成，结转到本年仍按照原规定用途继续使用的资金，或项目已完成等产生的结余资金。</w:t>
      </w:r>
      <w:r>
        <w:rPr>
          <w:rFonts w:hint="eastAsia" w:ascii="仿宋" w:hAnsi="仿宋" w:eastAsia="仿宋" w:cs="微软雅黑"/>
          <w:kern w:val="0"/>
          <w:sz w:val="24"/>
          <w:szCs w:val="24"/>
        </w:rPr>
        <w:t xml:space="preserve"> </w:t>
      </w:r>
      <w:r>
        <w:rPr>
          <w:rFonts w:hint="eastAsia" w:ascii="仿宋" w:hAnsi="宋体" w:eastAsia="仿宋" w:cs="宋体"/>
          <w:kern w:val="0"/>
          <w:sz w:val="32"/>
          <w:szCs w:val="32"/>
        </w:rPr>
        <w:t> </w:t>
      </w:r>
    </w:p>
    <w:p w14:paraId="1F41DDE3">
      <w:pPr>
        <w:widowControl/>
        <w:spacing w:line="360" w:lineRule="auto"/>
        <w:ind w:firstLine="640" w:firstLineChars="200"/>
        <w:jc w:val="left"/>
        <w:rPr>
          <w:rFonts w:ascii="仿宋" w:hAnsi="宋体" w:eastAsia="仿宋" w:cs="宋体"/>
          <w:kern w:val="0"/>
          <w:sz w:val="32"/>
          <w:szCs w:val="32"/>
        </w:rPr>
      </w:pPr>
      <w:r>
        <w:rPr>
          <w:rFonts w:hint="eastAsia" w:ascii="楷体" w:hAnsi="楷体" w:eastAsia="楷体" w:cs="仿宋"/>
          <w:kern w:val="0"/>
          <w:sz w:val="32"/>
          <w:szCs w:val="32"/>
        </w:rPr>
        <w:t>4、基本支出：</w:t>
      </w:r>
      <w:r>
        <w:rPr>
          <w:rFonts w:hint="eastAsia" w:ascii="仿宋" w:hAnsi="仿宋" w:eastAsia="仿宋" w:cs="仿宋"/>
          <w:kern w:val="0"/>
          <w:sz w:val="32"/>
          <w:szCs w:val="32"/>
        </w:rPr>
        <w:t>指单位为了保障其正常运转、完成日常工作任务而发生的人员支出和公用支出。</w:t>
      </w:r>
      <w:r>
        <w:rPr>
          <w:rFonts w:hint="eastAsia" w:ascii="仿宋" w:hAnsi="仿宋" w:eastAsia="仿宋" w:cs="微软雅黑"/>
          <w:kern w:val="0"/>
          <w:sz w:val="24"/>
          <w:szCs w:val="24"/>
        </w:rPr>
        <w:t xml:space="preserve"> </w:t>
      </w:r>
      <w:r>
        <w:rPr>
          <w:rFonts w:hint="eastAsia" w:ascii="仿宋" w:hAnsi="宋体" w:eastAsia="仿宋" w:cs="宋体"/>
          <w:kern w:val="0"/>
          <w:sz w:val="32"/>
          <w:szCs w:val="32"/>
        </w:rPr>
        <w:t> </w:t>
      </w:r>
    </w:p>
    <w:p w14:paraId="23D290CD">
      <w:pPr>
        <w:widowControl/>
        <w:spacing w:line="360" w:lineRule="auto"/>
        <w:ind w:firstLine="640" w:firstLineChars="200"/>
        <w:jc w:val="left"/>
        <w:rPr>
          <w:rFonts w:ascii="仿宋" w:hAnsi="仿宋" w:eastAsia="仿宋" w:cs="仿宋"/>
          <w:kern w:val="0"/>
          <w:sz w:val="32"/>
          <w:szCs w:val="32"/>
        </w:rPr>
      </w:pPr>
      <w:r>
        <w:rPr>
          <w:rFonts w:hint="eastAsia" w:ascii="楷体" w:hAnsi="楷体" w:eastAsia="楷体" w:cs="仿宋"/>
          <w:kern w:val="0"/>
          <w:sz w:val="32"/>
          <w:szCs w:val="32"/>
        </w:rPr>
        <w:t>5、项目支出：</w:t>
      </w:r>
      <w:r>
        <w:rPr>
          <w:rFonts w:hint="eastAsia" w:ascii="仿宋" w:hAnsi="仿宋" w:eastAsia="仿宋" w:cs="仿宋"/>
          <w:kern w:val="0"/>
          <w:sz w:val="32"/>
          <w:szCs w:val="32"/>
        </w:rPr>
        <w:t>指单位为了特定的工作任务和事业发展目标，在基本支出之外所发生的支出。</w:t>
      </w:r>
    </w:p>
    <w:p w14:paraId="21322582">
      <w:pPr>
        <w:tabs>
          <w:tab w:val="left" w:pos="11490"/>
        </w:tabs>
        <w:ind w:firstLine="640" w:firstLineChars="200"/>
        <w:rPr>
          <w:rFonts w:ascii="黑体" w:hAnsi="黑体" w:eastAsia="黑体" w:cs="Times New Roman"/>
          <w:sz w:val="32"/>
          <w:szCs w:val="32"/>
        </w:rPr>
      </w:pPr>
      <w:r>
        <w:rPr>
          <w:rFonts w:hint="eastAsia" w:ascii="黑体" w:hAnsi="黑体" w:eastAsia="黑体" w:cs="黑体"/>
          <w:sz w:val="32"/>
          <w:szCs w:val="32"/>
        </w:rPr>
        <w:t>九、其它需要说明的事项</w:t>
      </w:r>
    </w:p>
    <w:p w14:paraId="43AA5B01">
      <w:pPr>
        <w:tabs>
          <w:tab w:val="left" w:pos="11490"/>
        </w:tabs>
        <w:ind w:firstLine="640" w:firstLineChars="200"/>
        <w:rPr>
          <w:rFonts w:ascii="仿宋" w:hAnsi="仿宋" w:eastAsia="仿宋" w:cs="Times New Roman"/>
          <w:sz w:val="32"/>
          <w:szCs w:val="32"/>
        </w:rPr>
      </w:pPr>
      <w:r>
        <w:rPr>
          <w:rFonts w:hint="eastAsia" w:ascii="仿宋" w:hAnsi="仿宋" w:eastAsia="仿宋" w:cs="方正仿宋_GBK"/>
          <w:bCs/>
          <w:sz w:val="32"/>
          <w:szCs w:val="32"/>
        </w:rPr>
        <w:t>无其它需要说明的事项。</w:t>
      </w:r>
    </w:p>
    <w:p w14:paraId="75ABF290">
      <w:pPr>
        <w:spacing w:line="560" w:lineRule="exact"/>
        <w:ind w:firstLine="645"/>
        <w:rPr>
          <w:rFonts w:ascii="仿宋" w:hAnsi="仿宋" w:eastAsia="仿宋" w:cs="Times New Roman"/>
          <w:sz w:val="32"/>
          <w:szCs w:val="32"/>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国标仿宋"/>
    <w:panose1 w:val="00000000000000000000"/>
    <w:charset w:val="86"/>
    <w:family w:val="auto"/>
    <w:pitch w:val="default"/>
    <w:sig w:usb0="00000000" w:usb1="00000000" w:usb2="00000010" w:usb3="00000000" w:csb0="00040000" w:csb1="00000000"/>
  </w:font>
  <w:font w:name="国标仿宋">
    <w:panose1 w:val="02000500000000000000"/>
    <w:charset w:val="86"/>
    <w:family w:val="auto"/>
    <w:pitch w:val="default"/>
    <w:sig w:usb0="A00002BF" w:usb1="38C77CFA" w:usb2="00000016" w:usb3="00000000" w:csb0="00060007"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B94EF">
    <w:pPr>
      <w:pStyle w:val="2"/>
      <w:jc w:val="center"/>
      <w:rPr>
        <w:rFonts w:ascii="仿宋" w:hAnsi="仿宋" w:eastAsia="仿宋" w:cs="Times New Roman"/>
        <w:sz w:val="24"/>
        <w:szCs w:val="24"/>
      </w:rPr>
    </w:pPr>
    <w:r>
      <w:rPr>
        <w:rFonts w:ascii="仿宋" w:hAnsi="仿宋" w:eastAsia="仿宋" w:cs="仿宋"/>
        <w:sz w:val="24"/>
        <w:szCs w:val="24"/>
      </w:rPr>
      <w:fldChar w:fldCharType="begin"/>
    </w:r>
    <w:r>
      <w:rPr>
        <w:rFonts w:ascii="仿宋" w:hAnsi="仿宋" w:eastAsia="仿宋" w:cs="仿宋"/>
        <w:sz w:val="24"/>
        <w:szCs w:val="24"/>
      </w:rPr>
      <w:instrText xml:space="preserve">PAGE   \* MERGEFORMAT</w:instrText>
    </w:r>
    <w:r>
      <w:rPr>
        <w:rFonts w:ascii="仿宋" w:hAnsi="仿宋" w:eastAsia="仿宋" w:cs="仿宋"/>
        <w:sz w:val="24"/>
        <w:szCs w:val="24"/>
      </w:rPr>
      <w:fldChar w:fldCharType="separate"/>
    </w:r>
    <w:r>
      <w:rPr>
        <w:rFonts w:ascii="仿宋" w:hAnsi="仿宋" w:eastAsia="仿宋" w:cs="仿宋"/>
        <w:sz w:val="24"/>
        <w:szCs w:val="24"/>
        <w:lang w:val="zh-CN"/>
      </w:rPr>
      <w:t>4</w:t>
    </w:r>
    <w:r>
      <w:rPr>
        <w:rFonts w:ascii="仿宋" w:hAnsi="仿宋" w:eastAsia="仿宋" w:cs="仿宋"/>
        <w:sz w:val="24"/>
        <w:szCs w:val="24"/>
      </w:rPr>
      <w:fldChar w:fldCharType="end"/>
    </w:r>
  </w:p>
  <w:p w14:paraId="2907A446">
    <w:pPr>
      <w:pStyle w:val="2"/>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AAA"/>
    <w:rsid w:val="00014B38"/>
    <w:rsid w:val="00035DA5"/>
    <w:rsid w:val="000A6C9A"/>
    <w:rsid w:val="000A796E"/>
    <w:rsid w:val="000D6878"/>
    <w:rsid w:val="000F4FE7"/>
    <w:rsid w:val="00101C7A"/>
    <w:rsid w:val="00110415"/>
    <w:rsid w:val="00131928"/>
    <w:rsid w:val="0019610F"/>
    <w:rsid w:val="001A3CB4"/>
    <w:rsid w:val="001E0232"/>
    <w:rsid w:val="00206B22"/>
    <w:rsid w:val="002307B5"/>
    <w:rsid w:val="002C0317"/>
    <w:rsid w:val="00325594"/>
    <w:rsid w:val="0037750D"/>
    <w:rsid w:val="00397669"/>
    <w:rsid w:val="003C4C5D"/>
    <w:rsid w:val="003D1126"/>
    <w:rsid w:val="003D1369"/>
    <w:rsid w:val="003D22B1"/>
    <w:rsid w:val="00453A06"/>
    <w:rsid w:val="004A2B9B"/>
    <w:rsid w:val="00524AAA"/>
    <w:rsid w:val="005412A2"/>
    <w:rsid w:val="005730D6"/>
    <w:rsid w:val="005F4345"/>
    <w:rsid w:val="0068144F"/>
    <w:rsid w:val="00691716"/>
    <w:rsid w:val="00701932"/>
    <w:rsid w:val="00747D9E"/>
    <w:rsid w:val="007775CB"/>
    <w:rsid w:val="007B4EB3"/>
    <w:rsid w:val="007C484E"/>
    <w:rsid w:val="007F0D2E"/>
    <w:rsid w:val="00825F97"/>
    <w:rsid w:val="00830A3E"/>
    <w:rsid w:val="008327A0"/>
    <w:rsid w:val="0083463A"/>
    <w:rsid w:val="00933068"/>
    <w:rsid w:val="00973104"/>
    <w:rsid w:val="00990CB9"/>
    <w:rsid w:val="009B2D48"/>
    <w:rsid w:val="009C264C"/>
    <w:rsid w:val="009F0612"/>
    <w:rsid w:val="00A12AE7"/>
    <w:rsid w:val="00A15ADE"/>
    <w:rsid w:val="00A6455D"/>
    <w:rsid w:val="00A95F51"/>
    <w:rsid w:val="00AC6968"/>
    <w:rsid w:val="00B13EFE"/>
    <w:rsid w:val="00B50088"/>
    <w:rsid w:val="00B500A4"/>
    <w:rsid w:val="00BA40C6"/>
    <w:rsid w:val="00BA6B82"/>
    <w:rsid w:val="00C4250E"/>
    <w:rsid w:val="00CD0F72"/>
    <w:rsid w:val="00D27A25"/>
    <w:rsid w:val="00D312BA"/>
    <w:rsid w:val="00D73351"/>
    <w:rsid w:val="00E000C9"/>
    <w:rsid w:val="00E23D74"/>
    <w:rsid w:val="00E24B37"/>
    <w:rsid w:val="00E474B2"/>
    <w:rsid w:val="00E87B0C"/>
    <w:rsid w:val="00E91C36"/>
    <w:rsid w:val="00EB4F3B"/>
    <w:rsid w:val="00F13EA8"/>
    <w:rsid w:val="00F14752"/>
    <w:rsid w:val="00F311AF"/>
    <w:rsid w:val="00F66032"/>
    <w:rsid w:val="00FB5029"/>
    <w:rsid w:val="00FB5EA2"/>
    <w:rsid w:val="09C93F36"/>
    <w:rsid w:val="12542D36"/>
    <w:rsid w:val="1994245E"/>
    <w:rsid w:val="4B8464B4"/>
    <w:rsid w:val="4BF07591"/>
    <w:rsid w:val="551A0941"/>
    <w:rsid w:val="71D613EC"/>
    <w:rsid w:val="DB9DC6A8"/>
    <w:rsid w:val="E7FFCA6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1"/>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qFormat/>
    <w:locked/>
    <w:uiPriority w:val="99"/>
    <w:rPr>
      <w:rFonts w:cs="Times New Roman"/>
      <w:sz w:val="18"/>
      <w:szCs w:val="18"/>
    </w:rPr>
  </w:style>
  <w:style w:type="character" w:customStyle="1" w:styleId="7">
    <w:name w:val="页脚 Char"/>
    <w:link w:val="2"/>
    <w:qFormat/>
    <w:locked/>
    <w:uiPriority w:val="99"/>
    <w:rPr>
      <w:rFonts w:cs="Times New Roman"/>
      <w:sz w:val="18"/>
      <w:szCs w:val="18"/>
    </w:rPr>
  </w:style>
  <w:style w:type="paragraph" w:customStyle="1" w:styleId="8">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11</Pages>
  <Words>572</Words>
  <Characters>3261</Characters>
  <Lines>27</Lines>
  <Paragraphs>7</Paragraphs>
  <TotalTime>13</TotalTime>
  <ScaleCrop>false</ScaleCrop>
  <LinksUpToDate>false</LinksUpToDate>
  <CharactersWithSpaces>3826</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2017-11-11T01:22:00Z</dcterms:created>
  <dc:creator>旭东</dc:creator>
  <cp:lastModifiedBy>user</cp:lastModifiedBy>
  <dcterms:modified xsi:type="dcterms:W3CDTF">2025-10-30T10:44:41Z</dcterms:modified>
  <dc:title>2017年部门预算公开督导整改要求</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372E702FED3D446395074883DD79FE7D</vt:lpwstr>
  </property>
</Properties>
</file>