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成安县国土资源局2018年部门预算公开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情况说明</w:t>
      </w:r>
    </w:p>
    <w:p>
      <w:pPr>
        <w:jc w:val="center"/>
        <w:rPr>
          <w:rFonts w:ascii="宋体" w:hAnsi="宋体" w:eastAsia="宋体"/>
        </w:rPr>
      </w:pPr>
    </w:p>
    <w:p>
      <w:pPr>
        <w:widowControl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按照《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中华人民共和国</w:t>
      </w:r>
      <w:bookmarkStart w:id="1" w:name="_GoBack"/>
      <w:bookmarkEnd w:id="1"/>
      <w:r>
        <w:rPr>
          <w:rFonts w:hint="eastAsia" w:ascii="仿宋_GB2312" w:hAnsi="Calibri" w:eastAsia="仿宋_GB2312" w:cs="仿宋_GB2312"/>
          <w:sz w:val="32"/>
          <w:szCs w:val="32"/>
        </w:rPr>
        <w:t>预算法》有关规定和</w:t>
      </w:r>
      <w:r>
        <w:rPr>
          <w:rFonts w:hint="eastAsia" w:ascii="仿宋_GB2312" w:hAnsi="宋体" w:eastAsia="仿宋_GB2312" w:cs="楷体_GB2312"/>
          <w:sz w:val="32"/>
          <w:szCs w:val="32"/>
        </w:rPr>
        <w:t>财政部关于印发《地方预决算公开操作规程》的通知，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现将国土局2018年部门预算公开如下：</w:t>
      </w:r>
    </w:p>
    <w:p>
      <w:pPr>
        <w:widowControl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一、</w:t>
      </w:r>
      <w:r>
        <w:rPr>
          <w:rFonts w:hint="eastAsia" w:ascii="黑体" w:hAnsi="黑体" w:eastAsia="黑体" w:cs="Calibri"/>
          <w:kern w:val="0"/>
          <w:sz w:val="32"/>
          <w:szCs w:val="32"/>
        </w:rPr>
        <w:t>部门职责及机构设置情况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部门职责：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贯彻实施国家有关法律、法规，拟定国土资源和测绘方面的地方管理办法，负责有关复议和信访工作，执行国家和省国土资源的技术标准、规程、规范和办法，组织编绘工作规划。搞好本单位人员培训，加强队伍建设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（二）组织编制和实施全县国土资源规划，土地利用总体规划和其他专项规划，指导、审核各乡（镇）土地利用总体规划，并负责上报审查批准实施。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（三）依法保护国土资源所有者和使用者的合法权益，承办并组织调处国土资源权属纠纷，查处有关各类违法案件，监督检查国土资源法律法规的执行情况。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（四）实施农地用途管制，切实保护基本农田，并负责指导和实施全县未利用土地的开发、土地整理、土地复垦和开发耕地的监督工作，确保耕地总量的动态平衡或只增不减。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（五）负责全县城乡、地籍管理工作，组织土地资源调查，地籍调查，土地统计和动态监测，负责土地确权，土地纠纷调处及土地登记发证工作。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（六）承担全县各类用地的审查报批工作 。组织开展土地资源等自然资源的对外工作与交流。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（七）按规定组织实施土地使用权、出让、转让、出租、抵押和政府收购工作 ，指导农村集体非农土地使用权流转管理。组织基准地价，标定地价评测，确认土地使用权价格。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（八）依法征收有关专项收费并负责专项管理，负责机关及有所属事业单位年度经费预算建设计划的编审，安排上级拨给的专项经费，并负责监督管理使用。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（九）贯彻执行国家《测绘法》等法律法规，对本行政区域内的测绘规划及其实施情况依法进行监督检查，负责全县测绘单位资格审查和任务登记等业务，依法查处违反国家测绘法律法规的违法行为。</w:t>
      </w:r>
    </w:p>
    <w:p>
      <w:pPr>
        <w:ind w:firstLine="720"/>
        <w:outlineLvl w:val="0"/>
        <w:rPr>
          <w:rFonts w:ascii="仿宋_GB2312" w:hAnsi="Calibri" w:eastAsia="仿宋_GB2312" w:cs="Calibri"/>
          <w:b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内设机构及职责</w:t>
      </w:r>
    </w:p>
    <w:p>
      <w:pPr>
        <w:ind w:firstLine="720"/>
        <w:jc w:val="center"/>
        <w:outlineLvl w:val="0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部门机构设置情况</w:t>
      </w:r>
    </w:p>
    <w:tbl>
      <w:tblPr>
        <w:tblStyle w:val="6"/>
        <w:tblW w:w="86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成安县国土资源局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行政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正科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财政拨款</w:t>
            </w:r>
          </w:p>
        </w:tc>
      </w:tr>
    </w:tbl>
    <w:p>
      <w:pPr>
        <w:tabs>
          <w:tab w:val="left" w:pos="7125"/>
        </w:tabs>
        <w:ind w:firstLine="627" w:firstLineChars="196"/>
        <w:rPr>
          <w:rFonts w:ascii="仿宋_GB2312" w:hAnsi="仿宋" w:eastAsia="仿宋_GB2312" w:cs="仿宋"/>
          <w:bCs/>
          <w:kern w:val="0"/>
          <w:sz w:val="32"/>
          <w:szCs w:val="32"/>
        </w:rPr>
      </w:pPr>
    </w:p>
    <w:p>
      <w:pPr>
        <w:tabs>
          <w:tab w:val="left" w:pos="7125"/>
        </w:tabs>
        <w:ind w:firstLine="627" w:firstLineChars="196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成安县国土资源局局，预算编码是324，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机关内设办公室、土地利用股、执法监察股、地理信息股、下设16个事业单位。</w:t>
      </w:r>
    </w:p>
    <w:p>
      <w:pPr>
        <w:pStyle w:val="10"/>
        <w:widowControl/>
        <w:numPr>
          <w:ilvl w:val="0"/>
          <w:numId w:val="1"/>
        </w:numPr>
        <w:ind w:left="0" w:firstLine="640"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办公室，负责协调机关日常工作，负责机关行政管理；负责国土资源法律法规的宣传工作；负责机关来文收发、传递、保密和机关文件起草印发工作和重要会议组织工作等；</w:t>
      </w:r>
    </w:p>
    <w:p>
      <w:pPr>
        <w:pStyle w:val="10"/>
        <w:widowControl/>
        <w:numPr>
          <w:ilvl w:val="0"/>
          <w:numId w:val="1"/>
        </w:numPr>
        <w:ind w:left="0" w:firstLine="640"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土地利用股，负责全县各类建设用地的管理；指导规范地产市场；负责国有土地使用权划拨、出让、转让、租赁、作价出资、收回工作等；</w:t>
      </w:r>
    </w:p>
    <w:p>
      <w:pPr>
        <w:pStyle w:val="10"/>
        <w:widowControl/>
        <w:numPr>
          <w:ilvl w:val="0"/>
          <w:numId w:val="1"/>
        </w:numPr>
        <w:ind w:left="0" w:firstLine="640"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执法监察股，负责组织重大处罚事项的听证工作，负责组织办理行政复议，应诉工作，负责土地卫片执法检查，负责土地信访工作等；</w:t>
      </w:r>
    </w:p>
    <w:p>
      <w:pPr>
        <w:pStyle w:val="10"/>
        <w:widowControl/>
        <w:numPr>
          <w:ilvl w:val="0"/>
          <w:numId w:val="1"/>
        </w:numPr>
        <w:ind w:left="0" w:firstLine="640"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地理信息股，负责测绘地理信息项目备案登记、测绘作业证审核管理等；</w:t>
      </w:r>
    </w:p>
    <w:p>
      <w:pPr>
        <w:widowControl/>
        <w:ind w:firstLine="643" w:firstLineChars="200"/>
        <w:jc w:val="left"/>
        <w:rPr>
          <w:rFonts w:ascii="仿宋_GB2312" w:hAnsi="Calibri" w:eastAsia="仿宋_GB2312" w:cs="Calibri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人员编制和领导职数</w:t>
      </w:r>
    </w:p>
    <w:p>
      <w:pPr>
        <w:widowControl/>
        <w:ind w:firstLine="640" w:firstLineChars="200"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成安县国土资源局，人员编制95名，其中领导职数9个。</w:t>
      </w:r>
    </w:p>
    <w:p>
      <w:pPr>
        <w:widowControl/>
        <w:ind w:firstLine="627" w:firstLineChars="196"/>
        <w:jc w:val="left"/>
        <w:rPr>
          <w:rFonts w:ascii="黑体" w:hAnsi="黑体" w:eastAsia="黑体" w:cs="仿宋_GB2312"/>
          <w:bCs/>
          <w:kern w:val="0"/>
          <w:sz w:val="32"/>
          <w:szCs w:val="32"/>
        </w:rPr>
      </w:pPr>
      <w:bookmarkStart w:id="0" w:name="_Toc482002933"/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二、部门预算安排的总体情况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、收入说明</w:t>
      </w:r>
    </w:p>
    <w:p>
      <w:pPr>
        <w:ind w:firstLine="640" w:firstLineChars="20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仿宋" w:hAnsi="仿宋" w:eastAsia="仿宋" w:cs="Times New Roman"/>
          <w:sz w:val="32"/>
          <w:szCs w:val="32"/>
        </w:rPr>
        <w:t>201</w:t>
      </w:r>
      <w:r>
        <w:rPr>
          <w:rFonts w:hint="eastAsia" w:ascii="仿宋" w:hAnsi="仿宋" w:eastAsia="仿宋" w:cs="Times New Roman"/>
          <w:sz w:val="32"/>
          <w:szCs w:val="32"/>
        </w:rPr>
        <w:t>8</w:t>
      </w:r>
      <w:r>
        <w:rPr>
          <w:rFonts w:hint="eastAsia" w:ascii="仿宋" w:hAnsi="仿宋" w:eastAsia="仿宋" w:cs="方正仿宋_GBK"/>
          <w:sz w:val="32"/>
          <w:szCs w:val="32"/>
        </w:rPr>
        <w:t>年预算收入328.39万元，其中：一般公共预算收入328.39万元，政府性基金收入0万元，国有资本经营收入0万元，事业收入0万元，其他收入0万元。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、支出说明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201</w:t>
      </w:r>
      <w:r>
        <w:rPr>
          <w:rFonts w:hint="eastAsia" w:ascii="仿宋" w:hAnsi="仿宋" w:eastAsia="仿宋" w:cs="Times New Roman"/>
          <w:sz w:val="32"/>
          <w:szCs w:val="32"/>
        </w:rPr>
        <w:t>8</w:t>
      </w:r>
      <w:r>
        <w:rPr>
          <w:rFonts w:hint="eastAsia" w:ascii="仿宋" w:hAnsi="仿宋" w:eastAsia="仿宋" w:cs="方正仿宋_GBK"/>
          <w:sz w:val="32"/>
          <w:szCs w:val="32"/>
        </w:rPr>
        <w:t>年支出预算328.39万元，其中基本支出328.39万元，包括人员经费和日常公用经费。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、比上年增减变化情况</w:t>
      </w:r>
    </w:p>
    <w:p>
      <w:pPr>
        <w:widowControl/>
        <w:ind w:firstLine="627" w:firstLineChars="196"/>
        <w:jc w:val="left"/>
        <w:rPr>
          <w:rFonts w:ascii="仿宋" w:hAnsi="仿宋" w:eastAsia="仿宋" w:cs="仿宋_GB2312"/>
          <w:b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201</w:t>
      </w:r>
      <w:r>
        <w:rPr>
          <w:rFonts w:hint="eastAsia" w:ascii="仿宋" w:hAnsi="仿宋" w:eastAsia="仿宋" w:cs="Times New Roman"/>
          <w:sz w:val="32"/>
          <w:szCs w:val="32"/>
        </w:rPr>
        <w:t>8</w:t>
      </w:r>
      <w:r>
        <w:rPr>
          <w:rFonts w:hint="eastAsia" w:ascii="仿宋" w:hAnsi="仿宋" w:eastAsia="仿宋" w:cs="方正仿宋_GBK"/>
          <w:sz w:val="32"/>
          <w:szCs w:val="32"/>
        </w:rPr>
        <w:t>年预算收支安排328.39万元，较</w:t>
      </w:r>
      <w:r>
        <w:rPr>
          <w:rFonts w:ascii="仿宋" w:hAnsi="仿宋" w:eastAsia="仿宋" w:cs="Times New Roman"/>
          <w:sz w:val="32"/>
          <w:szCs w:val="32"/>
        </w:rPr>
        <w:t>201</w:t>
      </w:r>
      <w:r>
        <w:rPr>
          <w:rFonts w:hint="eastAsia" w:ascii="仿宋" w:hAnsi="仿宋" w:eastAsia="仿宋" w:cs="Times New Roman"/>
          <w:sz w:val="32"/>
          <w:szCs w:val="32"/>
        </w:rPr>
        <w:t>7</w:t>
      </w:r>
      <w:r>
        <w:rPr>
          <w:rFonts w:hint="eastAsia" w:ascii="仿宋" w:hAnsi="仿宋" w:eastAsia="仿宋" w:cs="方正仿宋_GBK"/>
          <w:sz w:val="32"/>
          <w:szCs w:val="32"/>
        </w:rPr>
        <w:t>年预算增加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24.43</w:t>
      </w:r>
      <w:r>
        <w:rPr>
          <w:rFonts w:hint="eastAsia" w:ascii="仿宋" w:hAnsi="仿宋" w:eastAsia="仿宋" w:cs="方正仿宋_GBK"/>
          <w:sz w:val="32"/>
          <w:szCs w:val="32"/>
        </w:rPr>
        <w:t>万元，其中：基本支出增加24.43万元，主要为增加工资经费支出。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三、机关运行经费安排情况</w:t>
      </w:r>
    </w:p>
    <w:p>
      <w:pPr>
        <w:widowControl/>
        <w:ind w:firstLine="640" w:firstLineChars="200"/>
        <w:jc w:val="left"/>
        <w:rPr>
          <w:rFonts w:ascii="仿宋_GB2312" w:hAnsi="Calibri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日常公用经费安排114.02万元，包括：办公费、差旅费、水费、电费、会议费、招待费、转移支付，其他支出等。</w:t>
      </w:r>
      <w:r>
        <w:rPr>
          <w:rFonts w:hint="eastAsia" w:ascii="仿宋_GB2312" w:hAnsi="Calibri" w:eastAsia="仿宋_GB2312" w:cs="Calibr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人员经费支出241.37万元，同比去年增长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30</w:t>
      </w:r>
      <w:r>
        <w:rPr>
          <w:rFonts w:hint="eastAsia" w:ascii="仿宋_GB2312" w:hAnsi="Calibri" w:eastAsia="仿宋_GB2312" w:cs="Calibr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%。增长原因是2017年机关事业单位统一调高了工资标准。其中，工资福利支出194.23万元，对个人和家庭的补助支出20.14万元。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四、财政拨款“三公”经费预算情况及增减变化原因</w:t>
      </w:r>
    </w:p>
    <w:p>
      <w:pPr>
        <w:widowControl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2018年度“三公”预算支出25.5万元，其中，因公出国（境）费0元，安排公务用车维护费25万元，（其中公务用车购置费0元，公务用车运行维护费25万元），公务接等费0.5万元，2018年“三公”经费预算减少了29%。由于2016年公车拍卖，2017年实行车补，油修费用预算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安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排减少。</w:t>
      </w:r>
    </w:p>
    <w:p>
      <w:pPr>
        <w:widowControl/>
        <w:ind w:firstLine="640" w:firstLineChars="200"/>
        <w:jc w:val="lef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五、绩效预算信息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方正仿宋_GBK"/>
          <w:bCs/>
          <w:sz w:val="32"/>
          <w:szCs w:val="32"/>
        </w:rPr>
        <w:t>总体绩效目标：</w:t>
      </w:r>
      <w:r>
        <w:rPr>
          <w:rFonts w:hint="eastAsia" w:ascii="仿宋" w:hAnsi="仿宋" w:eastAsia="仿宋"/>
          <w:sz w:val="32"/>
          <w:szCs w:val="32"/>
        </w:rPr>
        <w:t>组织实施耕地与基本农田保护工作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组织建设用地审批，开展农村集体土地确权登记发证与土地变更调查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做好土地利用工作和不动产登记。实现基本农田面积不减少，质量有提高，各行业合理用地需求得到保障，土地节约集约利用水平进一步提高，保证全县耕地占补平衡。实现土地整治补充耕地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亩以上，确保全县耕地占补平衡，完成年度建设高标准基本农田建设任务，开展土地复垦方案的审查，完成耕地保护相关制度研究。</w:t>
      </w:r>
    </w:p>
    <w:p>
      <w:pPr>
        <w:widowControl/>
        <w:ind w:firstLine="643" w:firstLineChars="200"/>
        <w:jc w:val="left"/>
        <w:rPr>
          <w:rFonts w:ascii="仿宋" w:hAnsi="仿宋" w:eastAsia="仿宋" w:cs="仿宋_GB2312"/>
          <w:b/>
          <w:bCs/>
          <w:kern w:val="0"/>
          <w:sz w:val="32"/>
          <w:szCs w:val="32"/>
        </w:rPr>
      </w:pPr>
      <w:r>
        <w:rPr>
          <w:rFonts w:hint="eastAsia" w:ascii="楷体_GB2312" w:hAnsi="黑体" w:eastAsia="楷体_GB2312" w:cs="楷体_GB2312"/>
          <w:b/>
          <w:bCs/>
          <w:sz w:val="32"/>
          <w:szCs w:val="32"/>
        </w:rPr>
        <w:t>部门职责及工作活动绩效目标指标：</w:t>
      </w:r>
    </w:p>
    <w:p>
      <w:pPr>
        <w:outlineLvl w:val="0"/>
        <w:rPr>
          <w:rFonts w:ascii="仿宋" w:hAnsi="仿宋" w:eastAsia="仿宋" w:cs="仿宋"/>
          <w:b/>
          <w:bCs/>
          <w:sz w:val="32"/>
        </w:rPr>
      </w:pPr>
    </w:p>
    <w:p>
      <w:pPr>
        <w:outlineLvl w:val="0"/>
        <w:rPr>
          <w:rFonts w:ascii="仿宋" w:hAnsi="仿宋" w:eastAsia="仿宋" w:cs="仿宋"/>
          <w:b/>
          <w:bCs/>
          <w:sz w:val="32"/>
        </w:rPr>
        <w:sectPr>
          <w:pgSz w:w="11907" w:h="16839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部门职责-工作活动绩效目标</w:t>
      </w:r>
      <w:bookmarkEnd w:id="0"/>
    </w:p>
    <w:tbl>
      <w:tblPr>
        <w:tblStyle w:val="6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324</w:t>
            </w:r>
            <w:r>
              <w:rPr>
                <w:rFonts w:hint="eastAsia" w:ascii="方正小标宋_GBK" w:eastAsia="方正小标宋_GBK"/>
                <w:sz w:val="24"/>
              </w:rPr>
              <w:t>成安县国土资源局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土地资源管理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组织实施耕地与基本农田保护工作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>组织建设用地审批，开展农村集体土地确权登记发证与土地变更调查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>做好土地利用工作和不动产登记。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实现基本农田面积不减少，质量有提高，各行业合理用地需求得到保障，土地节约集约利用水平进一步提高，保证全县耕地占补平衡。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耕地与基本农田保护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开展基本农田保护和土地整理、复垦、开发工作。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实现土地整治补充耕地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hint="eastAsia" w:ascii="方正书宋_GBK" w:eastAsia="方正书宋_GBK"/>
              </w:rPr>
              <w:t>亩以上，确保全县耕地占补平衡，完成年度建设高标准基本农田建设任务，开展土地复垦方案的审查，完成耕地保护相关制度研究。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验收报备的总量平衡项目工程数量核实完成率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73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土地变更调查新增耕地管理信息核查标注完成率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93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土地复垦方案审查完成率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耕地质量等别更新与监测完成率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92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在建土地整治项目督导（含测量）次数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93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73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地籍管理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开展土地确权登记发证工作，组织县级土地利用现状变化调查和检查，更新县级土地调查数据库，生成增量数据包，开展县级的不动产统一登记工作。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推进农村集体土地确权登记发证工作，完成年度土地变更调查工作，部署完成全省土地登记信息动态监管查询系统，进行不动产统一登记工作的调查研究，按照国家要求完成工作进度。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不动产登记工作的调查研究开展率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年度土地变更调查工作完成率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96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77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全县（包括开发区）土地登记信息动态监管查询系统建设工作完成率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93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81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72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土地利用管理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推进节约集约用地，管理和监督城乡建设用地供应、政府土地储备、土地开发和节约集约利用，组织实施城乡建设用地增减挂钩。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提高全县节约集约用地水平，维护全县土地市场良好秩序，统筹组织城乡建设用地增减挂钩管理和未利用地调查评价及利用。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节约集约用地、土地利用管理相关制度改革研究完成率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81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77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开展建设用地集约利用评价数量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92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76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中国开发区审核公告目录（</w:t>
            </w:r>
            <w:r>
              <w:rPr>
                <w:rFonts w:ascii="方正书宋_GBK" w:eastAsia="方正书宋_GBK"/>
              </w:rPr>
              <w:t>2006</w:t>
            </w:r>
            <w:r>
              <w:rPr>
                <w:rFonts w:hint="eastAsia" w:ascii="方正书宋_GBK" w:eastAsia="方正书宋_GBK"/>
              </w:rPr>
              <w:t>年版）中河北省</w:t>
            </w:r>
            <w:r>
              <w:rPr>
                <w:rFonts w:ascii="方正书宋_GBK" w:eastAsia="方正书宋_GBK"/>
              </w:rPr>
              <w:t>50</w:t>
            </w:r>
            <w:r>
              <w:rPr>
                <w:rFonts w:hint="eastAsia" w:ascii="方正书宋_GBK" w:eastAsia="方正书宋_GBK"/>
              </w:rPr>
              <w:t>个开发区土地集约利用评价与更新数量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94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77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完成县土地市场和城市地价动态监测分析并提交季度报告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93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84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是否获得</w:t>
            </w: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国土资源节约集约模范县</w:t>
            </w:r>
            <w:r>
              <w:rPr>
                <w:rFonts w:hint="cs" w:ascii="方正书宋_GBK" w:eastAsia="方正书宋_GBK"/>
              </w:rPr>
              <w:t>”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91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73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国土资源执法与监察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强化县级国土资源执法监察工作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>提高国土资源执法能力。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进一步加大执法监督力度。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国土资源执法监察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对县级国土资源法律法规执行情况监督检查，依法查处国土资源违法案件。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组织各级国土资源（海洋）执法监察部门，及时发现、制止违法行为。依法查处案件，开展卫片执法监督检查，协调、联络国家土地督察机构，推进国土资源基层所标准化建设。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土地、矿产卫片执法监督检查各项任务完成率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84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77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受理造成矿产资源破坏价值鉴定申请鉴定结论率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94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76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重大典型违法案件调查反馈率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93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81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78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12336</w:t>
            </w:r>
            <w:r>
              <w:rPr>
                <w:rFonts w:hint="eastAsia" w:ascii="方正书宋_GBK" w:eastAsia="方正书宋_GBK"/>
              </w:rPr>
              <w:t>等违法举报督办案件反馈率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91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72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专项执法工作开展完成率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74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国土资源政务管理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负责国土资源系统综合业务管理和机关综合事务管理。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进一步增强国土资源（海洋）管理能力。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综合业务管理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制定编制县级国土资源规划，制定相关政策法规，开展国土资源科技发展研究等。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规范做好国土资源（海洋）各类规划编制和实施，全面推行国土资源（海洋）工作依法行政，推动普法工作落实，做好行政复议、行政应诉工作，推进国土资源（海洋）科技的应用和推广。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国土资源（海洋）科技发展研究建设及外事交流活动完成率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国土资源（海洋）业务管理综合统计及制度研究完成率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74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项目用地预审率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94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79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综合事务管理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做好国土资源相关综合性事务管理，保证行政工作高效有序运行。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提高国土资源（海洋）事业发展保障能力。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国土资源（海洋）财务管理工作完成率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81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76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国土资源（海洋）宣传工作，及相关资料编写发布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94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78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国土资源（海洋）信息安全体系建设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77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国土资源（海洋）管理网络体系及相关数据、档案、信息服务管理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94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84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保障国土资源（海洋）管理各项工作正常运行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97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72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</w:t>
            </w: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020" w:right="1361" w:bottom="1020" w:left="1361" w:header="851" w:footer="992" w:gutter="0"/>
          <w:cols w:space="0" w:num="1"/>
          <w:docGrid w:type="lines" w:linePitch="318" w:charSpace="0"/>
        </w:sectPr>
      </w:pPr>
    </w:p>
    <w:p>
      <w:pPr>
        <w:widowControl/>
        <w:ind w:left="643"/>
        <w:jc w:val="left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六、政府采购预算情况</w:t>
      </w:r>
    </w:p>
    <w:p>
      <w:pPr>
        <w:spacing w:line="560" w:lineRule="exact"/>
        <w:ind w:firstLine="64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按照政府采购相关法律法规要求，结合我局实际，2018年我局政府采购事项为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7.36</w:t>
      </w:r>
      <w:r>
        <w:rPr>
          <w:rFonts w:hint="eastAsia" w:ascii="仿宋_GB2312" w:hAnsi="黑体" w:eastAsia="仿宋_GB2312" w:cs="仿宋_GB2312"/>
          <w:sz w:val="32"/>
          <w:szCs w:val="32"/>
        </w:rPr>
        <w:t>万元，本年拟用于政府采购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电脑、床、打印机、电视等，</w:t>
      </w:r>
      <w:r>
        <w:rPr>
          <w:rFonts w:hint="eastAsia" w:ascii="仿宋_GB2312" w:hAnsi="黑体" w:eastAsia="仿宋_GB2312" w:cs="仿宋_GB2312"/>
          <w:sz w:val="32"/>
          <w:szCs w:val="32"/>
        </w:rPr>
        <w:t>计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7.36</w:t>
      </w:r>
      <w:r>
        <w:rPr>
          <w:rFonts w:hint="eastAsia" w:ascii="仿宋_GB2312" w:hAnsi="黑体" w:eastAsia="仿宋_GB2312" w:cs="仿宋_GB2312"/>
          <w:sz w:val="32"/>
          <w:szCs w:val="32"/>
        </w:rPr>
        <w:t>万元。具体内容见下表。</w:t>
      </w:r>
    </w:p>
    <w:p>
      <w:pPr>
        <w:spacing w:line="560" w:lineRule="exact"/>
        <w:jc w:val="center"/>
        <w:outlineLvl w:val="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方正小标宋_GBK"/>
          <w:sz w:val="32"/>
          <w:szCs w:val="32"/>
        </w:rPr>
        <w:t>部门政府采购预算</w:t>
      </w:r>
    </w:p>
    <w:tbl>
      <w:tblPr>
        <w:tblStyle w:val="6"/>
        <w:tblW w:w="98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36"/>
        <w:gridCol w:w="1105"/>
        <w:gridCol w:w="840"/>
        <w:gridCol w:w="583"/>
        <w:gridCol w:w="556"/>
        <w:gridCol w:w="694"/>
        <w:gridCol w:w="714"/>
        <w:gridCol w:w="717"/>
        <w:gridCol w:w="708"/>
        <w:gridCol w:w="486"/>
        <w:gridCol w:w="458"/>
        <w:gridCol w:w="597"/>
        <w:gridCol w:w="5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1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部门（单位）名称成安县国土资源局</w:t>
            </w:r>
          </w:p>
        </w:tc>
        <w:tc>
          <w:tcPr>
            <w:tcW w:w="424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tblHeader/>
          <w:jc w:val="center"/>
        </w:trPr>
        <w:tc>
          <w:tcPr>
            <w:tcW w:w="18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政府采购项目来源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采购物品名称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政府采购目录序号</w:t>
            </w:r>
          </w:p>
        </w:tc>
        <w:tc>
          <w:tcPr>
            <w:tcW w:w="58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  <w:r>
              <w:rPr>
                <w:rFonts w:ascii="宋体" w:hAnsi="宋体" w:eastAsia="宋体" w:cs="方正书宋_GBK"/>
                <w:b/>
                <w:bCs/>
              </w:rPr>
              <w:t xml:space="preserve">  </w:t>
            </w:r>
            <w:r>
              <w:rPr>
                <w:rFonts w:hint="eastAsia" w:ascii="宋体" w:hAnsi="宋体" w:eastAsia="宋体" w:cs="方正书宋_GBK"/>
                <w:b/>
                <w:bCs/>
              </w:rPr>
              <w:t>单位</w:t>
            </w:r>
          </w:p>
        </w:tc>
        <w:tc>
          <w:tcPr>
            <w:tcW w:w="55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</w:p>
        </w:tc>
        <w:tc>
          <w:tcPr>
            <w:tcW w:w="6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单价</w:t>
            </w:r>
          </w:p>
        </w:tc>
        <w:tc>
          <w:tcPr>
            <w:tcW w:w="424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项目名称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预算资金</w:t>
            </w: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5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71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总计</w:t>
            </w:r>
          </w:p>
        </w:tc>
        <w:tc>
          <w:tcPr>
            <w:tcW w:w="296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当年部门预算安排资金</w:t>
            </w:r>
          </w:p>
        </w:tc>
        <w:tc>
          <w:tcPr>
            <w:tcW w:w="56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5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合计</w:t>
            </w: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一般公共预算拨款</w:t>
            </w:r>
          </w:p>
        </w:tc>
        <w:tc>
          <w:tcPr>
            <w:tcW w:w="48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基金预算拨款</w:t>
            </w:r>
          </w:p>
        </w:tc>
        <w:tc>
          <w:tcPr>
            <w:tcW w:w="45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财政专户核拨</w:t>
            </w:r>
          </w:p>
        </w:tc>
        <w:tc>
          <w:tcPr>
            <w:tcW w:w="59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其他来源收入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spacing w:line="2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　计</w:t>
            </w:r>
          </w:p>
        </w:tc>
        <w:tc>
          <w:tcPr>
            <w:tcW w:w="73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7.36</w:t>
            </w:r>
          </w:p>
        </w:tc>
        <w:tc>
          <w:tcPr>
            <w:tcW w:w="110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7.36</w:t>
            </w:r>
          </w:p>
        </w:tc>
        <w:tc>
          <w:tcPr>
            <w:tcW w:w="71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7.36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7.36</w:t>
            </w:r>
          </w:p>
        </w:tc>
        <w:tc>
          <w:tcPr>
            <w:tcW w:w="48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打印机</w:t>
            </w:r>
          </w:p>
        </w:tc>
        <w:tc>
          <w:tcPr>
            <w:tcW w:w="736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0.35</w:t>
            </w:r>
          </w:p>
        </w:tc>
        <w:tc>
          <w:tcPr>
            <w:tcW w:w="11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打印机</w:t>
            </w: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方正书宋_GBK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台</w:t>
            </w:r>
          </w:p>
        </w:tc>
        <w:tc>
          <w:tcPr>
            <w:tcW w:w="5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1</w:t>
            </w:r>
          </w:p>
        </w:tc>
        <w:tc>
          <w:tcPr>
            <w:tcW w:w="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0.35</w:t>
            </w:r>
          </w:p>
        </w:tc>
        <w:tc>
          <w:tcPr>
            <w:tcW w:w="714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0.35</w:t>
            </w:r>
          </w:p>
        </w:tc>
        <w:tc>
          <w:tcPr>
            <w:tcW w:w="717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0.35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0.35</w:t>
            </w:r>
          </w:p>
        </w:tc>
        <w:tc>
          <w:tcPr>
            <w:tcW w:w="48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床</w:t>
            </w:r>
          </w:p>
        </w:tc>
        <w:tc>
          <w:tcPr>
            <w:tcW w:w="736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0.49</w:t>
            </w:r>
          </w:p>
        </w:tc>
        <w:tc>
          <w:tcPr>
            <w:tcW w:w="11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床</w:t>
            </w: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方正书宋_GBK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张</w:t>
            </w:r>
          </w:p>
        </w:tc>
        <w:tc>
          <w:tcPr>
            <w:tcW w:w="5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7</w:t>
            </w:r>
          </w:p>
        </w:tc>
        <w:tc>
          <w:tcPr>
            <w:tcW w:w="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0.07</w:t>
            </w:r>
          </w:p>
        </w:tc>
        <w:tc>
          <w:tcPr>
            <w:tcW w:w="714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0.49</w:t>
            </w:r>
          </w:p>
        </w:tc>
        <w:tc>
          <w:tcPr>
            <w:tcW w:w="717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0.49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0.49</w:t>
            </w:r>
          </w:p>
        </w:tc>
        <w:tc>
          <w:tcPr>
            <w:tcW w:w="48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空调</w:t>
            </w:r>
          </w:p>
        </w:tc>
        <w:tc>
          <w:tcPr>
            <w:tcW w:w="736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0.35</w:t>
            </w:r>
          </w:p>
        </w:tc>
        <w:tc>
          <w:tcPr>
            <w:tcW w:w="11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空调</w:t>
            </w: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方正书宋_GBK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台</w:t>
            </w:r>
          </w:p>
        </w:tc>
        <w:tc>
          <w:tcPr>
            <w:tcW w:w="5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1</w:t>
            </w:r>
          </w:p>
        </w:tc>
        <w:tc>
          <w:tcPr>
            <w:tcW w:w="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0.35</w:t>
            </w:r>
          </w:p>
        </w:tc>
        <w:tc>
          <w:tcPr>
            <w:tcW w:w="714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0.35</w:t>
            </w:r>
          </w:p>
        </w:tc>
        <w:tc>
          <w:tcPr>
            <w:tcW w:w="717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0.35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0.35</w:t>
            </w:r>
          </w:p>
        </w:tc>
        <w:tc>
          <w:tcPr>
            <w:tcW w:w="48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电视</w:t>
            </w:r>
          </w:p>
        </w:tc>
        <w:tc>
          <w:tcPr>
            <w:tcW w:w="736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0.25</w:t>
            </w:r>
          </w:p>
        </w:tc>
        <w:tc>
          <w:tcPr>
            <w:tcW w:w="11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电视</w:t>
            </w: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方正书宋_GBK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台</w:t>
            </w:r>
          </w:p>
        </w:tc>
        <w:tc>
          <w:tcPr>
            <w:tcW w:w="5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1</w:t>
            </w:r>
          </w:p>
        </w:tc>
        <w:tc>
          <w:tcPr>
            <w:tcW w:w="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0.25</w:t>
            </w:r>
          </w:p>
        </w:tc>
        <w:tc>
          <w:tcPr>
            <w:tcW w:w="714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0.25</w:t>
            </w:r>
          </w:p>
        </w:tc>
        <w:tc>
          <w:tcPr>
            <w:tcW w:w="717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0.25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0.25</w:t>
            </w:r>
          </w:p>
        </w:tc>
        <w:tc>
          <w:tcPr>
            <w:tcW w:w="48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乒乓球桌</w:t>
            </w:r>
          </w:p>
        </w:tc>
        <w:tc>
          <w:tcPr>
            <w:tcW w:w="736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1.3</w:t>
            </w:r>
          </w:p>
        </w:tc>
        <w:tc>
          <w:tcPr>
            <w:tcW w:w="11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乒乓球桌</w:t>
            </w: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方正书宋_GBK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台</w:t>
            </w:r>
          </w:p>
        </w:tc>
        <w:tc>
          <w:tcPr>
            <w:tcW w:w="5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1</w:t>
            </w:r>
          </w:p>
        </w:tc>
        <w:tc>
          <w:tcPr>
            <w:tcW w:w="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1.3</w:t>
            </w:r>
          </w:p>
        </w:tc>
        <w:tc>
          <w:tcPr>
            <w:tcW w:w="714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1.3</w:t>
            </w:r>
          </w:p>
        </w:tc>
        <w:tc>
          <w:tcPr>
            <w:tcW w:w="717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1.3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1.3</w:t>
            </w:r>
          </w:p>
        </w:tc>
        <w:tc>
          <w:tcPr>
            <w:tcW w:w="48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柜子</w:t>
            </w:r>
          </w:p>
        </w:tc>
        <w:tc>
          <w:tcPr>
            <w:tcW w:w="736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0.12</w:t>
            </w:r>
          </w:p>
        </w:tc>
        <w:tc>
          <w:tcPr>
            <w:tcW w:w="11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柜子</w:t>
            </w: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方正书宋_GBK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个</w:t>
            </w:r>
          </w:p>
        </w:tc>
        <w:tc>
          <w:tcPr>
            <w:tcW w:w="5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1</w:t>
            </w:r>
          </w:p>
        </w:tc>
        <w:tc>
          <w:tcPr>
            <w:tcW w:w="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0.12</w:t>
            </w:r>
          </w:p>
        </w:tc>
        <w:tc>
          <w:tcPr>
            <w:tcW w:w="714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0.12</w:t>
            </w:r>
          </w:p>
        </w:tc>
        <w:tc>
          <w:tcPr>
            <w:tcW w:w="717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0.12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0.12</w:t>
            </w:r>
          </w:p>
        </w:tc>
        <w:tc>
          <w:tcPr>
            <w:tcW w:w="48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打印机</w:t>
            </w:r>
          </w:p>
        </w:tc>
        <w:tc>
          <w:tcPr>
            <w:tcW w:w="736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1.5</w:t>
            </w:r>
          </w:p>
        </w:tc>
        <w:tc>
          <w:tcPr>
            <w:tcW w:w="11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打印机</w:t>
            </w: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方正书宋_GBK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eastAsia="zh-CN"/>
              </w:rPr>
              <w:t>台</w:t>
            </w:r>
          </w:p>
        </w:tc>
        <w:tc>
          <w:tcPr>
            <w:tcW w:w="5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10</w:t>
            </w:r>
          </w:p>
        </w:tc>
        <w:tc>
          <w:tcPr>
            <w:tcW w:w="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0.15</w:t>
            </w:r>
          </w:p>
        </w:tc>
        <w:tc>
          <w:tcPr>
            <w:tcW w:w="714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1.5</w:t>
            </w:r>
          </w:p>
        </w:tc>
        <w:tc>
          <w:tcPr>
            <w:tcW w:w="717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1.5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1.5</w:t>
            </w:r>
          </w:p>
        </w:tc>
        <w:tc>
          <w:tcPr>
            <w:tcW w:w="48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电脑</w:t>
            </w:r>
          </w:p>
        </w:tc>
        <w:tc>
          <w:tcPr>
            <w:tcW w:w="7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电脑</w:t>
            </w: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方正书宋_GBK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台</w:t>
            </w:r>
          </w:p>
        </w:tc>
        <w:tc>
          <w:tcPr>
            <w:tcW w:w="5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方正书宋_GBK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10</w:t>
            </w:r>
          </w:p>
        </w:tc>
        <w:tc>
          <w:tcPr>
            <w:tcW w:w="69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0.3</w:t>
            </w:r>
            <w:r>
              <w:rPr>
                <w:rFonts w:hint="eastAsia" w:ascii="宋体" w:hAnsi="宋体" w:eastAsia="宋体" w:cs="方正书宋_GBK"/>
                <w:b/>
                <w:bCs/>
                <w:lang w:val="en-US" w:eastAsia="zh-CN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3</w:t>
            </w:r>
          </w:p>
        </w:tc>
        <w:tc>
          <w:tcPr>
            <w:tcW w:w="71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方正书宋_GBK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Times New Roman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3</w:t>
            </w:r>
          </w:p>
        </w:tc>
        <w:tc>
          <w:tcPr>
            <w:tcW w:w="48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</w:tbl>
    <w:p>
      <w:pPr>
        <w:widowControl/>
        <w:ind w:left="643"/>
        <w:jc w:val="left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七、国有资产情况的说明</w:t>
      </w:r>
    </w:p>
    <w:p>
      <w:pPr>
        <w:spacing w:line="560" w:lineRule="exact"/>
        <w:ind w:firstLine="64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成安县国土资源局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截止上年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末固定资产帐面结余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7151157.54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万元。其中：房屋价值435.683154万元，车辆价值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169.7404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万元，其它资产办公用电脑、办公家具、专用设备等价值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109.6922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万元。201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年我单位拟购置6.3万元。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计算机设备、打印设备、空调、办公家具等，已列入政府采购预算。详见下表。</w:t>
      </w:r>
    </w:p>
    <w:tbl>
      <w:tblPr>
        <w:tblStyle w:val="6"/>
        <w:tblW w:w="985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2"/>
        <w:gridCol w:w="1390"/>
        <w:gridCol w:w="4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编制部门：成安县国土资源局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截止时间：</w:t>
            </w:r>
            <w:r>
              <w:rPr>
                <w:rFonts w:ascii="宋体" w:hAnsi="宋体" w:eastAsia="宋体" w:cs="宋体"/>
                <w:kern w:val="0"/>
                <w:sz w:val="22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年</w:t>
            </w:r>
            <w:r>
              <w:rPr>
                <w:rFonts w:ascii="宋体" w:hAnsi="宋体" w:eastAsia="宋体" w:cs="宋体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日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目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4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资产总额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lang w:val="en-US" w:eastAsia="zh-CN"/>
              </w:rPr>
              <w:t>7151157.54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、房屋（平方米）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1244.56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</w:rPr>
              <w:t>435.683154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其中：办公用房（平方米）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1244.56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</w:rPr>
              <w:t>435.683154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、车辆（台、辆）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lang w:val="en-US" w:eastAsia="zh-CN"/>
              </w:rPr>
              <w:t>169.7404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、单价在</w:t>
            </w:r>
            <w:r>
              <w:rPr>
                <w:rFonts w:ascii="宋体" w:hAnsi="宋体" w:eastAsia="宋体" w:cs="宋体"/>
                <w:kern w:val="0"/>
                <w:sz w:val="22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万元以上的设备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、其他固定资产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lang w:val="en-US" w:eastAsia="zh-CN"/>
              </w:rPr>
              <w:t>109.6922</w:t>
            </w:r>
          </w:p>
        </w:tc>
      </w:tr>
    </w:tbl>
    <w:p>
      <w:pPr>
        <w:widowControl/>
        <w:ind w:firstLine="643" w:firstLineChars="200"/>
        <w:jc w:val="left"/>
        <w:rPr>
          <w:rFonts w:ascii="仿宋_GB2312" w:hAnsi="Calibri" w:eastAsia="仿宋_GB2312" w:cs="仿宋_GB2312"/>
          <w:b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八、</w:t>
      </w:r>
      <w:r>
        <w:rPr>
          <w:rFonts w:hint="eastAsia" w:ascii="黑体" w:hAnsi="黑体" w:eastAsia="黑体" w:cs="仿宋"/>
          <w:kern w:val="0"/>
          <w:sz w:val="32"/>
          <w:szCs w:val="32"/>
        </w:rPr>
        <w:t>名词解释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>
      <w:pPr>
        <w:widowControl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财政当年拨付的资金。</w:t>
      </w:r>
    </w:p>
    <w:p>
      <w:pPr>
        <w:widowControl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>
      <w:pPr>
        <w:widowControl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t xml:space="preserve"> 3</w:t>
      </w: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年初结转和结余：指以前年度尚未完成，结转到本年仍按照原规定用途继续使用的资金，或项目已完成等产生的结余资金。</w:t>
      </w:r>
    </w:p>
    <w:p>
      <w:pPr>
        <w:widowControl/>
        <w:ind w:firstLine="482" w:firstLineChars="150"/>
        <w:jc w:val="left"/>
        <w:rPr>
          <w:rFonts w:ascii="仿宋" w:hAnsi="仿宋" w:eastAsia="仿宋_GB2312" w:cs="仿宋"/>
          <w:kern w:val="0"/>
          <w:sz w:val="32"/>
          <w:szCs w:val="32"/>
        </w:rPr>
      </w:pPr>
      <w:r>
        <w:rPr>
          <w:rFonts w:hint="eastAsia" w:ascii="仿宋" w:hAnsi="仿宋" w:eastAsia="仿宋_GB2312" w:cs="仿宋"/>
          <w:b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4、基本支出：指单位为了保障其正常运转、完成日常工作任务而发生的人员支出和公用支出。</w:t>
      </w:r>
      <w:r>
        <w:rPr>
          <w:rFonts w:hint="eastAsia" w:ascii="仿宋" w:hAnsi="仿宋" w:eastAsia="仿宋_GB2312" w:cs="仿宋"/>
          <w:kern w:val="0"/>
          <w:sz w:val="32"/>
          <w:szCs w:val="32"/>
        </w:rPr>
        <w:t> </w:t>
      </w:r>
    </w:p>
    <w:p>
      <w:pPr>
        <w:widowControl/>
        <w:ind w:firstLine="800" w:firstLineChars="25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九、其他需要说明的事项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无其他需要说明的事项。</w:t>
      </w:r>
    </w:p>
    <w:sectPr>
      <w:pgSz w:w="11907" w:h="16839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F352C"/>
    <w:multiLevelType w:val="multilevel"/>
    <w:tmpl w:val="462F352C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M2I0MGExMWZlZjllMGEyODlkODRjMDAxMDJhNGYifQ=="/>
  </w:docVars>
  <w:rsids>
    <w:rsidRoot w:val="00E810D6"/>
    <w:rsid w:val="000D63CB"/>
    <w:rsid w:val="000F0CC0"/>
    <w:rsid w:val="00143DA4"/>
    <w:rsid w:val="001F75AF"/>
    <w:rsid w:val="002E3A95"/>
    <w:rsid w:val="002F2DD8"/>
    <w:rsid w:val="00322E21"/>
    <w:rsid w:val="00441C29"/>
    <w:rsid w:val="004E5222"/>
    <w:rsid w:val="00527056"/>
    <w:rsid w:val="005C0C25"/>
    <w:rsid w:val="005D136A"/>
    <w:rsid w:val="00620507"/>
    <w:rsid w:val="0062621A"/>
    <w:rsid w:val="0068269C"/>
    <w:rsid w:val="00685811"/>
    <w:rsid w:val="006921AF"/>
    <w:rsid w:val="006A1386"/>
    <w:rsid w:val="006D1C5B"/>
    <w:rsid w:val="007416BC"/>
    <w:rsid w:val="007A507B"/>
    <w:rsid w:val="007C68F5"/>
    <w:rsid w:val="007D6BF0"/>
    <w:rsid w:val="008058DC"/>
    <w:rsid w:val="00843B5A"/>
    <w:rsid w:val="008571D8"/>
    <w:rsid w:val="00860A1E"/>
    <w:rsid w:val="0088383D"/>
    <w:rsid w:val="008C7744"/>
    <w:rsid w:val="00991DBE"/>
    <w:rsid w:val="009A165A"/>
    <w:rsid w:val="009D4206"/>
    <w:rsid w:val="00A01314"/>
    <w:rsid w:val="00A043F6"/>
    <w:rsid w:val="00A07D70"/>
    <w:rsid w:val="00A07E36"/>
    <w:rsid w:val="00A21BBE"/>
    <w:rsid w:val="00A55A6A"/>
    <w:rsid w:val="00C00535"/>
    <w:rsid w:val="00C13FD2"/>
    <w:rsid w:val="00D269B0"/>
    <w:rsid w:val="00D31302"/>
    <w:rsid w:val="00D6214A"/>
    <w:rsid w:val="00DA4DBC"/>
    <w:rsid w:val="00DC03D9"/>
    <w:rsid w:val="00E55341"/>
    <w:rsid w:val="00E810D6"/>
    <w:rsid w:val="00E943AA"/>
    <w:rsid w:val="00F911C1"/>
    <w:rsid w:val="013B67CD"/>
    <w:rsid w:val="01CA412B"/>
    <w:rsid w:val="02435755"/>
    <w:rsid w:val="037D399A"/>
    <w:rsid w:val="03B213E5"/>
    <w:rsid w:val="06096D52"/>
    <w:rsid w:val="06550E5D"/>
    <w:rsid w:val="069A04F8"/>
    <w:rsid w:val="0726741C"/>
    <w:rsid w:val="08D34D69"/>
    <w:rsid w:val="09E50DB9"/>
    <w:rsid w:val="0BB759F9"/>
    <w:rsid w:val="0BFF7C14"/>
    <w:rsid w:val="0CB72F7C"/>
    <w:rsid w:val="0CBF7A43"/>
    <w:rsid w:val="0DD4180B"/>
    <w:rsid w:val="0E0669F4"/>
    <w:rsid w:val="130B706D"/>
    <w:rsid w:val="139106CF"/>
    <w:rsid w:val="13DE0FA8"/>
    <w:rsid w:val="14F5713F"/>
    <w:rsid w:val="163506CD"/>
    <w:rsid w:val="17252863"/>
    <w:rsid w:val="175940C0"/>
    <w:rsid w:val="17C16AC9"/>
    <w:rsid w:val="180D78B9"/>
    <w:rsid w:val="1AEF7278"/>
    <w:rsid w:val="1B2A5EA4"/>
    <w:rsid w:val="1CC97251"/>
    <w:rsid w:val="1CEB0A1C"/>
    <w:rsid w:val="1E8167C1"/>
    <w:rsid w:val="1EAA0AE1"/>
    <w:rsid w:val="21B66276"/>
    <w:rsid w:val="228819EE"/>
    <w:rsid w:val="2716314B"/>
    <w:rsid w:val="278A2860"/>
    <w:rsid w:val="288A4B30"/>
    <w:rsid w:val="28E516DB"/>
    <w:rsid w:val="299267B6"/>
    <w:rsid w:val="2AD57C75"/>
    <w:rsid w:val="2BAA47A7"/>
    <w:rsid w:val="2D846FBE"/>
    <w:rsid w:val="2DCE40BA"/>
    <w:rsid w:val="2E066AE5"/>
    <w:rsid w:val="2E2777CE"/>
    <w:rsid w:val="2EE04A84"/>
    <w:rsid w:val="304B55E8"/>
    <w:rsid w:val="31D059F4"/>
    <w:rsid w:val="32B93421"/>
    <w:rsid w:val="332A0BBD"/>
    <w:rsid w:val="3387759D"/>
    <w:rsid w:val="351C5D1D"/>
    <w:rsid w:val="36DF5EE5"/>
    <w:rsid w:val="38963AA1"/>
    <w:rsid w:val="393E4CFD"/>
    <w:rsid w:val="39461E7C"/>
    <w:rsid w:val="39A75722"/>
    <w:rsid w:val="3A593FD7"/>
    <w:rsid w:val="3B6E7B6E"/>
    <w:rsid w:val="3C712CD5"/>
    <w:rsid w:val="3CEC5D53"/>
    <w:rsid w:val="3DD269BA"/>
    <w:rsid w:val="3F184E05"/>
    <w:rsid w:val="441C57E9"/>
    <w:rsid w:val="44240E6E"/>
    <w:rsid w:val="4427762F"/>
    <w:rsid w:val="44986D47"/>
    <w:rsid w:val="456A5D0D"/>
    <w:rsid w:val="457C0C14"/>
    <w:rsid w:val="45B90BF3"/>
    <w:rsid w:val="460143F1"/>
    <w:rsid w:val="475B18CD"/>
    <w:rsid w:val="48847682"/>
    <w:rsid w:val="49A76DB8"/>
    <w:rsid w:val="4A4F1F05"/>
    <w:rsid w:val="4B7040C7"/>
    <w:rsid w:val="4CA957E7"/>
    <w:rsid w:val="4D9730D4"/>
    <w:rsid w:val="4DFA2B01"/>
    <w:rsid w:val="4E4335D2"/>
    <w:rsid w:val="53672701"/>
    <w:rsid w:val="553A5DED"/>
    <w:rsid w:val="56026CEB"/>
    <w:rsid w:val="569B6C16"/>
    <w:rsid w:val="59AF56D7"/>
    <w:rsid w:val="5ABB126B"/>
    <w:rsid w:val="5B2B3FCD"/>
    <w:rsid w:val="5B867A8D"/>
    <w:rsid w:val="5BAE356C"/>
    <w:rsid w:val="5BBD4DA1"/>
    <w:rsid w:val="5CB07A05"/>
    <w:rsid w:val="5ED17601"/>
    <w:rsid w:val="5F545477"/>
    <w:rsid w:val="60FA3F31"/>
    <w:rsid w:val="612A3987"/>
    <w:rsid w:val="612F2391"/>
    <w:rsid w:val="61897173"/>
    <w:rsid w:val="63F21B1B"/>
    <w:rsid w:val="65493192"/>
    <w:rsid w:val="666C26EF"/>
    <w:rsid w:val="6B511389"/>
    <w:rsid w:val="6D5763C1"/>
    <w:rsid w:val="6D81148F"/>
    <w:rsid w:val="6E8006EE"/>
    <w:rsid w:val="6ECC4D84"/>
    <w:rsid w:val="70BA2DA1"/>
    <w:rsid w:val="71B87B2B"/>
    <w:rsid w:val="729B4F6A"/>
    <w:rsid w:val="733E01F4"/>
    <w:rsid w:val="7424079F"/>
    <w:rsid w:val="748815AC"/>
    <w:rsid w:val="74D4598A"/>
    <w:rsid w:val="76FD3FC3"/>
    <w:rsid w:val="776F4BB9"/>
    <w:rsid w:val="7AA5545A"/>
    <w:rsid w:val="7BAA5900"/>
    <w:rsid w:val="7D764359"/>
    <w:rsid w:val="7D9A3104"/>
    <w:rsid w:val="7DB94919"/>
    <w:rsid w:val="7F8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2"/>
    <w:basedOn w:val="1"/>
    <w:autoRedefine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博奥公司</Company>
  <Pages>11</Pages>
  <Words>781</Words>
  <Characters>4456</Characters>
  <Lines>37</Lines>
  <Paragraphs>10</Paragraphs>
  <TotalTime>0</TotalTime>
  <ScaleCrop>false</ScaleCrop>
  <LinksUpToDate>false</LinksUpToDate>
  <CharactersWithSpaces>5227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2018-04-04T01:26:00Z</dcterms:created>
  <dc:creator>lenovo</dc:creator>
  <cp:lastModifiedBy>lenovo</cp:lastModifiedBy>
  <cp:lastPrinted>2017-05-18T02:05:00Z</cp:lastPrinted>
  <dcterms:modified xsi:type="dcterms:W3CDTF">2024-02-19T08:45:37Z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12CBFF3E3BFF4D249F63E84C72658434_12</vt:lpwstr>
  </property>
</Properties>
</file>