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成安县民政局</w:t>
      </w:r>
    </w:p>
    <w:p>
      <w:pPr>
        <w:jc w:val="center"/>
        <w:rPr>
          <w:rFonts w:ascii="黑体" w:hAnsi="黑体" w:eastAsia="黑体"/>
          <w:sz w:val="44"/>
          <w:szCs w:val="44"/>
        </w:rPr>
      </w:pPr>
      <w:r>
        <w:rPr>
          <w:rFonts w:hint="eastAsia" w:ascii="黑体" w:hAnsi="黑体" w:eastAsia="黑体"/>
          <w:sz w:val="44"/>
          <w:szCs w:val="44"/>
        </w:rPr>
        <w:t>2019年部门预算公开情况说明</w:t>
      </w:r>
    </w:p>
    <w:p>
      <w:pPr>
        <w:jc w:val="center"/>
        <w:rPr>
          <w:rFonts w:ascii="黑体" w:hAnsi="黑体" w:eastAsia="黑体"/>
          <w:sz w:val="44"/>
          <w:szCs w:val="44"/>
        </w:rPr>
      </w:pPr>
    </w:p>
    <w:p>
      <w:pPr>
        <w:jc w:val="left"/>
        <w:rPr>
          <w:rFonts w:ascii="仿宋" w:hAnsi="仿宋" w:eastAsia="仿宋"/>
          <w:sz w:val="32"/>
          <w:szCs w:val="32"/>
        </w:rPr>
      </w:pPr>
      <w:r>
        <w:rPr>
          <w:rFonts w:hint="eastAsia" w:ascii="仿宋" w:hAnsi="仿宋" w:eastAsia="仿宋"/>
          <w:sz w:val="32"/>
          <w:szCs w:val="32"/>
        </w:rPr>
        <w:t xml:space="preserve">   按照《预算法》、《地方预决算公开操作规程》现将成安县民政局2019年部门预算公开如下：</w:t>
      </w:r>
    </w:p>
    <w:p>
      <w:pPr>
        <w:ind w:firstLine="640"/>
        <w:rPr>
          <w:rFonts w:ascii="宋体" w:hAnsi="宋体" w:eastAsia="宋体" w:cs="Times New Roman"/>
          <w:b/>
          <w:sz w:val="32"/>
          <w:szCs w:val="32"/>
        </w:rPr>
      </w:pPr>
      <w:r>
        <w:rPr>
          <w:rFonts w:hint="eastAsia" w:ascii="宋体" w:hAnsi="宋体" w:eastAsia="宋体" w:cs="黑体"/>
          <w:b/>
          <w:sz w:val="32"/>
          <w:szCs w:val="32"/>
        </w:rPr>
        <w:t>一、部门职责及机构设置情况</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民政局是县政府主管社会行政事务的职能部门。主要任务包括社会保障工作、部分社会行政事务管理和基层政权建设工作、部分社会行政事务管理和基层政权建设工作。其主要职责是：</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（一）根据党的基本路线和我县国民经济的社会发展规划，研究制定全县民政事业发展战略、编制民政事业发展规划和年度工作计划，研究制定全县民政工作方针、政策实施负责组织和监督检查。</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640" w:firstLineChars="200"/>
        <w:rPr>
          <w:rFonts w:ascii="仿宋" w:hAnsi="仿宋" w:eastAsia="仿宋" w:cs="方正仿宋_GBK"/>
          <w:sz w:val="32"/>
          <w:szCs w:val="32"/>
        </w:rPr>
      </w:pPr>
      <w:r>
        <w:rPr>
          <w:rFonts w:ascii="仿宋" w:hAnsi="仿宋" w:eastAsia="仿宋" w:cs="方正仿宋_GBK"/>
          <w:sz w:val="32"/>
          <w:szCs w:val="32"/>
        </w:rPr>
        <w:t>(</w:t>
      </w:r>
      <w:r>
        <w:rPr>
          <w:rFonts w:hint="eastAsia" w:ascii="仿宋" w:hAnsi="仿宋" w:eastAsia="仿宋" w:cs="方正仿宋_GBK"/>
          <w:sz w:val="32"/>
          <w:szCs w:val="32"/>
        </w:rPr>
        <w:t>三</w:t>
      </w:r>
      <w:r>
        <w:rPr>
          <w:rFonts w:ascii="仿宋" w:hAnsi="仿宋" w:eastAsia="仿宋" w:cs="方正仿宋_GBK"/>
          <w:sz w:val="32"/>
          <w:szCs w:val="32"/>
        </w:rPr>
        <w:t>)</w:t>
      </w:r>
      <w:r>
        <w:rPr>
          <w:rFonts w:hint="eastAsia" w:ascii="仿宋" w:hAnsi="仿宋" w:eastAsia="仿宋" w:cs="方正仿宋_GBK"/>
          <w:sz w:val="32"/>
          <w:szCs w:val="32"/>
        </w:rPr>
        <w:t>主管全县拥军优抚属、审报和褒扬革命烈士，评残、优抚对象的抚恤、定补优待工作；负责农村义务兵优待金的发放工作；协助有关部门搞好新兵征集工作；负责管理退伍义务兵、转业志愿兵、复员干部和军队离休干部的接收安置工作；指导军地两用人才开放使用工作；承办县拥军优属工作领导小组的日常工作；具体负责组织掌握、监督、检查、指导、协调、全县拥军优属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四）指导全县农村救灾和农村救灾合作保险工作；及时查灾、报灾、指导生产救灾工作；发放救灾款物，组织扶贫扶优，检查监督救灾款物的使用情况；组织和接收国内外对我县遭受严重自然灾害时的援助和捐赠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（五）负责农村困难户的临时救济，定期救济和六十年代精减退职工的</w:t>
      </w:r>
      <w:r>
        <w:rPr>
          <w:rFonts w:ascii="仿宋" w:hAnsi="仿宋" w:eastAsia="仿宋" w:cs="方正仿宋_GBK"/>
          <w:sz w:val="32"/>
          <w:szCs w:val="32"/>
        </w:rPr>
        <w:t>40%</w:t>
      </w:r>
      <w:r>
        <w:rPr>
          <w:rFonts w:hint="eastAsia" w:ascii="仿宋" w:hAnsi="仿宋" w:eastAsia="仿宋" w:cs="方正仿宋_GBK"/>
          <w:sz w:val="32"/>
          <w:szCs w:val="32"/>
        </w:rPr>
        <w:t>救济及其他特殊对象的救济工作；负责指导检查全县农村“五保户”的五保供养和敬老院建设。</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六）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（七）研究制订和组织实施社会福利事业发展规划、指导社会福利事业单位的管理和社区服务工作；会同有关部门研究制订并监督实施全县社会福利生产发展规划，对全县社会福利生产企业进行指导和宏观管理。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（八）负责全县社团组织审批、登记及全县社团行政案件裁决、年检、注销、合并、审核工作。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（九）主管婚姻登记和儿童收养登记工作；负责推行殡葬改革事业单位的管理工作；负责全县流浪乞讨人员的收容遣送工作；指导妇女儿童权益保护工作。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（十）负责全县民政事业财务、统计、审计及民政事业费得使用管理工作；收集整理、更新地名资料。</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（十一）负责全县地名管理工作；承办村以上地名的命名、更名的申报和审核工作；收集整理、更新地名资料。</w:t>
      </w:r>
    </w:p>
    <w:p>
      <w:pPr>
        <w:widowControl/>
        <w:spacing w:line="360" w:lineRule="auto"/>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（十二）负责全县有奖募捐工作的计划安排、奖券发行和福利基金的管理和使用；承办县募捐委办公室的日常工作。</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人员编制75名，其中领导职数6个。</w:t>
      </w:r>
    </w:p>
    <w:p>
      <w:pPr>
        <w:jc w:val="center"/>
        <w:rPr>
          <w:rFonts w:ascii="宋体" w:hAnsi="宋体"/>
          <w:b/>
          <w:sz w:val="44"/>
          <w:szCs w:val="44"/>
        </w:rPr>
      </w:pPr>
      <w:r>
        <w:rPr>
          <w:rFonts w:hint="eastAsia" w:ascii="宋体" w:hAnsi="宋体"/>
          <w:b/>
          <w:sz w:val="44"/>
          <w:szCs w:val="44"/>
        </w:rPr>
        <w:t>民政局科室职责及责任人</w:t>
      </w:r>
    </w:p>
    <w:p>
      <w:pPr>
        <w:spacing w:line="400" w:lineRule="exact"/>
        <w:jc w:val="center"/>
        <w:rPr>
          <w:rFonts w:ascii="黑体" w:hAnsi="Times New Roman" w:eastAsia="黑体"/>
          <w:sz w:val="44"/>
          <w:szCs w:val="44"/>
        </w:rPr>
      </w:pPr>
    </w:p>
    <w:tbl>
      <w:tblPr>
        <w:tblStyle w:val="5"/>
        <w:tblW w:w="1329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70"/>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808"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808"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优抚安置股</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32"/>
                <w:szCs w:val="32"/>
              </w:rPr>
            </w:pPr>
            <w:r>
              <w:rPr>
                <w:rFonts w:hint="eastAsia" w:ascii="仿宋_GB2312" w:hAnsi="Times New Roman" w:eastAsia="仿宋_GB2312"/>
                <w:sz w:val="24"/>
              </w:rPr>
              <w:t>负责全县优抚对象的抚恤、优待、补助及政府机关和事业单位工作人员评定伤残等级、死亡抚恤工作、负责审报、褒扬革命烈士；负责全县拥军优属工作的规划、安排、布置、实施；承办县双拥领导小组的日常工作；具体负责组织、督促、检查、指导、协调全县拥军优属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808"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32"/>
                <w:szCs w:val="32"/>
              </w:rPr>
            </w:pPr>
            <w:r>
              <w:rPr>
                <w:rFonts w:hint="eastAsia" w:ascii="仿宋_GB2312" w:hAnsi="Times New Roman" w:eastAsia="仿宋_GB2312"/>
                <w:sz w:val="24"/>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808"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救灾救济股</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24"/>
                <w:szCs w:val="24"/>
              </w:rPr>
            </w:pPr>
            <w:r>
              <w:rPr>
                <w:rFonts w:hint="eastAsia" w:ascii="仿宋_GB2312" w:hAnsi="Times New Roman" w:eastAsia="仿宋_GB2312"/>
                <w:sz w:val="24"/>
              </w:rPr>
              <w:t>主要负责全县救灾通讯、信息工作，及时掌握、评估、上报灾情，拟定救灾款分配方案；组织接收、分配救灾捐赠款物，检查、监督救灾款物使用情况，保管并使用好救灾救济资金和临时性社会救助基金；组织实施并监督执行农村五保供养及全县敬老院日常管理；负责城乡特困家庭患特重大疾病审核、存档等工作，以及其它特殊救济对象的临时、定期医疗救助；积极做好城市生活无着流浪乞讨人员救助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808"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扶贫办</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24"/>
                <w:szCs w:val="24"/>
              </w:rPr>
            </w:pPr>
            <w:r>
              <w:rPr>
                <w:rFonts w:hint="eastAsia" w:ascii="仿宋_GB2312" w:hAnsi="Times New Roman" w:eastAsia="仿宋_GB2312"/>
                <w:sz w:val="24"/>
              </w:rPr>
              <w:t>研究制定扶贫攻坚计划和年度实施计划；协调解决贫困地区扶贫开发工作中的重大问题；负责并管好用好扶贫的资金和物资，动员全社会开展扶贫济困活动，组织协调对口帮扶工作。贫济困活动，组织协调对口帮扶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80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民政事业</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24"/>
                <w:szCs w:val="24"/>
              </w:rPr>
            </w:pPr>
            <w:r>
              <w:rPr>
                <w:rFonts w:hint="eastAsia" w:ascii="仿宋_GB2312" w:hAnsi="Times New Roman" w:eastAsia="仿宋_GB2312"/>
                <w:sz w:val="24"/>
              </w:rPr>
              <w:t>坚持全心全意为孤寡老人服务，以养为主、科学办院的方针；为入院老人搞好优质服务；做到全县孤寡老人：老有所医、老有所养、老有所学、老有所乐。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808" w:type="dxa"/>
            <w:gridSpan w:val="2"/>
            <w:tcBorders>
              <w:top w:val="single" w:color="auto" w:sz="6" w:space="0"/>
              <w:left w:val="single" w:color="auto" w:sz="12" w:space="0"/>
              <w:bottom w:val="single" w:color="auto" w:sz="12"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福利生产处</w:t>
            </w:r>
          </w:p>
        </w:tc>
        <w:tc>
          <w:tcPr>
            <w:tcW w:w="10490" w:type="dxa"/>
            <w:tcBorders>
              <w:top w:val="single" w:color="auto" w:sz="6" w:space="0"/>
              <w:left w:val="single" w:color="auto" w:sz="6" w:space="0"/>
              <w:bottom w:val="single" w:color="auto" w:sz="12" w:space="0"/>
              <w:right w:val="single" w:color="auto" w:sz="6" w:space="0"/>
            </w:tcBorders>
            <w:vAlign w:val="center"/>
          </w:tcPr>
          <w:p>
            <w:pPr>
              <w:ind w:firstLine="480" w:firstLineChars="200"/>
              <w:rPr>
                <w:rFonts w:ascii="仿宋_GB2312" w:hAnsi="Times New Roman" w:eastAsia="仿宋_GB2312"/>
                <w:sz w:val="24"/>
                <w:szCs w:val="24"/>
              </w:rPr>
            </w:pPr>
            <w:r>
              <w:rPr>
                <w:rFonts w:hint="eastAsia" w:ascii="仿宋_GB2312" w:hAnsi="Times New Roman" w:eastAsia="仿宋_GB2312"/>
                <w:sz w:val="24"/>
              </w:rPr>
              <w:t>负责福利企业资格初审认定；福利企业年检、经营范围变更审查；福利企业监督管理。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770"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社会事务股</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770"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pacing w:val="-18"/>
                <w:sz w:val="28"/>
                <w:szCs w:val="28"/>
              </w:rPr>
            </w:pPr>
            <w:r>
              <w:rPr>
                <w:rFonts w:hint="eastAsia" w:ascii="仿宋_GB2312" w:hAnsi="Times New Roman" w:eastAsia="仿宋_GB2312"/>
                <w:spacing w:val="-18"/>
                <w:sz w:val="28"/>
                <w:szCs w:val="28"/>
              </w:rPr>
              <w:t>社会团体管理中心</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770"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福彩中心</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72" w:firstLineChars="200"/>
              <w:rPr>
                <w:rFonts w:ascii="仿宋_GB2312" w:hAnsi="Times New Roman" w:eastAsia="仿宋_GB2312"/>
                <w:spacing w:val="-2"/>
                <w:sz w:val="24"/>
                <w:szCs w:val="24"/>
              </w:rPr>
            </w:pPr>
            <w:r>
              <w:rPr>
                <w:rFonts w:hint="eastAsia" w:ascii="仿宋_GB2312" w:hAnsi="Times New Roman" w:eastAsia="仿宋_GB2312"/>
                <w:spacing w:val="-2"/>
                <w:sz w:val="24"/>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77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殡葬改革</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执法队</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ind w:firstLine="480" w:firstLineChars="200"/>
              <w:rPr>
                <w:rFonts w:hint="eastAsia" w:ascii="仿宋_GB2312" w:hAnsi="ˎ̥" w:eastAsia="仿宋_GB2312"/>
                <w:sz w:val="24"/>
                <w:szCs w:val="24"/>
              </w:rPr>
            </w:pPr>
            <w:r>
              <w:rPr>
                <w:rFonts w:hint="eastAsia" w:ascii="仿宋_GB2312" w:hAnsi="ˎ̥" w:eastAsia="仿宋_GB2312"/>
                <w:sz w:val="24"/>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770"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火化厂</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64" w:firstLineChars="200"/>
              <w:rPr>
                <w:rFonts w:hint="eastAsia" w:ascii="仿宋_GB2312" w:hAnsi="ˎ̥" w:eastAsia="仿宋_GB2312"/>
                <w:spacing w:val="-4"/>
                <w:sz w:val="24"/>
                <w:szCs w:val="24"/>
              </w:rPr>
            </w:pPr>
            <w:r>
              <w:rPr>
                <w:rFonts w:hint="eastAsia" w:ascii="仿宋_GB2312" w:hAnsi="ˎ̥" w:eastAsia="仿宋_GB2312"/>
                <w:spacing w:val="-4"/>
                <w:sz w:val="24"/>
              </w:rPr>
              <w:t>提供殡仪馆服务，接运遗体，冷藏遗体，开展遗体告别活动，对遗体进行火化，出具火化证件和手续服务，使丧属悲痛而来，满意而归。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770"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地名办</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770"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770" w:type="dxa"/>
            <w:tcBorders>
              <w:top w:val="single" w:color="auto" w:sz="6" w:space="0"/>
              <w:left w:val="single" w:color="auto" w:sz="12" w:space="0"/>
              <w:bottom w:val="single" w:color="auto" w:sz="12"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老龄委</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主要负责全县老年人优惠政策的制定、协调落实，老年人优待证发放和80岁以上老年人高龄津贴发放工作。</w:t>
            </w:r>
          </w:p>
        </w:tc>
      </w:tr>
    </w:tbl>
    <w:p>
      <w:pPr>
        <w:widowControl/>
        <w:spacing w:line="360" w:lineRule="auto"/>
        <w:ind w:left="640"/>
        <w:jc w:val="left"/>
        <w:rPr>
          <w:rFonts w:ascii="仿宋" w:hAnsi="仿宋" w:eastAsia="仿宋" w:cs="方正仿宋_GBK"/>
          <w:sz w:val="32"/>
          <w:szCs w:val="32"/>
        </w:rPr>
      </w:pPr>
    </w:p>
    <w:p>
      <w:pPr>
        <w:autoSpaceDE w:val="0"/>
        <w:autoSpaceDN w:val="0"/>
        <w:adjustRightInd w:val="0"/>
        <w:ind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成安县民政局</w:t>
            </w:r>
          </w:p>
        </w:tc>
        <w:tc>
          <w:tcPr>
            <w:tcW w:w="1134"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行政</w:t>
            </w:r>
          </w:p>
        </w:tc>
        <w:tc>
          <w:tcPr>
            <w:tcW w:w="1276"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科</w:t>
            </w:r>
            <w:r>
              <w:rPr>
                <w:rFonts w:hint="eastAsia" w:ascii="Times New Roman" w:hAnsi="Times New Roman" w:eastAsia="方正书宋_GBK" w:cs="Times New Roman"/>
                <w:sz w:val="18"/>
                <w:szCs w:val="18"/>
              </w:rPr>
              <w:t>级</w:t>
            </w:r>
          </w:p>
        </w:tc>
        <w:tc>
          <w:tcPr>
            <w:tcW w:w="2902"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p>
        </w:tc>
        <w:tc>
          <w:tcPr>
            <w:tcW w:w="1134" w:type="dxa"/>
            <w:vAlign w:val="center"/>
          </w:tcPr>
          <w:p>
            <w:pPr>
              <w:spacing w:line="300" w:lineRule="exact"/>
              <w:jc w:val="left"/>
              <w:rPr>
                <w:rFonts w:ascii="Times New Roman" w:hAnsi="Times New Roman" w:eastAsia="方正书宋_GBK" w:cs="Times New Roman"/>
                <w:sz w:val="18"/>
                <w:szCs w:val="18"/>
              </w:rPr>
            </w:pPr>
          </w:p>
        </w:tc>
        <w:tc>
          <w:tcPr>
            <w:tcW w:w="1276" w:type="dxa"/>
            <w:vAlign w:val="center"/>
          </w:tcPr>
          <w:p>
            <w:pPr>
              <w:spacing w:line="300" w:lineRule="exact"/>
              <w:jc w:val="left"/>
              <w:rPr>
                <w:rFonts w:ascii="Times New Roman" w:hAnsi="Times New Roman" w:eastAsia="方正书宋_GBK" w:cs="Times New Roman"/>
                <w:sz w:val="18"/>
                <w:szCs w:val="18"/>
              </w:rPr>
            </w:pPr>
          </w:p>
        </w:tc>
        <w:tc>
          <w:tcPr>
            <w:tcW w:w="2902" w:type="dxa"/>
            <w:vAlign w:val="center"/>
          </w:tcPr>
          <w:p>
            <w:pPr>
              <w:spacing w:line="300" w:lineRule="exact"/>
              <w:jc w:val="left"/>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p>
        </w:tc>
        <w:tc>
          <w:tcPr>
            <w:tcW w:w="1134" w:type="dxa"/>
            <w:vAlign w:val="center"/>
          </w:tcPr>
          <w:p>
            <w:pPr>
              <w:spacing w:line="300" w:lineRule="exact"/>
              <w:jc w:val="left"/>
              <w:rPr>
                <w:rFonts w:ascii="Times New Roman" w:hAnsi="Times New Roman" w:eastAsia="方正书宋_GBK" w:cs="Times New Roman"/>
                <w:sz w:val="18"/>
                <w:szCs w:val="18"/>
              </w:rPr>
            </w:pPr>
          </w:p>
        </w:tc>
        <w:tc>
          <w:tcPr>
            <w:tcW w:w="1276" w:type="dxa"/>
            <w:vAlign w:val="center"/>
          </w:tcPr>
          <w:p>
            <w:pPr>
              <w:spacing w:line="300" w:lineRule="exact"/>
              <w:jc w:val="left"/>
              <w:rPr>
                <w:rFonts w:ascii="Times New Roman" w:hAnsi="Times New Roman" w:eastAsia="方正书宋_GBK" w:cs="Times New Roman"/>
                <w:sz w:val="18"/>
                <w:szCs w:val="18"/>
              </w:rPr>
            </w:pPr>
          </w:p>
        </w:tc>
        <w:tc>
          <w:tcPr>
            <w:tcW w:w="2902" w:type="dxa"/>
            <w:vAlign w:val="center"/>
          </w:tcPr>
          <w:p>
            <w:pPr>
              <w:spacing w:line="300" w:lineRule="exact"/>
              <w:jc w:val="left"/>
              <w:rPr>
                <w:rFonts w:ascii="Times New Roman" w:hAnsi="Times New Roman" w:eastAsia="方正书宋_GBK" w:cs="Times New Roman"/>
                <w:sz w:val="18"/>
                <w:szCs w:val="18"/>
              </w:rPr>
            </w:pP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方正仿宋_GBK"/>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年预算收入</w:t>
      </w:r>
      <w:r>
        <w:rPr>
          <w:rFonts w:ascii="仿宋" w:hAnsi="仿宋" w:eastAsia="仿宋" w:cs="方正仿宋_GBK"/>
          <w:sz w:val="32"/>
          <w:szCs w:val="32"/>
        </w:rPr>
        <w:t>6904.03</w:t>
      </w:r>
      <w:r>
        <w:rPr>
          <w:rFonts w:hint="eastAsia" w:ascii="仿宋" w:hAnsi="仿宋" w:eastAsia="仿宋" w:cs="方正仿宋_GBK"/>
          <w:sz w:val="32"/>
          <w:szCs w:val="32"/>
        </w:rPr>
        <w:t>万元，其中：一般公共预算收入6839.55万元，政府性基金收入64.48万元，国有资本经营收入</w:t>
      </w:r>
      <w:r>
        <w:rPr>
          <w:rFonts w:ascii="仿宋" w:hAnsi="仿宋" w:eastAsia="仿宋" w:cs="方正仿宋_GBK"/>
          <w:sz w:val="32"/>
          <w:szCs w:val="32"/>
        </w:rPr>
        <w:t>0</w:t>
      </w:r>
      <w:r>
        <w:rPr>
          <w:rFonts w:hint="eastAsia" w:ascii="仿宋" w:hAnsi="仿宋" w:eastAsia="仿宋" w:cs="方正仿宋_GBK"/>
          <w:sz w:val="32"/>
          <w:szCs w:val="32"/>
        </w:rPr>
        <w:t>万元，事业收入</w:t>
      </w:r>
      <w:r>
        <w:rPr>
          <w:rFonts w:ascii="仿宋" w:hAnsi="仿宋" w:eastAsia="仿宋" w:cs="方正仿宋_GBK"/>
          <w:sz w:val="32"/>
          <w:szCs w:val="32"/>
        </w:rPr>
        <w:t>0</w:t>
      </w:r>
      <w:r>
        <w:rPr>
          <w:rFonts w:hint="eastAsia" w:ascii="仿宋" w:hAnsi="仿宋" w:eastAsia="仿宋" w:cs="方正仿宋_GBK"/>
          <w:sz w:val="32"/>
          <w:szCs w:val="32"/>
        </w:rPr>
        <w:t>万元，其他收入</w:t>
      </w:r>
      <w:r>
        <w:rPr>
          <w:rFonts w:ascii="仿宋" w:hAnsi="仿宋" w:eastAsia="仿宋" w:cs="方正仿宋_GBK"/>
          <w:sz w:val="32"/>
          <w:szCs w:val="32"/>
        </w:rPr>
        <w:t>0</w:t>
      </w:r>
      <w:r>
        <w:rPr>
          <w:rFonts w:hint="eastAsia" w:ascii="仿宋" w:hAnsi="仿宋" w:eastAsia="仿宋" w:cs="方正仿宋_GBK"/>
          <w:sz w:val="32"/>
          <w:szCs w:val="32"/>
        </w:rPr>
        <w:t>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方正仿宋_GBK"/>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年支出预算6904.03万元，其中基本支出</w:t>
      </w:r>
      <w:r>
        <w:rPr>
          <w:rFonts w:ascii="仿宋" w:hAnsi="仿宋" w:eastAsia="仿宋" w:cs="方正仿宋_GBK"/>
          <w:sz w:val="32"/>
          <w:szCs w:val="32"/>
        </w:rPr>
        <w:t>446.89</w:t>
      </w:r>
      <w:r>
        <w:rPr>
          <w:rFonts w:hint="eastAsia" w:ascii="仿宋" w:hAnsi="仿宋" w:eastAsia="仿宋" w:cs="方正仿宋_GBK"/>
          <w:sz w:val="32"/>
          <w:szCs w:val="32"/>
        </w:rPr>
        <w:t>万元，包括人员经费391.19万元和日常公用经费55.7万元；项目支出</w:t>
      </w:r>
      <w:r>
        <w:rPr>
          <w:rFonts w:ascii="仿宋" w:hAnsi="仿宋" w:eastAsia="仿宋" w:cs="方正仿宋_GBK"/>
          <w:sz w:val="32"/>
          <w:szCs w:val="32"/>
        </w:rPr>
        <w:t>6392.66</w:t>
      </w:r>
      <w:r>
        <w:rPr>
          <w:rFonts w:hint="eastAsia" w:ascii="仿宋" w:hAnsi="仿宋" w:eastAsia="仿宋" w:cs="方正仿宋_GBK"/>
          <w:sz w:val="32"/>
          <w:szCs w:val="32"/>
        </w:rPr>
        <w:t>万元，主要为农村五保供养、孤儿基本生活保障、老年人生活补助金等;政府性基金预算财政拨款64.48万元。</w:t>
      </w:r>
    </w:p>
    <w:p>
      <w:pPr>
        <w:spacing w:line="560" w:lineRule="exact"/>
        <w:ind w:firstLine="800" w:firstLineChars="249"/>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3</w:t>
      </w:r>
      <w:r>
        <w:rPr>
          <w:rFonts w:hint="eastAsia" w:ascii="楷体" w:hAnsi="楷体" w:eastAsia="楷体" w:cs="楷体"/>
          <w:b/>
          <w:bCs/>
          <w:color w:val="000000" w:themeColor="text1"/>
          <w:sz w:val="32"/>
          <w:szCs w:val="32"/>
        </w:rPr>
        <w:t>、比上年增减变化情况</w:t>
      </w:r>
    </w:p>
    <w:p>
      <w:pPr>
        <w:rPr>
          <w:rFonts w:ascii="仿宋" w:hAnsi="仿宋" w:eastAsia="仿宋" w:cs="方正仿宋_GBK"/>
          <w:color w:val="000000" w:themeColor="text1"/>
          <w:sz w:val="32"/>
          <w:szCs w:val="32"/>
        </w:rPr>
      </w:pPr>
      <w:r>
        <w:rPr>
          <w:rFonts w:ascii="仿宋" w:hAnsi="仿宋" w:eastAsia="仿宋" w:cs="Times New Roman"/>
          <w:color w:val="000000" w:themeColor="text1"/>
          <w:sz w:val="32"/>
          <w:szCs w:val="32"/>
        </w:rPr>
        <w:t xml:space="preserve"> </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201</w:t>
      </w:r>
      <w:r>
        <w:rPr>
          <w:rFonts w:hint="eastAsia" w:ascii="仿宋" w:hAnsi="仿宋" w:eastAsia="仿宋" w:cs="Times New Roman"/>
          <w:color w:val="000000" w:themeColor="text1"/>
          <w:sz w:val="32"/>
          <w:szCs w:val="32"/>
        </w:rPr>
        <w:t>9</w:t>
      </w:r>
      <w:r>
        <w:rPr>
          <w:rFonts w:hint="eastAsia" w:ascii="仿宋" w:hAnsi="仿宋" w:eastAsia="仿宋" w:cs="方正仿宋_GBK"/>
          <w:color w:val="000000" w:themeColor="text1"/>
          <w:sz w:val="32"/>
          <w:szCs w:val="32"/>
        </w:rPr>
        <w:t>年预算收支安排6904.03万元，较</w:t>
      </w:r>
      <w:r>
        <w:rPr>
          <w:rFonts w:ascii="仿宋" w:hAnsi="仿宋" w:eastAsia="仿宋" w:cs="Times New Roman"/>
          <w:color w:val="000000" w:themeColor="text1"/>
          <w:sz w:val="32"/>
          <w:szCs w:val="32"/>
        </w:rPr>
        <w:t>201</w:t>
      </w:r>
      <w:r>
        <w:rPr>
          <w:rFonts w:hint="eastAsia" w:ascii="仿宋" w:hAnsi="仿宋" w:eastAsia="仿宋" w:cs="Times New Roman"/>
          <w:color w:val="000000" w:themeColor="text1"/>
          <w:sz w:val="32"/>
          <w:szCs w:val="32"/>
        </w:rPr>
        <w:t>8</w:t>
      </w:r>
      <w:r>
        <w:rPr>
          <w:rFonts w:hint="eastAsia" w:ascii="仿宋" w:hAnsi="仿宋" w:eastAsia="仿宋" w:cs="方正仿宋_GBK"/>
          <w:color w:val="000000" w:themeColor="text1"/>
          <w:sz w:val="32"/>
          <w:szCs w:val="32"/>
        </w:rPr>
        <w:t>年预算增加5125.78万元，其中：基本支出增加13.72万元，</w:t>
      </w:r>
      <w:r>
        <w:rPr>
          <w:rFonts w:hint="eastAsia" w:ascii="仿宋" w:hAnsi="仿宋" w:eastAsia="仿宋" w:cs="仿宋_GB2312"/>
          <w:kern w:val="0"/>
          <w:sz w:val="32"/>
          <w:szCs w:val="32"/>
        </w:rPr>
        <w:t>主要是2019年对机关事业单位养老保险自2014年10月起进行清算，增加部分为单位20%部分养老保险清算资金</w:t>
      </w:r>
      <w:r>
        <w:rPr>
          <w:rFonts w:hint="eastAsia" w:ascii="仿宋" w:hAnsi="仿宋" w:eastAsia="仿宋" w:cs="方正仿宋_GBK"/>
          <w:color w:val="000000" w:themeColor="text1"/>
          <w:sz w:val="32"/>
          <w:szCs w:val="32"/>
        </w:rPr>
        <w:t>；项目支出预算增加5112.06万元</w:t>
      </w:r>
      <w:r>
        <w:rPr>
          <w:rFonts w:hint="eastAsia" w:ascii="仿宋" w:hAnsi="仿宋" w:eastAsia="仿宋" w:cs="方正仿宋_GBK"/>
          <w:sz w:val="32"/>
          <w:szCs w:val="32"/>
        </w:rPr>
        <w:t>，</w:t>
      </w:r>
      <w:r>
        <w:rPr>
          <w:rFonts w:hint="eastAsia" w:ascii="仿宋" w:hAnsi="仿宋" w:eastAsia="仿宋" w:cs="方正仿宋_GBK"/>
          <w:color w:val="000000" w:themeColor="text1"/>
          <w:sz w:val="32"/>
          <w:szCs w:val="32"/>
        </w:rPr>
        <w:t>主要为国家将困难群众资金统筹使用，上年</w:t>
      </w:r>
      <w:r>
        <w:rPr>
          <w:rFonts w:hint="eastAsia" w:ascii="仿宋" w:hAnsi="仿宋" w:eastAsia="仿宋"/>
          <w:color w:val="000000" w:themeColor="text1"/>
          <w:kern w:val="0"/>
          <w:sz w:val="32"/>
          <w:szCs w:val="32"/>
        </w:rPr>
        <w:t>不确定的项目未列入预算，今年列入预算</w:t>
      </w:r>
      <w:r>
        <w:rPr>
          <w:rFonts w:hint="eastAsia" w:ascii="仿宋" w:hAnsi="仿宋" w:eastAsia="仿宋" w:cs="方正仿宋_GBK"/>
          <w:color w:val="000000" w:themeColor="text1"/>
          <w:sz w:val="32"/>
          <w:szCs w:val="32"/>
        </w:rPr>
        <w:t>。</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机关运行经费共计安排55.7万元，主要用于办公区的日常维修、办公用房水电费、邮电费、办公用房取暖费、办公用房物业管理费等日常运行支出。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经费预算安排10.8万元，其中因公出国（境）费</w:t>
      </w:r>
      <w:r>
        <w:rPr>
          <w:rFonts w:ascii="仿宋" w:hAnsi="仿宋" w:eastAsia="仿宋" w:cs="方正仿宋_GBK"/>
          <w:sz w:val="32"/>
          <w:szCs w:val="32"/>
        </w:rPr>
        <w:t>0</w:t>
      </w:r>
      <w:r>
        <w:rPr>
          <w:rFonts w:hint="eastAsia" w:ascii="仿宋" w:hAnsi="仿宋" w:eastAsia="仿宋" w:cs="方正仿宋_GBK"/>
          <w:sz w:val="32"/>
          <w:szCs w:val="32"/>
        </w:rPr>
        <w:t>万元；公务用车购置及运维费10.8万元（其中：公务用车购置费为</w:t>
      </w:r>
      <w:r>
        <w:rPr>
          <w:rFonts w:ascii="仿宋" w:hAnsi="仿宋" w:eastAsia="仿宋" w:cs="方正仿宋_GBK"/>
          <w:sz w:val="32"/>
          <w:szCs w:val="32"/>
        </w:rPr>
        <w:t>0</w:t>
      </w:r>
      <w:r>
        <w:rPr>
          <w:rFonts w:hint="eastAsia" w:ascii="仿宋" w:hAnsi="仿宋" w:eastAsia="仿宋" w:cs="方正仿宋_GBK"/>
          <w:sz w:val="32"/>
          <w:szCs w:val="32"/>
        </w:rPr>
        <w:t>万元，公务用车运行费10.8万元</w:t>
      </w:r>
      <w:r>
        <w:rPr>
          <w:rFonts w:ascii="仿宋" w:hAnsi="仿宋" w:eastAsia="仿宋" w:cs="Times New Roman"/>
          <w:sz w:val="32"/>
          <w:szCs w:val="32"/>
        </w:rPr>
        <w:t>)</w:t>
      </w:r>
      <w:r>
        <w:rPr>
          <w:rFonts w:hint="eastAsia" w:ascii="仿宋" w:hAnsi="仿宋" w:eastAsia="仿宋" w:cs="方正仿宋_GBK"/>
          <w:sz w:val="32"/>
          <w:szCs w:val="32"/>
        </w:rPr>
        <w:t>；公务接待费</w:t>
      </w:r>
      <w:r>
        <w:rPr>
          <w:rFonts w:ascii="仿宋" w:hAnsi="仿宋" w:eastAsia="仿宋" w:cs="方正仿宋_GBK"/>
          <w:sz w:val="32"/>
          <w:szCs w:val="32"/>
        </w:rPr>
        <w:t>0</w:t>
      </w:r>
      <w:r>
        <w:rPr>
          <w:rFonts w:hint="eastAsia" w:ascii="仿宋" w:hAnsi="仿宋" w:eastAsia="仿宋" w:cs="方正仿宋_GBK"/>
          <w:sz w:val="32"/>
          <w:szCs w:val="32"/>
        </w:rPr>
        <w:t>万元。与</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方正仿宋_GBK"/>
          <w:sz w:val="32"/>
          <w:szCs w:val="32"/>
        </w:rPr>
        <w:t>年相比，降低了10%，</w:t>
      </w:r>
      <w:r>
        <w:rPr>
          <w:rFonts w:hint="eastAsia" w:ascii="仿宋" w:hAnsi="仿宋" w:eastAsia="仿宋" w:cs="方正仿宋_GBK"/>
          <w:sz w:val="32"/>
          <w:szCs w:val="32"/>
          <w:lang w:eastAsia="zh-CN"/>
        </w:rPr>
        <w:t>均为</w:t>
      </w:r>
      <w:r>
        <w:rPr>
          <w:rFonts w:hint="eastAsia" w:ascii="仿宋" w:hAnsi="仿宋" w:eastAsia="仿宋" w:cs="方正仿宋_GBK"/>
          <w:sz w:val="32"/>
          <w:szCs w:val="32"/>
        </w:rPr>
        <w:t>公务用车运行费</w:t>
      </w:r>
      <w:r>
        <w:rPr>
          <w:rFonts w:hint="eastAsia" w:ascii="仿宋" w:hAnsi="仿宋" w:eastAsia="仿宋" w:cs="方正仿宋_GBK"/>
          <w:sz w:val="32"/>
          <w:szCs w:val="32"/>
          <w:lang w:eastAsia="zh-CN"/>
        </w:rPr>
        <w:t>，</w:t>
      </w:r>
      <w:r>
        <w:rPr>
          <w:rFonts w:hint="eastAsia" w:ascii="仿宋" w:hAnsi="仿宋" w:eastAsia="仿宋" w:cs="方正仿宋_GBK"/>
          <w:sz w:val="32"/>
          <w:szCs w:val="32"/>
        </w:rPr>
        <w:t>主要原因节约开支，严格控制三公经费支出。</w:t>
      </w:r>
    </w:p>
    <w:p>
      <w:pPr>
        <w:spacing w:line="560" w:lineRule="exact"/>
        <w:ind w:firstLine="800" w:firstLineChars="25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800" w:firstLineChars="250"/>
        <w:rPr>
          <w:rFonts w:hint="eastAsia" w:ascii="黑体" w:hAnsi="黑体" w:eastAsia="黑体" w:cs="黑体"/>
          <w:sz w:val="32"/>
          <w:szCs w:val="32"/>
        </w:rPr>
      </w:pPr>
      <w:bookmarkStart w:id="0" w:name="_Toc471398463"/>
      <w:r>
        <w:rPr>
          <w:rFonts w:hint="eastAsia" w:ascii="黑体" w:hAnsi="黑体" w:eastAsia="黑体" w:cs="黑体"/>
          <w:sz w:val="32"/>
          <w:szCs w:val="32"/>
        </w:rPr>
        <w:t>（一）总体绩效目标</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ascii="仿宋" w:hAnsi="仿宋" w:eastAsia="仿宋" w:cs="方正仿宋_GBK"/>
          <w:sz w:val="32"/>
          <w:szCs w:val="32"/>
          <w:lang w:val="en-US" w:eastAsia="zh-CN"/>
        </w:rPr>
        <w:t>19</w:t>
      </w:r>
      <w:r>
        <w:rPr>
          <w:rFonts w:hint="eastAsia" w:ascii="仿宋" w:hAnsi="仿宋" w:eastAsia="仿宋" w:cs="方正仿宋_GBK"/>
          <w:sz w:val="32"/>
          <w:szCs w:val="32"/>
        </w:rPr>
        <w:t>年农村低保标准不低于扶贫标准,</w:t>
      </w:r>
      <w:r>
        <w:rPr>
          <w:rFonts w:hint="eastAsia" w:ascii="仿宋" w:hAnsi="仿宋" w:eastAsia="仿宋" w:cs="方正仿宋_GBK"/>
          <w:sz w:val="32"/>
          <w:szCs w:val="32"/>
          <w:lang w:eastAsia="zh-CN"/>
        </w:rPr>
        <w:t>加大</w:t>
      </w:r>
      <w:r>
        <w:rPr>
          <w:rFonts w:hint="eastAsia" w:ascii="仿宋" w:hAnsi="仿宋" w:eastAsia="仿宋" w:cs="方正仿宋_GBK"/>
          <w:sz w:val="32"/>
          <w:szCs w:val="32"/>
        </w:rPr>
        <w:t>生活不能自理特困人员集中供养率，逐步提高孤儿、困难和重度残疾人生活护理水平。优化基本社会服务供给，</w:t>
      </w:r>
      <w:r>
        <w:rPr>
          <w:rFonts w:hint="eastAsia" w:ascii="仿宋" w:hAnsi="仿宋" w:eastAsia="仿宋" w:cs="方正仿宋_GBK"/>
          <w:sz w:val="32"/>
          <w:szCs w:val="32"/>
          <w:lang w:eastAsia="zh-CN"/>
        </w:rPr>
        <w:t>提高</w:t>
      </w:r>
      <w:r>
        <w:rPr>
          <w:rFonts w:hint="eastAsia" w:ascii="仿宋" w:hAnsi="仿宋" w:eastAsia="仿宋" w:cs="方正仿宋_GBK"/>
          <w:sz w:val="32"/>
          <w:szCs w:val="32"/>
        </w:rPr>
        <w:t>居家养老服务设施覆盖</w:t>
      </w:r>
      <w:r>
        <w:rPr>
          <w:rFonts w:hint="eastAsia" w:ascii="仿宋" w:hAnsi="仿宋" w:eastAsia="仿宋" w:cs="方正仿宋_GBK"/>
          <w:sz w:val="32"/>
          <w:szCs w:val="32"/>
          <w:lang w:eastAsia="zh-CN"/>
        </w:rPr>
        <w:t>率</w:t>
      </w:r>
      <w:r>
        <w:rPr>
          <w:rFonts w:hint="eastAsia" w:ascii="仿宋" w:hAnsi="仿宋" w:eastAsia="仿宋" w:cs="方正仿宋_GBK"/>
          <w:sz w:val="32"/>
          <w:szCs w:val="32"/>
        </w:rPr>
        <w:t>，殡葬设施满足群众基本需求和环境保护标准要求，</w:t>
      </w:r>
      <w:r>
        <w:rPr>
          <w:rFonts w:hint="eastAsia" w:ascii="仿宋" w:hAnsi="仿宋" w:eastAsia="仿宋" w:cs="方正仿宋_GBK"/>
          <w:sz w:val="32"/>
          <w:szCs w:val="32"/>
          <w:lang w:eastAsia="zh-CN"/>
        </w:rPr>
        <w:t>提升</w:t>
      </w:r>
      <w:r>
        <w:rPr>
          <w:rFonts w:hint="eastAsia" w:ascii="仿宋" w:hAnsi="仿宋" w:eastAsia="仿宋" w:cs="方正仿宋_GBK"/>
          <w:sz w:val="32"/>
          <w:szCs w:val="32"/>
        </w:rPr>
        <w:t>农村公益性公墓覆盖率。提升社会治理水平，加强基层政权和社区建设</w:t>
      </w:r>
      <w:r>
        <w:rPr>
          <w:rFonts w:hint="eastAsia" w:ascii="仿宋" w:hAnsi="仿宋" w:eastAsia="仿宋" w:cs="方正仿宋_GBK"/>
          <w:sz w:val="32"/>
          <w:szCs w:val="32"/>
          <w:lang w:eastAsia="zh-CN"/>
        </w:rPr>
        <w:t>；</w:t>
      </w:r>
      <w:r>
        <w:rPr>
          <w:rFonts w:hint="eastAsia" w:ascii="仿宋" w:hAnsi="仿宋" w:eastAsia="仿宋" w:cs="方正仿宋_GBK"/>
          <w:sz w:val="32"/>
          <w:szCs w:val="32"/>
        </w:rPr>
        <w:t>大力发展社会组织、社会工作和慈善事业。</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绩效目标：稳步推进城乡低保提标，精准落实农村困难群体特惠政策。落实特困人员供养制度，按标准发放基本生活费和护理费。</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绩效指标：农村低保标准考虑低保制度城乡统筹因素，20</w:t>
      </w:r>
      <w:r>
        <w:rPr>
          <w:rFonts w:hint="eastAsia" w:ascii="仿宋" w:hAnsi="仿宋" w:eastAsia="仿宋" w:cs="方正仿宋_GBK"/>
          <w:sz w:val="32"/>
          <w:szCs w:val="32"/>
          <w:lang w:val="en-US" w:eastAsia="zh-CN"/>
        </w:rPr>
        <w:t>19</w:t>
      </w:r>
      <w:r>
        <w:rPr>
          <w:rFonts w:hint="eastAsia" w:ascii="仿宋" w:hAnsi="仿宋" w:eastAsia="仿宋" w:cs="方正仿宋_GBK"/>
          <w:sz w:val="32"/>
          <w:szCs w:val="32"/>
        </w:rPr>
        <w:t>年全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农村低保</w:t>
      </w:r>
      <w:r>
        <w:rPr>
          <w:rFonts w:hint="eastAsia" w:ascii="仿宋" w:hAnsi="仿宋" w:eastAsia="仿宋" w:cs="方正仿宋_GBK"/>
          <w:sz w:val="32"/>
          <w:szCs w:val="32"/>
          <w:lang w:eastAsia="zh-CN"/>
        </w:rPr>
        <w:t>保障</w:t>
      </w:r>
      <w:r>
        <w:rPr>
          <w:rFonts w:hint="eastAsia" w:ascii="仿宋" w:hAnsi="仿宋" w:eastAsia="仿宋" w:cs="方正仿宋_GBK"/>
          <w:sz w:val="32"/>
          <w:szCs w:val="32"/>
        </w:rPr>
        <w:t>标准达到</w:t>
      </w:r>
      <w:r>
        <w:rPr>
          <w:rFonts w:hint="eastAsia" w:ascii="仿宋" w:hAnsi="仿宋" w:eastAsia="仿宋" w:cs="方正仿宋_GBK"/>
          <w:sz w:val="32"/>
          <w:szCs w:val="32"/>
          <w:lang w:val="en-US" w:eastAsia="zh-CN"/>
        </w:rPr>
        <w:t>5124</w:t>
      </w:r>
      <w:r>
        <w:rPr>
          <w:rFonts w:hint="eastAsia" w:ascii="仿宋" w:hAnsi="仿宋" w:eastAsia="仿宋" w:cs="方正仿宋_GBK"/>
          <w:sz w:val="32"/>
          <w:szCs w:val="32"/>
        </w:rPr>
        <w:t>元/年；全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城市低保</w:t>
      </w:r>
      <w:r>
        <w:rPr>
          <w:rFonts w:hint="eastAsia" w:ascii="仿宋" w:hAnsi="仿宋" w:eastAsia="仿宋" w:cs="方正仿宋_GBK"/>
          <w:sz w:val="32"/>
          <w:szCs w:val="32"/>
          <w:lang w:eastAsia="zh-CN"/>
        </w:rPr>
        <w:t>保障</w:t>
      </w:r>
      <w:r>
        <w:rPr>
          <w:rFonts w:hint="eastAsia" w:ascii="仿宋" w:hAnsi="仿宋" w:eastAsia="仿宋" w:cs="方正仿宋_GBK"/>
          <w:sz w:val="32"/>
          <w:szCs w:val="32"/>
        </w:rPr>
        <w:t>标准</w:t>
      </w:r>
      <w:r>
        <w:rPr>
          <w:rFonts w:hint="eastAsia" w:ascii="仿宋" w:hAnsi="仿宋" w:eastAsia="仿宋" w:cs="方正仿宋_GBK"/>
          <w:sz w:val="32"/>
          <w:szCs w:val="32"/>
          <w:lang w:val="en-US" w:eastAsia="zh-CN"/>
        </w:rPr>
        <w:t>702</w:t>
      </w:r>
      <w:r>
        <w:rPr>
          <w:rFonts w:hint="eastAsia" w:ascii="仿宋" w:hAnsi="仿宋" w:eastAsia="仿宋" w:cs="方正仿宋_GBK"/>
          <w:sz w:val="32"/>
          <w:szCs w:val="32"/>
        </w:rPr>
        <w:t>元/</w:t>
      </w:r>
      <w:r>
        <w:rPr>
          <w:rFonts w:hint="eastAsia" w:ascii="仿宋" w:hAnsi="仿宋" w:eastAsia="仿宋" w:cs="方正仿宋_GBK"/>
          <w:sz w:val="32"/>
          <w:szCs w:val="32"/>
          <w:lang w:eastAsia="zh-CN"/>
        </w:rPr>
        <w:t>月</w:t>
      </w:r>
      <w:r>
        <w:rPr>
          <w:rFonts w:hint="eastAsia" w:ascii="仿宋" w:hAnsi="仿宋" w:eastAsia="仿宋" w:cs="方正仿宋_GBK"/>
          <w:sz w:val="32"/>
          <w:szCs w:val="32"/>
        </w:rPr>
        <w:t>。特困人员基本生活标准不低于当地低保标准的1.3倍；部分或完全丧失生活自理能力的特困人员年照料护理标准，不低于所在</w:t>
      </w:r>
      <w:r>
        <w:rPr>
          <w:rFonts w:hint="eastAsia" w:ascii="仿宋" w:hAnsi="仿宋" w:eastAsia="仿宋" w:cs="方正仿宋_GBK"/>
          <w:sz w:val="32"/>
          <w:szCs w:val="32"/>
          <w:lang w:eastAsia="zh-CN"/>
        </w:rPr>
        <w:t>我</w:t>
      </w:r>
      <w:r>
        <w:rPr>
          <w:rFonts w:hint="eastAsia" w:ascii="仿宋" w:hAnsi="仿宋" w:eastAsia="仿宋" w:cs="方正仿宋_GBK"/>
          <w:sz w:val="32"/>
          <w:szCs w:val="32"/>
        </w:rPr>
        <w:t>县年最低工资标准的10%。</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绩效指标：将我</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孤儿基本生活补贴最低养育标准</w:t>
      </w:r>
      <w:r>
        <w:rPr>
          <w:rFonts w:hint="eastAsia" w:ascii="仿宋" w:hAnsi="仿宋" w:eastAsia="仿宋" w:cs="方正仿宋_GBK"/>
          <w:sz w:val="32"/>
          <w:szCs w:val="32"/>
          <w:lang w:eastAsia="zh-CN"/>
        </w:rPr>
        <w:t>达到</w:t>
      </w:r>
      <w:r>
        <w:rPr>
          <w:rFonts w:hint="eastAsia" w:ascii="仿宋" w:hAnsi="仿宋" w:eastAsia="仿宋" w:cs="方正仿宋_GBK"/>
          <w:sz w:val="32"/>
          <w:szCs w:val="32"/>
        </w:rPr>
        <w:t>社会散居孤儿1000元/人/月。从20</w:t>
      </w:r>
      <w:r>
        <w:rPr>
          <w:rFonts w:hint="eastAsia" w:ascii="仿宋" w:hAnsi="仿宋" w:eastAsia="仿宋" w:cs="方正仿宋_GBK"/>
          <w:sz w:val="32"/>
          <w:szCs w:val="32"/>
          <w:lang w:val="en-US" w:eastAsia="zh-CN"/>
        </w:rPr>
        <w:t>19</w:t>
      </w:r>
      <w:r>
        <w:rPr>
          <w:rFonts w:hint="eastAsia" w:ascii="仿宋" w:hAnsi="仿宋" w:eastAsia="仿宋" w:cs="方正仿宋_GBK"/>
          <w:sz w:val="32"/>
          <w:szCs w:val="32"/>
        </w:rPr>
        <w:t>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ascii="Times New Roman" w:hAnsi="Times New Roman"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绩效目标：实施社区和居家养老工程，提高养老服务质量，加快推进居家社区机构相协调、医养相结合的养老服务体系建设。加强和改进殡葬管理工作，支持全省殡葬服务设施和农村公益性公墓建设。</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绩效指标：到20</w:t>
      </w:r>
      <w:r>
        <w:rPr>
          <w:rFonts w:hint="eastAsia" w:ascii="仿宋" w:hAnsi="仿宋" w:eastAsia="仿宋" w:cs="方正仿宋_GBK"/>
          <w:sz w:val="32"/>
          <w:szCs w:val="32"/>
          <w:lang w:val="en-US" w:eastAsia="zh-CN"/>
        </w:rPr>
        <w:t>19</w:t>
      </w:r>
      <w:r>
        <w:rPr>
          <w:rFonts w:hint="eastAsia" w:ascii="仿宋" w:hAnsi="仿宋" w:eastAsia="仿宋" w:cs="方正仿宋_GBK"/>
          <w:sz w:val="32"/>
          <w:szCs w:val="32"/>
        </w:rPr>
        <w:t>年，</w:t>
      </w:r>
      <w:r>
        <w:rPr>
          <w:rFonts w:hint="eastAsia" w:ascii="仿宋" w:hAnsi="仿宋" w:eastAsia="仿宋" w:cs="方正仿宋_GBK"/>
          <w:sz w:val="32"/>
          <w:szCs w:val="32"/>
          <w:lang w:eastAsia="zh-CN"/>
        </w:rPr>
        <w:t>加大</w:t>
      </w:r>
      <w:r>
        <w:rPr>
          <w:rFonts w:hint="eastAsia" w:ascii="仿宋" w:hAnsi="仿宋" w:eastAsia="仿宋" w:cs="方正仿宋_GBK"/>
          <w:sz w:val="32"/>
          <w:szCs w:val="32"/>
        </w:rPr>
        <w:t>社区和居家养老服务设施覆盖</w:t>
      </w:r>
      <w:r>
        <w:rPr>
          <w:rFonts w:hint="eastAsia" w:ascii="仿宋" w:hAnsi="仿宋" w:eastAsia="仿宋" w:cs="方正仿宋_GBK"/>
          <w:sz w:val="32"/>
          <w:szCs w:val="32"/>
          <w:lang w:eastAsia="zh-CN"/>
        </w:rPr>
        <w:t>，打造</w:t>
      </w:r>
      <w:r>
        <w:rPr>
          <w:rFonts w:hint="eastAsia" w:ascii="仿宋" w:hAnsi="仿宋" w:eastAsia="仿宋" w:cs="方正仿宋_GBK"/>
          <w:sz w:val="32"/>
          <w:szCs w:val="32"/>
        </w:rPr>
        <w:t>星级养老机构，重点改造提升敬老院。提升殡葬服务能力</w:t>
      </w:r>
      <w:r>
        <w:rPr>
          <w:rFonts w:hint="eastAsia" w:ascii="仿宋" w:hAnsi="仿宋" w:eastAsia="仿宋" w:cs="方正仿宋_GBK"/>
          <w:sz w:val="32"/>
          <w:szCs w:val="32"/>
          <w:lang w:eastAsia="zh-CN"/>
        </w:rPr>
        <w:t>，</w:t>
      </w:r>
      <w:r>
        <w:rPr>
          <w:rFonts w:hint="eastAsia" w:ascii="仿宋" w:hAnsi="仿宋" w:eastAsia="仿宋" w:cs="方正仿宋_GBK"/>
          <w:sz w:val="32"/>
          <w:szCs w:val="32"/>
        </w:rPr>
        <w:t>推进全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农村公益性公墓</w:t>
      </w:r>
      <w:r>
        <w:rPr>
          <w:rFonts w:hint="eastAsia" w:ascii="仿宋" w:hAnsi="仿宋" w:eastAsia="仿宋" w:cs="方正仿宋_GBK"/>
          <w:sz w:val="32"/>
          <w:szCs w:val="32"/>
          <w:lang w:eastAsia="zh-CN"/>
        </w:rPr>
        <w:t>和骨灰堂</w:t>
      </w:r>
      <w:r>
        <w:rPr>
          <w:rFonts w:hint="eastAsia" w:ascii="仿宋" w:hAnsi="仿宋" w:eastAsia="仿宋" w:cs="方正仿宋_GBK"/>
          <w:sz w:val="32"/>
          <w:szCs w:val="32"/>
        </w:rPr>
        <w:t>建设</w:t>
      </w:r>
      <w:r>
        <w:rPr>
          <w:rFonts w:hint="eastAsia" w:ascii="仿宋" w:hAnsi="仿宋" w:eastAsia="仿宋" w:cs="方正仿宋_GBK"/>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绩效目标：加强城乡社区建设，促进全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社会组织高质量发展，加强社区社会工作专业人才队伍建设</w:t>
      </w:r>
      <w:r>
        <w:rPr>
          <w:rFonts w:hint="eastAsia" w:ascii="仿宋" w:hAnsi="仿宋" w:eastAsia="仿宋" w:cs="方正仿宋_GBK"/>
          <w:sz w:val="32"/>
          <w:szCs w:val="32"/>
          <w:lang w:eastAsia="zh-CN"/>
        </w:rPr>
        <w:t>。</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绩效指标：到</w:t>
      </w:r>
      <w:r>
        <w:rPr>
          <w:rFonts w:hint="eastAsia" w:ascii="仿宋" w:hAnsi="仿宋" w:eastAsia="仿宋" w:cs="方正仿宋_GBK"/>
          <w:sz w:val="32"/>
          <w:szCs w:val="32"/>
          <w:lang w:val="en-US" w:eastAsia="zh-CN"/>
        </w:rPr>
        <w:t>2019</w:t>
      </w:r>
      <w:r>
        <w:rPr>
          <w:rFonts w:hint="eastAsia" w:ascii="仿宋" w:hAnsi="仿宋" w:eastAsia="仿宋" w:cs="方正仿宋_GBK"/>
          <w:sz w:val="32"/>
          <w:szCs w:val="32"/>
        </w:rPr>
        <w:t>年，打造</w:t>
      </w:r>
      <w:r>
        <w:rPr>
          <w:rFonts w:hint="eastAsia" w:ascii="仿宋" w:hAnsi="仿宋" w:eastAsia="仿宋" w:cs="方正仿宋_GBK"/>
          <w:sz w:val="32"/>
          <w:szCs w:val="32"/>
          <w:lang w:eastAsia="zh-CN"/>
        </w:rPr>
        <w:t>县级</w:t>
      </w:r>
      <w:r>
        <w:rPr>
          <w:rFonts w:hint="eastAsia" w:ascii="仿宋" w:hAnsi="仿宋" w:eastAsia="仿宋" w:cs="方正仿宋_GBK"/>
          <w:sz w:val="32"/>
          <w:szCs w:val="32"/>
        </w:rPr>
        <w:t>品牌社会组织，培育在全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影响力大、认可度高的社会组织</w:t>
      </w:r>
      <w:r>
        <w:rPr>
          <w:rFonts w:hint="eastAsia" w:ascii="仿宋" w:hAnsi="仿宋" w:eastAsia="仿宋" w:cs="方正仿宋_GBK"/>
          <w:sz w:val="32"/>
          <w:szCs w:val="32"/>
          <w:lang w:eastAsia="zh-CN"/>
        </w:rPr>
        <w:t>。</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1、完善制度，建立高效工作机制。</w:t>
      </w:r>
      <w:r>
        <w:rPr>
          <w:rFonts w:hint="eastAsia" w:ascii="仿宋" w:hAnsi="仿宋" w:eastAsia="仿宋" w:cs="方正仿宋_GBK"/>
          <w:sz w:val="32"/>
          <w:szCs w:val="32"/>
        </w:rPr>
        <w:t>通过完善困难群众基本保障协调机制、精准认定精准核查机制、保障标准自然增长机制、养老服务机构星级评定机制、基层社会治理创新机制等，逐渐建立起适应我</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经济与社会发展，适应人民群众生活需求的比较完善的城乡社会保障、社会服务和社会治理体系，促进全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经济与社会又好又快发展。</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ascii="仿宋" w:hAnsi="仿宋" w:eastAsia="仿宋" w:cs="方正仿宋_GBK"/>
          <w:sz w:val="32"/>
          <w:szCs w:val="32"/>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ascii="仿宋" w:hAnsi="仿宋" w:eastAsia="仿宋" w:cs="方正仿宋_GBK"/>
          <w:sz w:val="32"/>
          <w:szCs w:val="32"/>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ascii="仿宋" w:hAnsi="仿宋" w:eastAsia="仿宋" w:cs="方正仿宋_GBK"/>
          <w:sz w:val="32"/>
          <w:szCs w:val="32"/>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5、加强培训，提高基层服务能力。</w:t>
      </w:r>
      <w:r>
        <w:rPr>
          <w:rFonts w:hint="eastAsia" w:ascii="仿宋" w:hAnsi="仿宋" w:eastAsia="仿宋" w:cs="方正仿宋_GBK"/>
          <w:sz w:val="32"/>
          <w:szCs w:val="32"/>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6、丰富手段，提高信息化水平。</w:t>
      </w:r>
      <w:r>
        <w:rPr>
          <w:rFonts w:hint="eastAsia" w:ascii="仿宋" w:hAnsi="仿宋" w:eastAsia="仿宋" w:cs="方正仿宋_GBK"/>
          <w:sz w:val="32"/>
          <w:szCs w:val="32"/>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ascii="仿宋" w:hAnsi="仿宋" w:eastAsia="仿宋" w:cs="方正仿宋_GBK"/>
          <w:sz w:val="32"/>
          <w:szCs w:val="32"/>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line="560" w:lineRule="exact"/>
        <w:ind w:firstLine="640" w:firstLineChars="200"/>
        <w:jc w:val="left"/>
        <w:outlineLvl w:val="0"/>
        <w:rPr>
          <w:rFonts w:ascii="??_GB2312" w:hAnsi="Times New Roman" w:eastAsia="Times New Roman" w:cs="Times New Roman"/>
          <w:b/>
          <w:bCs/>
          <w:sz w:val="32"/>
          <w:szCs w:val="32"/>
        </w:rPr>
      </w:pPr>
      <w:r>
        <w:rPr>
          <w:rFonts w:ascii="??_GB2312" w:hAnsi="黑体" w:eastAsia="Times New Roman" w:cs="??_GB2312"/>
          <w:b/>
          <w:bCs/>
          <w:sz w:val="32"/>
          <w:szCs w:val="32"/>
        </w:rPr>
        <w:t>部门职责及工作活动绩效目标指标：</w:t>
      </w:r>
    </w:p>
    <w:p>
      <w:pPr>
        <w:spacing w:line="560" w:lineRule="exact"/>
        <w:jc w:val="center"/>
        <w:outlineLvl w:val="0"/>
        <w:rPr>
          <w:rFonts w:ascii="方正小标宋_GBK" w:hAnsi="Times New Roman" w:eastAsia="方正小标宋_GBK" w:cs="Times New Roman"/>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12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134"/>
        <w:gridCol w:w="3544"/>
        <w:gridCol w:w="1701"/>
        <w:gridCol w:w="1843"/>
        <w:gridCol w:w="850"/>
        <w:gridCol w:w="709"/>
        <w:gridCol w:w="567"/>
        <w:gridCol w:w="5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66"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部门（单位）名称：民政局</w:t>
            </w:r>
          </w:p>
        </w:tc>
        <w:tc>
          <w:tcPr>
            <w:tcW w:w="2690"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restart"/>
            <w:vAlign w:val="center"/>
          </w:tcPr>
          <w:p>
            <w:pPr>
              <w:spacing w:line="560" w:lineRule="exact"/>
              <w:jc w:val="center"/>
              <w:rPr>
                <w:rFonts w:ascii="宋体" w:hAnsi="宋体" w:eastAsia="宋体" w:cs="Times New Roman"/>
                <w:sz w:val="24"/>
                <w:szCs w:val="24"/>
              </w:rPr>
            </w:pPr>
            <w:r>
              <w:rPr>
                <w:rFonts w:hint="eastAsia" w:ascii="宋体" w:hAnsi="宋体" w:eastAsia="宋体" w:cs="方正书宋_GBK"/>
                <w:b/>
                <w:bCs/>
                <w:sz w:val="24"/>
                <w:szCs w:val="24"/>
              </w:rPr>
              <w:t>职责活动</w:t>
            </w:r>
          </w:p>
        </w:tc>
        <w:tc>
          <w:tcPr>
            <w:tcW w:w="1134"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年度预算数</w:t>
            </w:r>
          </w:p>
        </w:tc>
        <w:tc>
          <w:tcPr>
            <w:tcW w:w="3544"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内容描述</w:t>
            </w:r>
          </w:p>
        </w:tc>
        <w:tc>
          <w:tcPr>
            <w:tcW w:w="1701"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绩效目标</w:t>
            </w:r>
          </w:p>
        </w:tc>
        <w:tc>
          <w:tcPr>
            <w:tcW w:w="1843"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绩效指标</w:t>
            </w:r>
          </w:p>
        </w:tc>
        <w:tc>
          <w:tcPr>
            <w:tcW w:w="2690" w:type="dxa"/>
            <w:gridSpan w:val="4"/>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continue"/>
            <w:vAlign w:val="center"/>
          </w:tcPr>
          <w:p>
            <w:pPr>
              <w:spacing w:line="560" w:lineRule="exact"/>
              <w:jc w:val="left"/>
              <w:outlineLvl w:val="0"/>
              <w:rPr>
                <w:rFonts w:ascii="宋体" w:hAnsi="宋体" w:eastAsia="宋体" w:cs="Times New Roman"/>
                <w:sz w:val="24"/>
                <w:szCs w:val="24"/>
              </w:rPr>
            </w:pPr>
          </w:p>
        </w:tc>
        <w:tc>
          <w:tcPr>
            <w:tcW w:w="1134" w:type="dxa"/>
            <w:vMerge w:val="continue"/>
            <w:vAlign w:val="center"/>
          </w:tcPr>
          <w:p>
            <w:pPr>
              <w:spacing w:line="560" w:lineRule="exact"/>
              <w:jc w:val="left"/>
              <w:outlineLvl w:val="0"/>
              <w:rPr>
                <w:rFonts w:ascii="宋体" w:hAnsi="宋体" w:eastAsia="宋体" w:cs="Times New Roman"/>
                <w:sz w:val="24"/>
                <w:szCs w:val="24"/>
              </w:rPr>
            </w:pPr>
          </w:p>
        </w:tc>
        <w:tc>
          <w:tcPr>
            <w:tcW w:w="3544" w:type="dxa"/>
            <w:vMerge w:val="continue"/>
            <w:vAlign w:val="center"/>
          </w:tcPr>
          <w:p>
            <w:pPr>
              <w:spacing w:line="560" w:lineRule="exact"/>
              <w:jc w:val="left"/>
              <w:outlineLvl w:val="0"/>
              <w:rPr>
                <w:rFonts w:ascii="宋体" w:hAnsi="宋体" w:eastAsia="宋体" w:cs="Times New Roman"/>
                <w:sz w:val="24"/>
                <w:szCs w:val="24"/>
              </w:rPr>
            </w:pPr>
          </w:p>
        </w:tc>
        <w:tc>
          <w:tcPr>
            <w:tcW w:w="1701" w:type="dxa"/>
            <w:vMerge w:val="continue"/>
            <w:vAlign w:val="center"/>
          </w:tcPr>
          <w:p>
            <w:pPr>
              <w:spacing w:line="560" w:lineRule="exact"/>
              <w:jc w:val="left"/>
              <w:outlineLvl w:val="0"/>
              <w:rPr>
                <w:rFonts w:ascii="宋体" w:hAnsi="宋体" w:eastAsia="宋体" w:cs="Times New Roman"/>
                <w:sz w:val="24"/>
                <w:szCs w:val="24"/>
              </w:rPr>
            </w:pPr>
          </w:p>
        </w:tc>
        <w:tc>
          <w:tcPr>
            <w:tcW w:w="1843" w:type="dxa"/>
            <w:vMerge w:val="continue"/>
            <w:vAlign w:val="center"/>
          </w:tcPr>
          <w:p>
            <w:pPr>
              <w:spacing w:line="560" w:lineRule="exact"/>
              <w:jc w:val="left"/>
              <w:outlineLvl w:val="0"/>
              <w:rPr>
                <w:rFonts w:ascii="宋体" w:hAnsi="宋体" w:eastAsia="宋体" w:cs="Times New Roman"/>
                <w:sz w:val="24"/>
                <w:szCs w:val="24"/>
              </w:rPr>
            </w:pPr>
          </w:p>
        </w:tc>
        <w:tc>
          <w:tcPr>
            <w:tcW w:w="850"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优</w:t>
            </w:r>
          </w:p>
        </w:tc>
        <w:tc>
          <w:tcPr>
            <w:tcW w:w="709"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良</w:t>
            </w:r>
          </w:p>
        </w:tc>
        <w:tc>
          <w:tcPr>
            <w:tcW w:w="567"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中</w:t>
            </w:r>
          </w:p>
        </w:tc>
        <w:tc>
          <w:tcPr>
            <w:tcW w:w="564"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民政管理事务</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446.89</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承担社会救助体系建设，负责城乡居民最低生活保障、五保供养、医疗救助</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完善城乡社会救助制度，实施分类救助，应保尽保</w:t>
            </w:r>
            <w:r>
              <w:rPr>
                <w:rFonts w:ascii="宋体" w:hAnsi="宋体" w:eastAsia="宋体" w:cs="Times New Roman"/>
                <w:sz w:val="24"/>
                <w:szCs w:val="24"/>
              </w:rPr>
              <w:t>,动态管理。</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城乡居民低保保障率；五保供养保障率生活救助到位率；参保资助率报销比例</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儿童福利</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77.28</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保障孤儿基本生活，组织开展县级孤残儿童手术康复，推进儿童福利机构基础设施建设。</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孤儿基本生活条件保障到位，孤残儿童手术康复及时，儿童福利设施功能完善。</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县级儿童福利机构建设按时建成率；孤儿基本生活保障率；儿童得到及时救治，手术治愈率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老年福利</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367.16</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落实老龄事业发展规划，加快养老服务设施建设；指导养老机构设立和管理工作；加快养老服务业发展，推进老年人福利健康快速发展。建立县级贫困失能老人护理补贴制度，实施爱心护理工程，积极落实高龄老年人津贴发放制度；做好九九重阳节慰问活动。</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全面建成以居家为基础、社区为依托、机构为支撑，功能完善、规模适度、覆盖城乡的养老服务体系，实现我县老人老有所养，老有所依，老有所乐，老有所为的目标。</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贫困失能老人护理补贴发放率；城乡居家养老服务中心建设奖补率；农村互助幸福院建设奖补率；养老机构一次性建设和运营奖补率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殡葬</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15</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推进殡葬设施更新改造；推进殡葬设备环保更新；推行生态安葬形式；规范殡仪服务管理；推进丧事简办；推行火化和丧俗改革；统一规范火化证和骨灰安放证。</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殡葬设施和设备现代、节能、节地、环保，能够满足群众需求，改善生态环境；惠民殡葬政策普及全县特殊困难群体；生态安葬形式逐步提高；群众办理丧事文明节俭；全县使用统一规范的火化证和骨灰安放证。</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示范性农村公益性骨灰堂覆盖全县示范县（市）百分比；县级以上殡葬设施设备年更新改造率；惠民殡葬政策覆盖特殊困难群体百分比</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残疾人生活和护理补贴</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400</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对残疾人特殊群体权益保护，发展慈善事业</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对残疾人特殊群体权益保护，发展慈善事业，推进老年人福利健康快速发展。建立县级贫困失能老人护理补贴</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贫困失能老人护理补贴发放率；残疾人困难补贴、护理补贴</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农村最低生活保障金支出</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2598</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负责符合条件的城乡居民最低生活保障工作</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实行动态管理，做到应保尽保、应退尽退。</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城乡居民低保保障率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特困人员救助供养</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460</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负责农村五保户的集中供养和分散供养工作</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农村五保供养标准、集中供养能力逐步提高。</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五保供养保障率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其他农村生活救助</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30</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流浪乞讨人员、流浪未成年人救助设施齐全、功能污水完善，对未成年人社会保护提供必要的保护场所。</w:t>
            </w:r>
          </w:p>
        </w:tc>
        <w:tc>
          <w:tcPr>
            <w:tcW w:w="1701"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流浪乞讨人员、流浪未成年人救助设施齐全、功能污水完善，对未成年人社会保护提供必要的保护场所。</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救助设施完好率；应救人员的救助率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widowControl/>
              <w:jc w:val="left"/>
              <w:textAlignment w:val="center"/>
              <w:rPr>
                <w:rFonts w:ascii="方正书宋_GBK" w:hAnsi="Times New Roman" w:eastAsia="方正书宋_GBK" w:cs="Times New Roman"/>
                <w:b/>
                <w:bCs/>
                <w:sz w:val="24"/>
                <w:szCs w:val="24"/>
              </w:rPr>
            </w:pPr>
            <w:r>
              <w:rPr>
                <w:rFonts w:hint="eastAsia" w:ascii="宋体" w:hAnsi="宋体" w:eastAsia="宋体" w:cs="宋体"/>
                <w:color w:val="000000"/>
                <w:kern w:val="0"/>
                <w:sz w:val="24"/>
                <w:szCs w:val="24"/>
              </w:rPr>
              <w:t>扶贫</w:t>
            </w:r>
          </w:p>
        </w:tc>
        <w:tc>
          <w:tcPr>
            <w:tcW w:w="1134" w:type="dxa"/>
            <w:vAlign w:val="center"/>
          </w:tcPr>
          <w:p>
            <w:pPr>
              <w:widowControl/>
              <w:jc w:val="right"/>
              <w:textAlignment w:val="center"/>
              <w:rPr>
                <w:rFonts w:ascii="方正书宋_GBK" w:hAnsi="Times New Roman" w:eastAsia="方正书宋_GBK" w:cs="Times New Roman"/>
                <w:sz w:val="24"/>
                <w:szCs w:val="24"/>
              </w:rPr>
            </w:pPr>
            <w:r>
              <w:rPr>
                <w:rFonts w:hint="eastAsia" w:ascii="宋体" w:hAnsi="宋体" w:eastAsia="宋体" w:cs="宋体"/>
                <w:color w:val="000000"/>
                <w:kern w:val="0"/>
                <w:sz w:val="24"/>
                <w:szCs w:val="24"/>
              </w:rPr>
              <w:t>2445.22</w:t>
            </w:r>
          </w:p>
        </w:tc>
        <w:tc>
          <w:tcPr>
            <w:tcW w:w="3544" w:type="dxa"/>
            <w:vAlign w:val="center"/>
          </w:tcPr>
          <w:p>
            <w:pPr>
              <w:spacing w:line="560" w:lineRule="exact"/>
              <w:jc w:val="left"/>
              <w:rPr>
                <w:rFonts w:ascii="方正书宋_GBK" w:hAnsi="Times New Roman" w:eastAsia="方正书宋_GBK" w:cs="Times New Roman"/>
                <w:sz w:val="24"/>
                <w:szCs w:val="24"/>
              </w:rPr>
            </w:pPr>
            <w:r>
              <w:rPr>
                <w:rFonts w:hint="eastAsia" w:ascii="方正书宋_GBK" w:hAnsi="Times New Roman" w:eastAsia="方正书宋_GBK" w:cs="Times New Roman"/>
                <w:sz w:val="24"/>
                <w:szCs w:val="24"/>
              </w:rPr>
              <w:t>贫困对象是指因人口多劳力少，或家底薄，缺少基本生产和生活资料而造成生活困难的家庭。扶贫就是保护贫困户的合法权益，取消贫困负担。</w:t>
            </w:r>
          </w:p>
        </w:tc>
        <w:tc>
          <w:tcPr>
            <w:tcW w:w="1701" w:type="dxa"/>
            <w:vAlign w:val="center"/>
          </w:tcPr>
          <w:p>
            <w:pPr>
              <w:spacing w:line="560" w:lineRule="exact"/>
              <w:jc w:val="left"/>
              <w:rPr>
                <w:rFonts w:ascii="方正书宋_GBK" w:hAnsi="Times New Roman" w:eastAsia="方正书宋_GBK" w:cs="Times New Roman"/>
                <w:sz w:val="24"/>
                <w:szCs w:val="24"/>
              </w:rPr>
            </w:pPr>
            <w:r>
              <w:rPr>
                <w:rFonts w:hint="eastAsia" w:ascii="方正书宋_GBK" w:hAnsi="Times New Roman" w:eastAsia="方正书宋_GBK" w:cs="Times New Roman"/>
                <w:sz w:val="24"/>
                <w:szCs w:val="24"/>
              </w:rPr>
              <w:t>增加农民收入，早日脱贫</w:t>
            </w:r>
          </w:p>
        </w:tc>
        <w:tc>
          <w:tcPr>
            <w:tcW w:w="1843" w:type="dxa"/>
            <w:vAlign w:val="center"/>
          </w:tcPr>
          <w:p>
            <w:pPr>
              <w:spacing w:line="560" w:lineRule="exact"/>
              <w:jc w:val="left"/>
              <w:rPr>
                <w:rFonts w:ascii="Times New Roman" w:hAnsi="Times New Roman" w:eastAsia="方正书宋_GBK" w:cs="Times New Roman"/>
                <w:sz w:val="24"/>
                <w:szCs w:val="24"/>
              </w:rPr>
            </w:pPr>
            <w:r>
              <w:rPr>
                <w:rFonts w:hint="eastAsia" w:ascii="Times New Roman" w:hAnsi="Times New Roman" w:eastAsia="方正书宋_GBK" w:cs="Times New Roman"/>
                <w:sz w:val="24"/>
                <w:szCs w:val="24"/>
              </w:rPr>
              <w:t>扶贫资金到位率；实施扶贫项目数量率；扶贫率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widowControl/>
              <w:jc w:val="left"/>
              <w:textAlignment w:val="center"/>
              <w:rPr>
                <w:rFonts w:ascii="方正书宋_GBK" w:hAnsi="Times New Roman" w:eastAsia="方正书宋_GBK" w:cs="Times New Roman"/>
                <w:b/>
                <w:bCs/>
                <w:sz w:val="24"/>
                <w:szCs w:val="24"/>
              </w:rPr>
            </w:pPr>
            <w:r>
              <w:rPr>
                <w:rFonts w:hint="eastAsia" w:ascii="宋体" w:hAnsi="宋体" w:eastAsia="宋体" w:cs="宋体"/>
                <w:color w:val="000000"/>
                <w:kern w:val="0"/>
                <w:sz w:val="24"/>
                <w:szCs w:val="24"/>
              </w:rPr>
              <w:t>其他支出</w:t>
            </w:r>
          </w:p>
        </w:tc>
        <w:tc>
          <w:tcPr>
            <w:tcW w:w="1134" w:type="dxa"/>
            <w:vAlign w:val="center"/>
          </w:tcPr>
          <w:p>
            <w:pPr>
              <w:widowControl/>
              <w:jc w:val="right"/>
              <w:textAlignment w:val="center"/>
              <w:rPr>
                <w:rFonts w:ascii="方正书宋_GBK" w:hAnsi="Times New Roman" w:eastAsia="方正书宋_GBK" w:cs="Times New Roman"/>
                <w:sz w:val="24"/>
                <w:szCs w:val="24"/>
              </w:rPr>
            </w:pPr>
            <w:r>
              <w:rPr>
                <w:rFonts w:hint="eastAsia" w:ascii="宋体" w:hAnsi="宋体" w:eastAsia="宋体" w:cs="宋体"/>
                <w:color w:val="000000"/>
                <w:kern w:val="0"/>
                <w:sz w:val="24"/>
                <w:szCs w:val="24"/>
              </w:rPr>
              <w:t>64.48</w:t>
            </w:r>
          </w:p>
        </w:tc>
        <w:tc>
          <w:tcPr>
            <w:tcW w:w="3544" w:type="dxa"/>
            <w:vAlign w:val="center"/>
          </w:tcPr>
          <w:p>
            <w:pPr>
              <w:spacing w:line="560" w:lineRule="exact"/>
              <w:jc w:val="left"/>
              <w:rPr>
                <w:rFonts w:ascii="方正书宋_GBK" w:hAnsi="Times New Roman" w:eastAsia="方正书宋_GBK" w:cs="Times New Roman"/>
                <w:sz w:val="24"/>
                <w:szCs w:val="24"/>
              </w:rPr>
            </w:pPr>
            <w:r>
              <w:rPr>
                <w:rFonts w:hint="eastAsia" w:ascii="方正书宋_GBK" w:hAnsi="Times New Roman" w:eastAsia="方正书宋_GBK" w:cs="Times New Roman"/>
                <w:sz w:val="24"/>
                <w:szCs w:val="24"/>
              </w:rPr>
              <w:t>全面建成以居家为基础、社区为依托、机构为支撑，功能完善、规模适度、覆盖城乡的养老服务体系，实现我县老人老有所养，老有所依，老有所乐，老有所为的目标。</w:t>
            </w:r>
          </w:p>
        </w:tc>
        <w:tc>
          <w:tcPr>
            <w:tcW w:w="1701" w:type="dxa"/>
            <w:vAlign w:val="center"/>
          </w:tcPr>
          <w:p>
            <w:pPr>
              <w:spacing w:line="560" w:lineRule="exact"/>
              <w:jc w:val="left"/>
              <w:rPr>
                <w:rFonts w:ascii="方正书宋_GBK" w:hAnsi="Times New Roman" w:eastAsia="方正书宋_GBK" w:cs="Times New Roman"/>
                <w:sz w:val="24"/>
                <w:szCs w:val="24"/>
              </w:rPr>
            </w:pPr>
            <w:r>
              <w:rPr>
                <w:rFonts w:hint="eastAsia" w:ascii="方正书宋_GBK" w:hAnsi="Times New Roman" w:eastAsia="方正书宋_GBK" w:cs="Times New Roman"/>
                <w:sz w:val="24"/>
                <w:szCs w:val="24"/>
              </w:rPr>
              <w:t>全面建成以居家为基础、社区为依托、机构为支撑，功能完善、规模适度、覆盖城乡的养老服务体系，实现我县老人老有所养，老有所依，老有所乐，老有所为的目标。</w:t>
            </w:r>
          </w:p>
        </w:tc>
        <w:tc>
          <w:tcPr>
            <w:tcW w:w="1843" w:type="dxa"/>
            <w:vAlign w:val="center"/>
          </w:tcPr>
          <w:p>
            <w:pPr>
              <w:spacing w:line="560" w:lineRule="exact"/>
              <w:jc w:val="left"/>
              <w:rPr>
                <w:rFonts w:ascii="Times New Roman" w:hAnsi="Times New Roman" w:eastAsia="方正书宋_GBK" w:cs="Times New Roman"/>
                <w:sz w:val="24"/>
                <w:szCs w:val="24"/>
              </w:rPr>
            </w:pPr>
            <w:r>
              <w:rPr>
                <w:rFonts w:hint="eastAsia" w:ascii="Times New Roman" w:hAnsi="Times New Roman" w:eastAsia="方正书宋_GBK" w:cs="Times New Roman"/>
                <w:sz w:val="24"/>
                <w:szCs w:val="24"/>
              </w:rPr>
              <w:t>农村互助幸福院建设奖补率；城乡居家养老服务中心建设奖补率；养老机构一次性建设和运营奖补率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bl>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outlineLvl w:val="0"/>
        <w:rPr>
          <w:rFonts w:ascii="仿宋" w:hAnsi="仿宋" w:eastAsia="仿宋" w:cs="Times New Roman"/>
          <w:sz w:val="32"/>
          <w:szCs w:val="32"/>
        </w:rPr>
      </w:pPr>
      <w:bookmarkStart w:id="1" w:name="_Toc471398468"/>
      <w:r>
        <w:rPr>
          <w:rFonts w:ascii="仿宋" w:hAnsi="仿宋" w:eastAsia="仿宋" w:cs="Times New Roman"/>
          <w:sz w:val="32"/>
          <w:szCs w:val="32"/>
        </w:rPr>
        <w:t xml:space="preserve"> 201</w:t>
      </w:r>
      <w:r>
        <w:rPr>
          <w:rFonts w:hint="eastAsia" w:ascii="仿宋" w:hAnsi="仿宋" w:eastAsia="仿宋" w:cs="Times New Roman"/>
          <w:sz w:val="32"/>
          <w:szCs w:val="32"/>
        </w:rPr>
        <w:t>9</w:t>
      </w:r>
      <w:r>
        <w:rPr>
          <w:rFonts w:hint="eastAsia" w:ascii="仿宋" w:hAnsi="仿宋" w:eastAsia="仿宋" w:cs="方正仿宋_GBK"/>
          <w:sz w:val="32"/>
          <w:szCs w:val="32"/>
        </w:rPr>
        <w:t>年，我单位安排政府采购预算683万元。具体内容见下表。</w:t>
      </w: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hint="eastAsia" w:ascii="宋体" w:hAnsi="宋体" w:eastAsia="宋体" w:cs="方正小标宋_GBK"/>
          <w:sz w:val="32"/>
          <w:szCs w:val="32"/>
        </w:rPr>
      </w:pPr>
    </w:p>
    <w:p>
      <w:pPr>
        <w:spacing w:line="560" w:lineRule="exact"/>
        <w:jc w:val="center"/>
        <w:outlineLvl w:val="0"/>
        <w:rPr>
          <w:rFonts w:hint="eastAsia" w:ascii="宋体" w:hAnsi="宋体" w:eastAsia="宋体" w:cs="方正小标宋_GBK"/>
          <w:sz w:val="32"/>
          <w:szCs w:val="32"/>
        </w:rPr>
      </w:pPr>
    </w:p>
    <w:p>
      <w:pPr>
        <w:spacing w:line="560" w:lineRule="exact"/>
        <w:jc w:val="center"/>
        <w:outlineLvl w:val="0"/>
        <w:rPr>
          <w:rFonts w:hint="eastAsia" w:ascii="宋体" w:hAnsi="宋体" w:eastAsia="宋体" w:cs="方正小标宋_GBK"/>
          <w:sz w:val="32"/>
          <w:szCs w:val="32"/>
        </w:rPr>
      </w:pPr>
    </w:p>
    <w:p>
      <w:pPr>
        <w:spacing w:line="560" w:lineRule="exact"/>
        <w:jc w:val="center"/>
        <w:outlineLvl w:val="0"/>
        <w:rPr>
          <w:rFonts w:hint="eastAsia" w:ascii="宋体" w:hAnsi="宋体" w:eastAsia="宋体" w:cs="方正小标宋_GBK"/>
          <w:sz w:val="32"/>
          <w:szCs w:val="32"/>
        </w:rPr>
      </w:pPr>
    </w:p>
    <w:p>
      <w:pPr>
        <w:spacing w:line="560" w:lineRule="exact"/>
        <w:jc w:val="center"/>
        <w:outlineLvl w:val="0"/>
        <w:rPr>
          <w:rFonts w:hint="eastAsia" w:ascii="宋体" w:hAnsi="宋体" w:eastAsia="宋体" w:cs="方正小标宋_GBK"/>
          <w:sz w:val="32"/>
          <w:szCs w:val="32"/>
        </w:rPr>
      </w:pPr>
    </w:p>
    <w:p>
      <w:pPr>
        <w:spacing w:line="560" w:lineRule="exact"/>
        <w:jc w:val="center"/>
        <w:outlineLvl w:val="0"/>
        <w:rPr>
          <w:rFonts w:hint="eastAsia" w:ascii="宋体" w:hAnsi="宋体" w:eastAsia="宋体" w:cs="方正小标宋_GBK"/>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4"/>
        <w:tblW w:w="111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7"/>
        <w:gridCol w:w="603"/>
        <w:gridCol w:w="1335"/>
        <w:gridCol w:w="775"/>
        <w:gridCol w:w="427"/>
        <w:gridCol w:w="701"/>
        <w:gridCol w:w="1074"/>
        <w:gridCol w:w="838"/>
        <w:gridCol w:w="787"/>
        <w:gridCol w:w="763"/>
        <w:gridCol w:w="305"/>
        <w:gridCol w:w="394"/>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42"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部门（单位）名称：民政局</w:t>
            </w:r>
          </w:p>
        </w:tc>
        <w:tc>
          <w:tcPr>
            <w:tcW w:w="4154" w:type="dxa"/>
            <w:gridSpan w:val="7"/>
            <w:tcBorders>
              <w:top w:val="single" w:color="FFFFFF" w:sz="6" w:space="0"/>
              <w:left w:val="single" w:color="FFFFFF" w:sz="6" w:space="0"/>
              <w:right w:val="single" w:color="FFFFFF" w:sz="6" w:space="0"/>
            </w:tcBorders>
            <w:vAlign w:val="center"/>
          </w:tcPr>
          <w:p>
            <w:pPr>
              <w:tabs>
                <w:tab w:val="left" w:pos="315"/>
              </w:tabs>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0"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335" w:type="dxa"/>
            <w:vMerge w:val="restart"/>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采购物品名称</w:t>
            </w:r>
          </w:p>
        </w:tc>
        <w:tc>
          <w:tcPr>
            <w:tcW w:w="77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42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0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107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154"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2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0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335" w:type="dxa"/>
            <w:vMerge w:val="continue"/>
            <w:vAlign w:val="center"/>
          </w:tcPr>
          <w:p>
            <w:pPr>
              <w:spacing w:line="560" w:lineRule="exact"/>
              <w:jc w:val="left"/>
              <w:outlineLvl w:val="0"/>
              <w:rPr>
                <w:rFonts w:ascii="宋体" w:hAnsi="宋体" w:eastAsia="宋体" w:cs="Times New Roman"/>
              </w:rPr>
            </w:pPr>
          </w:p>
        </w:tc>
        <w:tc>
          <w:tcPr>
            <w:tcW w:w="775" w:type="dxa"/>
            <w:vMerge w:val="continue"/>
            <w:vAlign w:val="center"/>
          </w:tcPr>
          <w:p>
            <w:pPr>
              <w:spacing w:line="560" w:lineRule="exact"/>
              <w:jc w:val="left"/>
              <w:outlineLvl w:val="0"/>
              <w:rPr>
                <w:rFonts w:ascii="宋体" w:hAnsi="宋体" w:eastAsia="宋体" w:cs="Times New Roman"/>
              </w:rPr>
            </w:pPr>
          </w:p>
        </w:tc>
        <w:tc>
          <w:tcPr>
            <w:tcW w:w="427" w:type="dxa"/>
            <w:vMerge w:val="continue"/>
            <w:vAlign w:val="center"/>
          </w:tcPr>
          <w:p>
            <w:pPr>
              <w:spacing w:line="560" w:lineRule="exact"/>
              <w:jc w:val="left"/>
              <w:outlineLvl w:val="0"/>
              <w:rPr>
                <w:rFonts w:ascii="宋体" w:hAnsi="宋体" w:eastAsia="宋体" w:cs="Times New Roman"/>
              </w:rPr>
            </w:pPr>
          </w:p>
        </w:tc>
        <w:tc>
          <w:tcPr>
            <w:tcW w:w="701" w:type="dxa"/>
            <w:vMerge w:val="continue"/>
            <w:vAlign w:val="center"/>
          </w:tcPr>
          <w:p>
            <w:pPr>
              <w:spacing w:line="560" w:lineRule="exact"/>
              <w:jc w:val="left"/>
              <w:outlineLvl w:val="0"/>
              <w:rPr>
                <w:rFonts w:ascii="宋体" w:hAnsi="宋体" w:eastAsia="宋体" w:cs="Times New Roman"/>
              </w:rPr>
            </w:pPr>
          </w:p>
        </w:tc>
        <w:tc>
          <w:tcPr>
            <w:tcW w:w="1074" w:type="dxa"/>
            <w:vMerge w:val="continue"/>
            <w:vAlign w:val="center"/>
          </w:tcPr>
          <w:p>
            <w:pPr>
              <w:spacing w:line="560" w:lineRule="exact"/>
              <w:jc w:val="left"/>
              <w:outlineLvl w:val="0"/>
              <w:rPr>
                <w:rFonts w:ascii="宋体" w:hAnsi="宋体" w:eastAsia="宋体" w:cs="Times New Roman"/>
              </w:rPr>
            </w:pPr>
          </w:p>
        </w:tc>
        <w:tc>
          <w:tcPr>
            <w:tcW w:w="838"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800" w:type="dxa"/>
            <w:gridSpan w:val="5"/>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16" w:type="dxa"/>
            <w:vMerge w:val="restart"/>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27" w:type="dxa"/>
            <w:vMerge w:val="continue"/>
            <w:vAlign w:val="center"/>
          </w:tcPr>
          <w:p>
            <w:pPr>
              <w:spacing w:line="560" w:lineRule="exact"/>
              <w:jc w:val="left"/>
              <w:outlineLvl w:val="0"/>
              <w:rPr>
                <w:rFonts w:ascii="宋体" w:hAnsi="宋体" w:eastAsia="宋体" w:cs="Times New Roman"/>
              </w:rPr>
            </w:pPr>
          </w:p>
        </w:tc>
        <w:tc>
          <w:tcPr>
            <w:tcW w:w="603" w:type="dxa"/>
            <w:vMerge w:val="continue"/>
            <w:vAlign w:val="center"/>
          </w:tcPr>
          <w:p>
            <w:pPr>
              <w:spacing w:line="560" w:lineRule="exact"/>
              <w:jc w:val="left"/>
              <w:outlineLvl w:val="0"/>
              <w:rPr>
                <w:rFonts w:ascii="宋体" w:hAnsi="宋体" w:eastAsia="宋体" w:cs="Times New Roman"/>
              </w:rPr>
            </w:pPr>
          </w:p>
        </w:tc>
        <w:tc>
          <w:tcPr>
            <w:tcW w:w="1335" w:type="dxa"/>
            <w:vMerge w:val="continue"/>
            <w:vAlign w:val="center"/>
          </w:tcPr>
          <w:p>
            <w:pPr>
              <w:spacing w:line="560" w:lineRule="exact"/>
              <w:jc w:val="left"/>
              <w:outlineLvl w:val="0"/>
              <w:rPr>
                <w:rFonts w:ascii="宋体" w:hAnsi="宋体" w:eastAsia="宋体" w:cs="Times New Roman"/>
              </w:rPr>
            </w:pPr>
          </w:p>
        </w:tc>
        <w:tc>
          <w:tcPr>
            <w:tcW w:w="775" w:type="dxa"/>
            <w:vMerge w:val="continue"/>
            <w:vAlign w:val="center"/>
          </w:tcPr>
          <w:p>
            <w:pPr>
              <w:spacing w:line="560" w:lineRule="exact"/>
              <w:jc w:val="left"/>
              <w:outlineLvl w:val="0"/>
              <w:rPr>
                <w:rFonts w:ascii="宋体" w:hAnsi="宋体" w:eastAsia="宋体" w:cs="Times New Roman"/>
              </w:rPr>
            </w:pPr>
          </w:p>
        </w:tc>
        <w:tc>
          <w:tcPr>
            <w:tcW w:w="427" w:type="dxa"/>
            <w:vMerge w:val="continue"/>
            <w:vAlign w:val="center"/>
          </w:tcPr>
          <w:p>
            <w:pPr>
              <w:spacing w:line="560" w:lineRule="exact"/>
              <w:jc w:val="left"/>
              <w:outlineLvl w:val="0"/>
              <w:rPr>
                <w:rFonts w:ascii="宋体" w:hAnsi="宋体" w:eastAsia="宋体" w:cs="Times New Roman"/>
              </w:rPr>
            </w:pPr>
          </w:p>
        </w:tc>
        <w:tc>
          <w:tcPr>
            <w:tcW w:w="701" w:type="dxa"/>
            <w:vMerge w:val="continue"/>
            <w:vAlign w:val="center"/>
          </w:tcPr>
          <w:p>
            <w:pPr>
              <w:spacing w:line="560" w:lineRule="exact"/>
              <w:jc w:val="left"/>
              <w:outlineLvl w:val="0"/>
              <w:rPr>
                <w:rFonts w:ascii="宋体" w:hAnsi="宋体" w:eastAsia="宋体" w:cs="Times New Roman"/>
              </w:rPr>
            </w:pPr>
          </w:p>
        </w:tc>
        <w:tc>
          <w:tcPr>
            <w:tcW w:w="1074" w:type="dxa"/>
            <w:vMerge w:val="continue"/>
            <w:vAlign w:val="center"/>
          </w:tcPr>
          <w:p>
            <w:pPr>
              <w:spacing w:line="560" w:lineRule="exact"/>
              <w:jc w:val="left"/>
              <w:outlineLvl w:val="0"/>
              <w:rPr>
                <w:rFonts w:ascii="宋体" w:hAnsi="宋体" w:eastAsia="宋体" w:cs="Times New Roman"/>
              </w:rPr>
            </w:pPr>
          </w:p>
        </w:tc>
        <w:tc>
          <w:tcPr>
            <w:tcW w:w="838" w:type="dxa"/>
            <w:vMerge w:val="continue"/>
            <w:vAlign w:val="center"/>
          </w:tcPr>
          <w:p>
            <w:pPr>
              <w:spacing w:line="560" w:lineRule="exact"/>
              <w:jc w:val="left"/>
              <w:outlineLvl w:val="0"/>
              <w:rPr>
                <w:rFonts w:ascii="宋体" w:hAnsi="宋体" w:eastAsia="宋体" w:cs="Times New Roman"/>
              </w:rPr>
            </w:pPr>
          </w:p>
        </w:tc>
        <w:tc>
          <w:tcPr>
            <w:tcW w:w="787"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763" w:type="dxa"/>
            <w:vAlign w:val="center"/>
          </w:tcPr>
          <w:p>
            <w:pPr>
              <w:spacing w:line="40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305"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基金预算拨款</w:t>
            </w:r>
          </w:p>
        </w:tc>
        <w:tc>
          <w:tcPr>
            <w:tcW w:w="394"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51"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16" w:type="dxa"/>
            <w:vMerge w:val="continue"/>
            <w:vAlign w:val="center"/>
          </w:tcPr>
          <w:p>
            <w:pPr>
              <w:spacing w:line="32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7"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603"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683</w:t>
            </w:r>
          </w:p>
        </w:tc>
        <w:tc>
          <w:tcPr>
            <w:tcW w:w="1335" w:type="dxa"/>
            <w:vAlign w:val="center"/>
          </w:tcPr>
          <w:p>
            <w:pPr>
              <w:spacing w:line="560" w:lineRule="exact"/>
              <w:ind w:left="80" w:leftChars="38"/>
              <w:jc w:val="left"/>
              <w:rPr>
                <w:rFonts w:ascii="宋体" w:hAnsi="宋体" w:eastAsia="宋体" w:cs="Times New Roman"/>
                <w:b/>
                <w:bCs/>
              </w:rPr>
            </w:pPr>
          </w:p>
        </w:tc>
        <w:tc>
          <w:tcPr>
            <w:tcW w:w="775" w:type="dxa"/>
            <w:vAlign w:val="center"/>
          </w:tcPr>
          <w:p>
            <w:pPr>
              <w:spacing w:line="560" w:lineRule="exact"/>
              <w:jc w:val="left"/>
              <w:rPr>
                <w:rFonts w:ascii="宋体" w:hAnsi="宋体" w:eastAsia="宋体" w:cs="Times New Roman"/>
                <w:b/>
                <w:bCs/>
              </w:rPr>
            </w:pPr>
          </w:p>
        </w:tc>
        <w:tc>
          <w:tcPr>
            <w:tcW w:w="427" w:type="dxa"/>
            <w:vAlign w:val="center"/>
          </w:tcPr>
          <w:p>
            <w:pPr>
              <w:spacing w:line="560" w:lineRule="exact"/>
              <w:jc w:val="left"/>
              <w:rPr>
                <w:rFonts w:ascii="宋体" w:hAnsi="宋体" w:eastAsia="宋体" w:cs="Times New Roman"/>
                <w:b/>
                <w:bCs/>
              </w:rPr>
            </w:pPr>
          </w:p>
        </w:tc>
        <w:tc>
          <w:tcPr>
            <w:tcW w:w="701" w:type="dxa"/>
            <w:vAlign w:val="center"/>
          </w:tcPr>
          <w:p>
            <w:pPr>
              <w:spacing w:line="560" w:lineRule="exact"/>
              <w:jc w:val="right"/>
              <w:rPr>
                <w:rFonts w:ascii="宋体" w:hAnsi="宋体" w:eastAsia="宋体" w:cs="Times New Roman"/>
                <w:b/>
                <w:bCs/>
              </w:rPr>
            </w:pPr>
          </w:p>
        </w:tc>
        <w:tc>
          <w:tcPr>
            <w:tcW w:w="1074" w:type="dxa"/>
            <w:vAlign w:val="center"/>
          </w:tcPr>
          <w:p>
            <w:pPr>
              <w:spacing w:line="560" w:lineRule="exact"/>
              <w:jc w:val="right"/>
              <w:rPr>
                <w:rFonts w:ascii="宋体" w:hAnsi="宋体" w:eastAsia="宋体" w:cs="Times New Roman"/>
                <w:b/>
                <w:bCs/>
              </w:rPr>
            </w:pPr>
          </w:p>
        </w:tc>
        <w:tc>
          <w:tcPr>
            <w:tcW w:w="838" w:type="dxa"/>
            <w:vAlign w:val="center"/>
          </w:tcPr>
          <w:p>
            <w:pPr>
              <w:jc w:val="center"/>
              <w:rPr>
                <w:b/>
                <w:bCs/>
              </w:rPr>
            </w:pPr>
            <w:r>
              <w:rPr>
                <w:rFonts w:hint="eastAsia"/>
                <w:b/>
                <w:bCs/>
              </w:rPr>
              <w:t>683</w:t>
            </w:r>
          </w:p>
        </w:tc>
        <w:tc>
          <w:tcPr>
            <w:tcW w:w="787" w:type="dxa"/>
            <w:vAlign w:val="center"/>
          </w:tcPr>
          <w:p>
            <w:pPr>
              <w:jc w:val="center"/>
              <w:rPr>
                <w:rFonts w:ascii="宋体" w:hAnsi="宋体" w:eastAsia="宋体" w:cs="Times New Roman"/>
                <w:b/>
                <w:bCs/>
              </w:rPr>
            </w:pPr>
            <w:r>
              <w:rPr>
                <w:rFonts w:hint="eastAsia" w:ascii="宋体" w:hAnsi="宋体" w:eastAsia="宋体" w:cs="Times New Roman"/>
                <w:b/>
                <w:bCs/>
              </w:rPr>
              <w:t>683</w:t>
            </w:r>
          </w:p>
        </w:tc>
        <w:tc>
          <w:tcPr>
            <w:tcW w:w="763" w:type="dxa"/>
            <w:vAlign w:val="center"/>
          </w:tcPr>
          <w:p>
            <w:pPr>
              <w:jc w:val="center"/>
              <w:rPr>
                <w:rFonts w:ascii="宋体" w:hAnsi="宋体" w:eastAsia="宋体" w:cs="Times New Roman"/>
                <w:b/>
                <w:bCs/>
              </w:rPr>
            </w:pPr>
            <w:r>
              <w:rPr>
                <w:rFonts w:hint="eastAsia" w:ascii="宋体" w:hAnsi="宋体" w:eastAsia="宋体" w:cs="Times New Roman"/>
                <w:b/>
                <w:bCs/>
              </w:rPr>
              <w:t>683</w:t>
            </w:r>
          </w:p>
        </w:tc>
        <w:tc>
          <w:tcPr>
            <w:tcW w:w="305" w:type="dxa"/>
            <w:vAlign w:val="center"/>
          </w:tcPr>
          <w:p>
            <w:pPr>
              <w:spacing w:line="560" w:lineRule="exact"/>
              <w:jc w:val="right"/>
              <w:rPr>
                <w:rFonts w:ascii="宋体" w:hAnsi="宋体" w:eastAsia="宋体" w:cs="Times New Roman"/>
                <w:b/>
                <w:bCs/>
              </w:rPr>
            </w:pPr>
          </w:p>
        </w:tc>
        <w:tc>
          <w:tcPr>
            <w:tcW w:w="394"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7" w:type="dxa"/>
            <w:vAlign w:val="center"/>
          </w:tcPr>
          <w:p>
            <w:pPr>
              <w:spacing w:line="560" w:lineRule="exact"/>
              <w:jc w:val="center"/>
              <w:rPr>
                <w:rFonts w:ascii="宋体" w:hAnsi="宋体" w:eastAsia="宋体" w:cs="Times New Roman"/>
              </w:rPr>
            </w:pPr>
            <w:r>
              <w:rPr>
                <w:rFonts w:hint="eastAsia" w:ascii="宋体" w:hAnsi="宋体" w:eastAsia="宋体" w:cs="Times New Roman"/>
              </w:rPr>
              <w:t>柏寺营敬老院改扩建</w:t>
            </w:r>
          </w:p>
        </w:tc>
        <w:tc>
          <w:tcPr>
            <w:tcW w:w="603" w:type="dxa"/>
            <w:vAlign w:val="center"/>
          </w:tcPr>
          <w:p>
            <w:pPr>
              <w:spacing w:line="560" w:lineRule="exact"/>
              <w:jc w:val="right"/>
              <w:rPr>
                <w:rFonts w:ascii="宋体" w:hAnsi="宋体" w:eastAsia="宋体" w:cs="Times New Roman"/>
              </w:rPr>
            </w:pPr>
            <w:r>
              <w:rPr>
                <w:rFonts w:hint="eastAsia" w:ascii="宋体" w:hAnsi="宋体" w:eastAsia="宋体" w:cs="Times New Roman"/>
              </w:rPr>
              <w:t>337</w:t>
            </w:r>
          </w:p>
        </w:tc>
        <w:tc>
          <w:tcPr>
            <w:tcW w:w="1335" w:type="dxa"/>
            <w:vAlign w:val="center"/>
          </w:tcPr>
          <w:p>
            <w:pPr>
              <w:spacing w:line="560" w:lineRule="exact"/>
              <w:jc w:val="right"/>
              <w:rPr>
                <w:rFonts w:hint="eastAsia" w:ascii="宋体" w:hAnsi="宋体" w:eastAsia="宋体" w:cs="Times New Roman"/>
              </w:rPr>
            </w:pPr>
            <w:r>
              <w:rPr>
                <w:rFonts w:hint="eastAsia" w:ascii="宋体" w:hAnsi="宋体" w:eastAsia="宋体" w:cs="Times New Roman"/>
                <w:lang w:eastAsia="zh-CN"/>
              </w:rPr>
              <w:t>成安县柏寺营敬老院提升改造</w:t>
            </w:r>
          </w:p>
        </w:tc>
        <w:tc>
          <w:tcPr>
            <w:tcW w:w="775" w:type="dxa"/>
            <w:vAlign w:val="center"/>
          </w:tcPr>
          <w:p>
            <w:pPr>
              <w:keepNext w:val="0"/>
              <w:keepLines w:val="0"/>
              <w:widowControl/>
              <w:suppressLineNumbers w:val="0"/>
              <w:jc w:val="left"/>
            </w:pPr>
            <w:r>
              <w:rPr>
                <w:rFonts w:ascii="仿宋_GB2312" w:hAnsi="仿宋_GB2312" w:eastAsia="仿宋_GB2312" w:cs="仿宋_GB2312"/>
                <w:b/>
                <w:bCs/>
                <w:color w:val="000000"/>
                <w:kern w:val="0"/>
                <w:sz w:val="18"/>
                <w:szCs w:val="18"/>
                <w:lang w:val="en-US" w:eastAsia="zh-CN" w:bidi="ar"/>
              </w:rPr>
              <w:t>B07</w:t>
            </w:r>
          </w:p>
          <w:p>
            <w:pPr>
              <w:spacing w:line="560" w:lineRule="exact"/>
              <w:jc w:val="left"/>
              <w:rPr>
                <w:rFonts w:ascii="宋体" w:hAnsi="宋体" w:eastAsia="宋体" w:cs="Times New Roman"/>
              </w:rPr>
            </w:pPr>
            <w:bookmarkStart w:id="2" w:name="_GoBack"/>
            <w:bookmarkEnd w:id="2"/>
          </w:p>
        </w:tc>
        <w:tc>
          <w:tcPr>
            <w:tcW w:w="427" w:type="dxa"/>
            <w:vAlign w:val="center"/>
          </w:tcPr>
          <w:p>
            <w:pPr>
              <w:spacing w:line="560" w:lineRule="exact"/>
              <w:jc w:val="left"/>
              <w:rPr>
                <w:rFonts w:ascii="宋体" w:hAnsi="宋体" w:eastAsia="宋体" w:cs="Times New Roman"/>
              </w:rPr>
            </w:pPr>
            <w:r>
              <w:rPr>
                <w:rFonts w:hint="eastAsia" w:ascii="宋体" w:hAnsi="宋体" w:eastAsia="宋体" w:cs="Times New Roman"/>
                <w:lang w:eastAsia="zh-CN"/>
              </w:rPr>
              <w:t>项</w:t>
            </w:r>
          </w:p>
        </w:tc>
        <w:tc>
          <w:tcPr>
            <w:tcW w:w="701"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1</w:t>
            </w:r>
          </w:p>
        </w:tc>
        <w:tc>
          <w:tcPr>
            <w:tcW w:w="1074"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337</w:t>
            </w:r>
          </w:p>
        </w:tc>
        <w:tc>
          <w:tcPr>
            <w:tcW w:w="838" w:type="dxa"/>
            <w:vAlign w:val="center"/>
          </w:tcPr>
          <w:p>
            <w:pPr>
              <w:spacing w:line="560" w:lineRule="exact"/>
              <w:jc w:val="right"/>
              <w:rPr>
                <w:rFonts w:ascii="宋体" w:hAnsi="宋体" w:eastAsia="宋体" w:cs="Times New Roman"/>
              </w:rPr>
            </w:pPr>
            <w:r>
              <w:rPr>
                <w:rFonts w:hint="eastAsia" w:ascii="宋体" w:hAnsi="宋体" w:eastAsia="宋体" w:cs="Times New Roman"/>
              </w:rPr>
              <w:t>337</w:t>
            </w:r>
          </w:p>
        </w:tc>
        <w:tc>
          <w:tcPr>
            <w:tcW w:w="787" w:type="dxa"/>
            <w:vAlign w:val="center"/>
          </w:tcPr>
          <w:p>
            <w:pPr>
              <w:spacing w:line="560" w:lineRule="exact"/>
              <w:jc w:val="right"/>
              <w:rPr>
                <w:rFonts w:ascii="宋体" w:hAnsi="宋体" w:eastAsia="宋体" w:cs="Times New Roman"/>
              </w:rPr>
            </w:pPr>
            <w:r>
              <w:rPr>
                <w:rFonts w:hint="eastAsia" w:ascii="宋体" w:hAnsi="宋体" w:eastAsia="宋体" w:cs="Times New Roman"/>
              </w:rPr>
              <w:t>337</w:t>
            </w:r>
          </w:p>
        </w:tc>
        <w:tc>
          <w:tcPr>
            <w:tcW w:w="763" w:type="dxa"/>
            <w:vAlign w:val="center"/>
          </w:tcPr>
          <w:p>
            <w:pPr>
              <w:spacing w:line="560" w:lineRule="exact"/>
              <w:jc w:val="right"/>
              <w:rPr>
                <w:rFonts w:ascii="宋体" w:hAnsi="宋体" w:eastAsia="宋体" w:cs="Times New Roman"/>
              </w:rPr>
            </w:pPr>
            <w:r>
              <w:rPr>
                <w:rFonts w:hint="eastAsia" w:ascii="宋体" w:hAnsi="宋体" w:eastAsia="宋体" w:cs="Times New Roman"/>
              </w:rPr>
              <w:t>337</w:t>
            </w:r>
          </w:p>
        </w:tc>
        <w:tc>
          <w:tcPr>
            <w:tcW w:w="305" w:type="dxa"/>
            <w:vAlign w:val="center"/>
          </w:tcPr>
          <w:p>
            <w:pPr>
              <w:spacing w:line="560" w:lineRule="exact"/>
              <w:jc w:val="right"/>
              <w:rPr>
                <w:rFonts w:ascii="宋体" w:hAnsi="宋体" w:eastAsia="宋体" w:cs="Times New Roman"/>
              </w:rPr>
            </w:pPr>
          </w:p>
        </w:tc>
        <w:tc>
          <w:tcPr>
            <w:tcW w:w="394"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7" w:type="dxa"/>
          </w:tcPr>
          <w:p>
            <w:pPr>
              <w:spacing w:line="560" w:lineRule="exact"/>
              <w:jc w:val="center"/>
            </w:pPr>
            <w:r>
              <w:rPr>
                <w:rFonts w:hint="eastAsia" w:ascii="宋体" w:hAnsi="宋体" w:eastAsia="宋体" w:cs="Times New Roman"/>
              </w:rPr>
              <w:t>商城敬老院改扩建</w:t>
            </w:r>
          </w:p>
        </w:tc>
        <w:tc>
          <w:tcPr>
            <w:tcW w:w="603" w:type="dxa"/>
            <w:vAlign w:val="center"/>
          </w:tcPr>
          <w:p>
            <w:pPr>
              <w:spacing w:line="560" w:lineRule="exact"/>
              <w:jc w:val="right"/>
              <w:rPr>
                <w:rFonts w:ascii="宋体" w:hAnsi="宋体" w:eastAsia="宋体" w:cs="Times New Roman"/>
              </w:rPr>
            </w:pPr>
            <w:r>
              <w:rPr>
                <w:rFonts w:hint="eastAsia" w:ascii="宋体" w:hAnsi="宋体" w:eastAsia="宋体" w:cs="Times New Roman"/>
              </w:rPr>
              <w:t>299</w:t>
            </w:r>
          </w:p>
        </w:tc>
        <w:tc>
          <w:tcPr>
            <w:tcW w:w="1335" w:type="dxa"/>
            <w:vAlign w:val="center"/>
          </w:tcPr>
          <w:p>
            <w:pPr>
              <w:spacing w:line="560" w:lineRule="exact"/>
              <w:jc w:val="right"/>
              <w:rPr>
                <w:rFonts w:hint="eastAsia" w:ascii="宋体" w:hAnsi="宋体" w:eastAsia="宋体" w:cs="Times New Roman"/>
                <w:lang w:eastAsia="zh-CN"/>
              </w:rPr>
            </w:pPr>
            <w:r>
              <w:rPr>
                <w:rFonts w:hint="eastAsia" w:ascii="宋体" w:hAnsi="宋体" w:eastAsia="宋体" w:cs="Times New Roman"/>
                <w:lang w:eastAsia="zh-CN"/>
              </w:rPr>
              <w:t>成安县商城敬老院提升改造</w:t>
            </w:r>
          </w:p>
        </w:tc>
        <w:tc>
          <w:tcPr>
            <w:tcW w:w="775" w:type="dxa"/>
            <w:vAlign w:val="center"/>
          </w:tcPr>
          <w:p>
            <w:pPr>
              <w:keepNext w:val="0"/>
              <w:keepLines w:val="0"/>
              <w:widowControl/>
              <w:suppressLineNumbers w:val="0"/>
              <w:jc w:val="left"/>
            </w:pPr>
            <w:r>
              <w:rPr>
                <w:rFonts w:ascii="仿宋_GB2312" w:hAnsi="仿宋_GB2312" w:eastAsia="仿宋_GB2312" w:cs="仿宋_GB2312"/>
                <w:b/>
                <w:bCs/>
                <w:color w:val="000000"/>
                <w:kern w:val="0"/>
                <w:sz w:val="18"/>
                <w:szCs w:val="18"/>
                <w:lang w:val="en-US" w:eastAsia="zh-CN" w:bidi="ar"/>
              </w:rPr>
              <w:t>B07</w:t>
            </w:r>
          </w:p>
          <w:p>
            <w:pPr>
              <w:spacing w:line="560" w:lineRule="exact"/>
              <w:jc w:val="left"/>
              <w:rPr>
                <w:rFonts w:ascii="宋体" w:hAnsi="宋体" w:eastAsia="宋体" w:cs="Times New Roman"/>
              </w:rPr>
            </w:pPr>
          </w:p>
        </w:tc>
        <w:tc>
          <w:tcPr>
            <w:tcW w:w="427"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项</w:t>
            </w:r>
          </w:p>
        </w:tc>
        <w:tc>
          <w:tcPr>
            <w:tcW w:w="701"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1</w:t>
            </w:r>
          </w:p>
        </w:tc>
        <w:tc>
          <w:tcPr>
            <w:tcW w:w="1074"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299</w:t>
            </w:r>
          </w:p>
        </w:tc>
        <w:tc>
          <w:tcPr>
            <w:tcW w:w="838" w:type="dxa"/>
            <w:vAlign w:val="center"/>
          </w:tcPr>
          <w:p>
            <w:pPr>
              <w:spacing w:line="560" w:lineRule="exact"/>
              <w:jc w:val="right"/>
              <w:rPr>
                <w:rFonts w:ascii="宋体" w:hAnsi="宋体" w:eastAsia="宋体" w:cs="Times New Roman"/>
              </w:rPr>
            </w:pPr>
            <w:r>
              <w:rPr>
                <w:rFonts w:hint="eastAsia" w:ascii="宋体" w:hAnsi="宋体" w:eastAsia="宋体" w:cs="Times New Roman"/>
              </w:rPr>
              <w:t>299</w:t>
            </w:r>
          </w:p>
        </w:tc>
        <w:tc>
          <w:tcPr>
            <w:tcW w:w="787" w:type="dxa"/>
            <w:vAlign w:val="center"/>
          </w:tcPr>
          <w:p>
            <w:pPr>
              <w:spacing w:line="560" w:lineRule="exact"/>
              <w:jc w:val="right"/>
              <w:rPr>
                <w:rFonts w:ascii="宋体" w:hAnsi="宋体" w:eastAsia="宋体" w:cs="Times New Roman"/>
              </w:rPr>
            </w:pPr>
            <w:r>
              <w:rPr>
                <w:rFonts w:hint="eastAsia" w:ascii="宋体" w:hAnsi="宋体" w:eastAsia="宋体" w:cs="Times New Roman"/>
              </w:rPr>
              <w:t>299</w:t>
            </w:r>
          </w:p>
        </w:tc>
        <w:tc>
          <w:tcPr>
            <w:tcW w:w="763" w:type="dxa"/>
            <w:vAlign w:val="center"/>
          </w:tcPr>
          <w:p>
            <w:pPr>
              <w:spacing w:line="560" w:lineRule="exact"/>
              <w:jc w:val="right"/>
              <w:rPr>
                <w:rFonts w:ascii="宋体" w:hAnsi="宋体" w:eastAsia="宋体" w:cs="Times New Roman"/>
              </w:rPr>
            </w:pPr>
            <w:r>
              <w:rPr>
                <w:rFonts w:hint="eastAsia" w:ascii="宋体" w:hAnsi="宋体" w:eastAsia="宋体" w:cs="Times New Roman"/>
              </w:rPr>
              <w:t>299</w:t>
            </w:r>
          </w:p>
        </w:tc>
        <w:tc>
          <w:tcPr>
            <w:tcW w:w="305" w:type="dxa"/>
            <w:vAlign w:val="center"/>
          </w:tcPr>
          <w:p>
            <w:pPr>
              <w:spacing w:line="560" w:lineRule="exact"/>
              <w:jc w:val="right"/>
              <w:rPr>
                <w:rFonts w:ascii="宋体" w:hAnsi="宋体" w:eastAsia="宋体" w:cs="Times New Roman"/>
              </w:rPr>
            </w:pPr>
          </w:p>
        </w:tc>
        <w:tc>
          <w:tcPr>
            <w:tcW w:w="394"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7" w:type="dxa"/>
            <w:vMerge w:val="restart"/>
          </w:tcPr>
          <w:p>
            <w:pPr>
              <w:spacing w:line="560" w:lineRule="exact"/>
              <w:jc w:val="center"/>
            </w:pPr>
            <w:r>
              <w:rPr>
                <w:rFonts w:hint="eastAsia"/>
              </w:rPr>
              <w:t>困难群众粮油</w:t>
            </w:r>
          </w:p>
        </w:tc>
        <w:tc>
          <w:tcPr>
            <w:tcW w:w="603" w:type="dxa"/>
            <w:vMerge w:val="restart"/>
            <w:vAlign w:val="center"/>
          </w:tcPr>
          <w:p>
            <w:pPr>
              <w:spacing w:line="560" w:lineRule="exact"/>
              <w:jc w:val="right"/>
              <w:rPr>
                <w:rFonts w:ascii="宋体" w:hAnsi="宋体" w:eastAsia="宋体" w:cs="Times New Roman"/>
              </w:rPr>
            </w:pPr>
            <w:r>
              <w:rPr>
                <w:rFonts w:hint="eastAsia" w:ascii="宋体" w:hAnsi="宋体" w:eastAsia="宋体" w:cs="Times New Roman"/>
              </w:rPr>
              <w:t>45</w:t>
            </w:r>
          </w:p>
        </w:tc>
        <w:tc>
          <w:tcPr>
            <w:tcW w:w="133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大米</w:t>
            </w:r>
          </w:p>
        </w:tc>
        <w:tc>
          <w:tcPr>
            <w:tcW w:w="775"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A150101</w:t>
            </w:r>
          </w:p>
          <w:p>
            <w:pPr>
              <w:spacing w:line="560" w:lineRule="exact"/>
              <w:jc w:val="left"/>
              <w:rPr>
                <w:rFonts w:ascii="宋体" w:hAnsi="宋体" w:eastAsia="宋体" w:cs="Times New Roman"/>
              </w:rPr>
            </w:pPr>
          </w:p>
        </w:tc>
        <w:tc>
          <w:tcPr>
            <w:tcW w:w="427"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袋</w:t>
            </w:r>
          </w:p>
        </w:tc>
        <w:tc>
          <w:tcPr>
            <w:tcW w:w="701"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3040</w:t>
            </w:r>
          </w:p>
        </w:tc>
        <w:tc>
          <w:tcPr>
            <w:tcW w:w="1074"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0.0073</w:t>
            </w:r>
          </w:p>
        </w:tc>
        <w:tc>
          <w:tcPr>
            <w:tcW w:w="838" w:type="dxa"/>
            <w:vAlign w:val="center"/>
          </w:tcPr>
          <w:p>
            <w:pPr>
              <w:spacing w:line="560" w:lineRule="exact"/>
              <w:jc w:val="right"/>
              <w:rPr>
                <w:rFonts w:hint="eastAsia" w:ascii="宋体" w:hAnsi="宋体" w:eastAsia="宋体" w:cs="Times New Roman"/>
                <w:lang w:eastAsia="zh-CN"/>
              </w:rPr>
            </w:pPr>
            <w:r>
              <w:rPr>
                <w:rFonts w:hint="eastAsia" w:ascii="宋体" w:hAnsi="宋体" w:eastAsia="宋体" w:cs="Times New Roman"/>
                <w:lang w:val="en-US" w:eastAsia="zh-CN"/>
              </w:rPr>
              <w:t>22.19</w:t>
            </w:r>
          </w:p>
        </w:tc>
        <w:tc>
          <w:tcPr>
            <w:tcW w:w="787"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22.19</w:t>
            </w:r>
          </w:p>
        </w:tc>
        <w:tc>
          <w:tcPr>
            <w:tcW w:w="763"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22.19</w:t>
            </w:r>
          </w:p>
        </w:tc>
        <w:tc>
          <w:tcPr>
            <w:tcW w:w="305" w:type="dxa"/>
            <w:vAlign w:val="center"/>
          </w:tcPr>
          <w:p>
            <w:pPr>
              <w:spacing w:line="560" w:lineRule="exact"/>
              <w:jc w:val="right"/>
              <w:rPr>
                <w:rFonts w:ascii="宋体" w:hAnsi="宋体" w:eastAsia="宋体" w:cs="Times New Roman"/>
              </w:rPr>
            </w:pPr>
          </w:p>
        </w:tc>
        <w:tc>
          <w:tcPr>
            <w:tcW w:w="394"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7" w:type="dxa"/>
            <w:vMerge w:val="continue"/>
          </w:tcPr>
          <w:p>
            <w:pPr>
              <w:spacing w:line="560" w:lineRule="exact"/>
              <w:jc w:val="center"/>
              <w:rPr>
                <w:rFonts w:hint="eastAsia"/>
              </w:rPr>
            </w:pPr>
          </w:p>
        </w:tc>
        <w:tc>
          <w:tcPr>
            <w:tcW w:w="603" w:type="dxa"/>
            <w:vMerge w:val="continue"/>
            <w:vAlign w:val="center"/>
          </w:tcPr>
          <w:p>
            <w:pPr>
              <w:spacing w:line="560" w:lineRule="exact"/>
              <w:jc w:val="right"/>
              <w:rPr>
                <w:rFonts w:hint="eastAsia" w:ascii="宋体" w:hAnsi="宋体" w:eastAsia="宋体" w:cs="Times New Roman"/>
              </w:rPr>
            </w:pPr>
          </w:p>
        </w:tc>
        <w:tc>
          <w:tcPr>
            <w:tcW w:w="133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食用油</w:t>
            </w:r>
          </w:p>
        </w:tc>
        <w:tc>
          <w:tcPr>
            <w:tcW w:w="775"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A150105</w:t>
            </w:r>
          </w:p>
          <w:p>
            <w:pPr>
              <w:spacing w:line="560" w:lineRule="exact"/>
              <w:jc w:val="left"/>
              <w:rPr>
                <w:rFonts w:ascii="宋体" w:hAnsi="宋体" w:eastAsia="宋体" w:cs="Times New Roman"/>
              </w:rPr>
            </w:pPr>
          </w:p>
        </w:tc>
        <w:tc>
          <w:tcPr>
            <w:tcW w:w="427"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桶</w:t>
            </w:r>
          </w:p>
        </w:tc>
        <w:tc>
          <w:tcPr>
            <w:tcW w:w="701"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3040</w:t>
            </w:r>
          </w:p>
        </w:tc>
        <w:tc>
          <w:tcPr>
            <w:tcW w:w="1074"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0.0075</w:t>
            </w:r>
          </w:p>
        </w:tc>
        <w:tc>
          <w:tcPr>
            <w:tcW w:w="838"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22.81</w:t>
            </w:r>
          </w:p>
        </w:tc>
        <w:tc>
          <w:tcPr>
            <w:tcW w:w="787"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22.81</w:t>
            </w:r>
          </w:p>
        </w:tc>
        <w:tc>
          <w:tcPr>
            <w:tcW w:w="763"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22.81</w:t>
            </w:r>
          </w:p>
        </w:tc>
        <w:tc>
          <w:tcPr>
            <w:tcW w:w="305" w:type="dxa"/>
            <w:vAlign w:val="center"/>
          </w:tcPr>
          <w:p>
            <w:pPr>
              <w:spacing w:line="560" w:lineRule="exact"/>
              <w:jc w:val="right"/>
              <w:rPr>
                <w:rFonts w:ascii="宋体" w:hAnsi="宋体" w:eastAsia="宋体" w:cs="Times New Roman"/>
              </w:rPr>
            </w:pPr>
          </w:p>
        </w:tc>
        <w:tc>
          <w:tcPr>
            <w:tcW w:w="394"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7" w:type="dxa"/>
          </w:tcPr>
          <w:p>
            <w:pPr>
              <w:spacing w:line="560" w:lineRule="exact"/>
              <w:jc w:val="center"/>
            </w:pPr>
            <w:r>
              <w:rPr>
                <w:rFonts w:hint="eastAsia"/>
              </w:rPr>
              <w:t>通用设备</w:t>
            </w:r>
          </w:p>
        </w:tc>
        <w:tc>
          <w:tcPr>
            <w:tcW w:w="603"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133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台式电脑</w:t>
            </w:r>
          </w:p>
        </w:tc>
        <w:tc>
          <w:tcPr>
            <w:tcW w:w="775"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A02010104</w:t>
            </w:r>
          </w:p>
          <w:p>
            <w:pPr>
              <w:spacing w:line="560" w:lineRule="exact"/>
              <w:jc w:val="left"/>
              <w:rPr>
                <w:rFonts w:ascii="宋体" w:hAnsi="宋体" w:eastAsia="宋体" w:cs="Times New Roman"/>
              </w:rPr>
            </w:pPr>
          </w:p>
        </w:tc>
        <w:tc>
          <w:tcPr>
            <w:tcW w:w="427" w:type="dxa"/>
            <w:vAlign w:val="center"/>
          </w:tcPr>
          <w:p>
            <w:pPr>
              <w:spacing w:line="560" w:lineRule="exact"/>
              <w:jc w:val="left"/>
              <w:rPr>
                <w:rFonts w:hint="eastAsia" w:ascii="宋体" w:hAnsi="宋体" w:eastAsia="宋体" w:cs="Times New Roman"/>
                <w:lang w:val="en-US" w:eastAsia="zh-CN"/>
              </w:rPr>
            </w:pPr>
            <w:r>
              <w:rPr>
                <w:rFonts w:hint="eastAsia" w:ascii="宋体" w:hAnsi="宋体" w:eastAsia="宋体" w:cs="Times New Roman"/>
                <w:lang w:val="en-US" w:eastAsia="zh-CN"/>
              </w:rPr>
              <w:t>台</w:t>
            </w:r>
          </w:p>
        </w:tc>
        <w:tc>
          <w:tcPr>
            <w:tcW w:w="701"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4</w:t>
            </w:r>
          </w:p>
        </w:tc>
        <w:tc>
          <w:tcPr>
            <w:tcW w:w="1074"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0.5</w:t>
            </w:r>
          </w:p>
        </w:tc>
        <w:tc>
          <w:tcPr>
            <w:tcW w:w="838" w:type="dxa"/>
            <w:vAlign w:val="center"/>
          </w:tcPr>
          <w:p>
            <w:pPr>
              <w:spacing w:line="560" w:lineRule="exact"/>
              <w:ind w:right="-84" w:rightChars="-40"/>
              <w:jc w:val="right"/>
              <w:rPr>
                <w:rFonts w:ascii="宋体" w:hAnsi="宋体" w:eastAsia="宋体" w:cs="Times New Roman"/>
              </w:rPr>
            </w:pPr>
            <w:r>
              <w:rPr>
                <w:rFonts w:hint="eastAsia" w:ascii="宋体" w:hAnsi="宋体" w:eastAsia="宋体" w:cs="Times New Roman"/>
              </w:rPr>
              <w:t>2</w:t>
            </w:r>
          </w:p>
        </w:tc>
        <w:tc>
          <w:tcPr>
            <w:tcW w:w="787" w:type="dxa"/>
            <w:vAlign w:val="center"/>
          </w:tcPr>
          <w:p>
            <w:pPr>
              <w:spacing w:line="560" w:lineRule="exact"/>
              <w:ind w:right="-84" w:rightChars="-40"/>
              <w:jc w:val="right"/>
              <w:rPr>
                <w:rFonts w:ascii="宋体" w:hAnsi="宋体" w:eastAsia="宋体" w:cs="Times New Roman"/>
              </w:rPr>
            </w:pPr>
            <w:r>
              <w:rPr>
                <w:rFonts w:hint="eastAsia" w:ascii="宋体" w:hAnsi="宋体" w:eastAsia="宋体" w:cs="Times New Roman"/>
              </w:rPr>
              <w:t>2</w:t>
            </w:r>
          </w:p>
        </w:tc>
        <w:tc>
          <w:tcPr>
            <w:tcW w:w="763" w:type="dxa"/>
            <w:vAlign w:val="center"/>
          </w:tcPr>
          <w:p>
            <w:pPr>
              <w:spacing w:line="560" w:lineRule="exact"/>
              <w:ind w:right="-84" w:rightChars="-40"/>
              <w:jc w:val="right"/>
              <w:rPr>
                <w:rFonts w:ascii="宋体" w:hAnsi="宋体" w:eastAsia="宋体" w:cs="Times New Roman"/>
              </w:rPr>
            </w:pPr>
            <w:r>
              <w:rPr>
                <w:rFonts w:hint="eastAsia" w:ascii="宋体" w:hAnsi="宋体" w:eastAsia="宋体" w:cs="Times New Roman"/>
              </w:rPr>
              <w:t>2</w:t>
            </w:r>
          </w:p>
        </w:tc>
        <w:tc>
          <w:tcPr>
            <w:tcW w:w="305" w:type="dxa"/>
            <w:vAlign w:val="center"/>
          </w:tcPr>
          <w:p>
            <w:pPr>
              <w:spacing w:line="560" w:lineRule="exact"/>
              <w:jc w:val="right"/>
              <w:rPr>
                <w:rFonts w:ascii="宋体" w:hAnsi="宋体" w:eastAsia="宋体" w:cs="Times New Roman"/>
              </w:rPr>
            </w:pPr>
          </w:p>
        </w:tc>
        <w:tc>
          <w:tcPr>
            <w:tcW w:w="394"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黑体" w:hAnsi="黑体" w:eastAsia="黑体" w:cs="Times New Roman"/>
          <w:color w:val="000000" w:themeColor="text1"/>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Times New Roman"/>
          <w:color w:val="000000" w:themeColor="text1"/>
          <w:sz w:val="32"/>
          <w:szCs w:val="32"/>
        </w:rPr>
      </w:pPr>
      <w:r>
        <w:rPr>
          <w:rFonts w:hint="eastAsia" w:ascii="仿宋" w:hAnsi="仿宋" w:eastAsia="仿宋" w:cs="??_GB2312"/>
          <w:color w:val="000000" w:themeColor="text1"/>
          <w:sz w:val="32"/>
          <w:szCs w:val="32"/>
        </w:rPr>
        <w:t>民政</w:t>
      </w:r>
      <w:r>
        <w:rPr>
          <w:rFonts w:ascii="仿宋" w:hAnsi="仿宋" w:eastAsia="仿宋" w:cs="??_GB2312"/>
          <w:color w:val="000000" w:themeColor="text1"/>
          <w:sz w:val="32"/>
          <w:szCs w:val="32"/>
        </w:rPr>
        <w:t>部门（含所属单位）上年末固定资产金额为</w:t>
      </w:r>
      <w:r>
        <w:rPr>
          <w:rFonts w:hint="eastAsia" w:ascii="仿宋" w:hAnsi="仿宋" w:eastAsia="仿宋" w:cs="??_GB2312"/>
          <w:color w:val="000000" w:themeColor="text1"/>
          <w:sz w:val="32"/>
          <w:szCs w:val="32"/>
        </w:rPr>
        <w:t>790.43</w:t>
      </w:r>
      <w:r>
        <w:rPr>
          <w:rFonts w:ascii="仿宋" w:hAnsi="仿宋" w:eastAsia="仿宋" w:cs="??_GB2312"/>
          <w:color w:val="000000" w:themeColor="text1"/>
          <w:sz w:val="32"/>
          <w:szCs w:val="32"/>
        </w:rPr>
        <w:t>万元，本年度拟购置固定资产主要为</w:t>
      </w:r>
      <w:r>
        <w:rPr>
          <w:rFonts w:hint="eastAsia" w:ascii="仿宋" w:hAnsi="仿宋" w:eastAsia="仿宋" w:cs="??_GB2312"/>
          <w:color w:val="000000" w:themeColor="text1"/>
          <w:sz w:val="32"/>
          <w:szCs w:val="32"/>
        </w:rPr>
        <w:t>126.6万元，</w:t>
      </w:r>
      <w:r>
        <w:rPr>
          <w:rFonts w:ascii="仿宋" w:hAnsi="仿宋" w:eastAsia="仿宋" w:cs="??_GB2312"/>
          <w:color w:val="000000" w:themeColor="text1"/>
          <w:sz w:val="32"/>
          <w:szCs w:val="32"/>
        </w:rPr>
        <w:t>计算机设备、打印设备、空调、办公家具等，已列入政府采购预算。详见下表。</w:t>
      </w:r>
    </w:p>
    <w:tbl>
      <w:tblPr>
        <w:tblStyle w:val="4"/>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jc w:val="center"/>
              <w:rPr>
                <w:rFonts w:ascii="宋体" w:hAnsi="宋体" w:eastAsia="宋体" w:cs="Times New Roman"/>
                <w:b/>
                <w:bCs/>
                <w:color w:val="000000" w:themeColor="text1"/>
                <w:kern w:val="0"/>
                <w:sz w:val="32"/>
                <w:szCs w:val="32"/>
              </w:rPr>
            </w:pPr>
            <w:r>
              <w:rPr>
                <w:rFonts w:hint="eastAsia" w:ascii="宋体" w:hAnsi="宋体" w:eastAsia="宋体" w:cs="宋体"/>
                <w:b/>
                <w:bCs/>
                <w:color w:val="000000" w:themeColor="text1"/>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编制部门：民政局</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w:t>
            </w:r>
            <w:r>
              <w:rPr>
                <w:rFonts w:hint="eastAsia" w:ascii="宋体" w:hAnsi="宋体" w:eastAsia="宋体" w:cs="宋体"/>
                <w:kern w:val="0"/>
                <w:sz w:val="22"/>
                <w:szCs w:val="22"/>
              </w:rPr>
              <w:t>8年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rPr>
            </w:pPr>
            <w:r>
              <w:rPr>
                <w:rFonts w:hint="eastAsia" w:ascii="宋体" w:hAnsi="宋体" w:eastAsia="宋体" w:cs="宋体"/>
                <w:b/>
                <w:bCs/>
                <w:color w:val="000000" w:themeColor="text1"/>
                <w:kern w:val="0"/>
                <w:sz w:val="22"/>
                <w:szCs w:val="22"/>
              </w:rPr>
              <w:t>项目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rPr>
            </w:pPr>
            <w:r>
              <w:rPr>
                <w:rFonts w:hint="eastAsia" w:ascii="宋体" w:hAnsi="宋体" w:eastAsia="宋体" w:cs="宋体"/>
                <w:b/>
                <w:bCs/>
                <w:color w:val="000000" w:themeColor="text1"/>
                <w:kern w:val="0"/>
                <w:sz w:val="22"/>
                <w:szCs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rPr>
            </w:pPr>
            <w:r>
              <w:rPr>
                <w:rFonts w:hint="eastAsia" w:ascii="宋体" w:hAnsi="宋体" w:eastAsia="宋体" w:cs="宋体"/>
                <w:b/>
                <w:bCs/>
                <w:color w:val="000000" w:themeColor="text1"/>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宋体"/>
                <w:color w:val="000000" w:themeColor="text1"/>
                <w:kern w:val="0"/>
                <w:sz w:val="22"/>
                <w:szCs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rPr>
            </w:pPr>
            <w:r>
              <w:rPr>
                <w:rFonts w:ascii="宋体" w:hAnsi="宋体" w:eastAsia="宋体" w:cs="宋体"/>
                <w:color w:val="000000" w:themeColor="text1"/>
                <w:kern w:val="0"/>
                <w:sz w:val="22"/>
                <w:szCs w:val="22"/>
              </w:rPr>
              <w:t>——</w:t>
            </w:r>
          </w:p>
        </w:tc>
        <w:tc>
          <w:tcPr>
            <w:tcW w:w="4066" w:type="dxa"/>
            <w:tcBorders>
              <w:top w:val="nil"/>
              <w:left w:val="nil"/>
              <w:bottom w:val="single" w:color="auto" w:sz="4" w:space="0"/>
              <w:right w:val="single" w:color="auto" w:sz="4" w:space="0"/>
            </w:tcBorders>
            <w:vAlign w:val="center"/>
          </w:tcPr>
          <w:p>
            <w:pPr>
              <w:widowControl/>
              <w:jc w:val="center"/>
              <w:rPr>
                <w:rFonts w:ascii="仿宋" w:hAnsi="仿宋" w:eastAsia="仿宋" w:cs="??_GB2312"/>
                <w:color w:val="000000" w:themeColor="text1"/>
                <w:sz w:val="24"/>
                <w:szCs w:val="24"/>
              </w:rPr>
            </w:pPr>
            <w:r>
              <w:rPr>
                <w:rFonts w:hint="eastAsia" w:ascii="仿宋" w:hAnsi="仿宋" w:eastAsia="仿宋" w:cs="??_GB2312"/>
                <w:color w:val="000000" w:themeColor="text1"/>
                <w:sz w:val="24"/>
                <w:szCs w:val="24"/>
              </w:rPr>
              <w:t>790.43</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1</w:t>
            </w:r>
            <w:r>
              <w:rPr>
                <w:rFonts w:hint="eastAsia" w:ascii="宋体" w:hAnsi="宋体" w:eastAsia="宋体" w:cs="宋体"/>
                <w:color w:val="000000" w:themeColor="text1"/>
                <w:kern w:val="0"/>
                <w:sz w:val="22"/>
                <w:szCs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203</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385.64</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hint="eastAsia" w:ascii="宋体" w:hAnsi="宋体" w:eastAsia="宋体" w:cs="宋体"/>
                <w:color w:val="000000" w:themeColor="text1"/>
                <w:kern w:val="0"/>
                <w:sz w:val="22"/>
                <w:szCs w:val="22"/>
              </w:rPr>
              <w:t>其中：业务用房（平方米）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203</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385.64</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2</w:t>
            </w:r>
            <w:r>
              <w:rPr>
                <w:rFonts w:hint="eastAsia" w:ascii="宋体" w:hAnsi="宋体" w:eastAsia="宋体" w:cs="宋体"/>
                <w:color w:val="000000" w:themeColor="text1"/>
                <w:kern w:val="0"/>
                <w:sz w:val="22"/>
                <w:szCs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ascii="宋体" w:hAnsi="宋体" w:eastAsia="宋体" w:cs="Times New Roman"/>
                <w:color w:val="000000" w:themeColor="text1"/>
                <w:kern w:val="0"/>
                <w:sz w:val="22"/>
              </w:rPr>
              <w:t>2</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ascii="宋体" w:hAnsi="宋体" w:eastAsia="宋体" w:cs="Times New Roman"/>
                <w:color w:val="000000" w:themeColor="text1"/>
                <w:kern w:val="0"/>
                <w:sz w:val="22"/>
              </w:rPr>
              <w:t>56.6</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3</w:t>
            </w:r>
            <w:r>
              <w:rPr>
                <w:rFonts w:hint="eastAsia" w:ascii="宋体" w:hAnsi="宋体" w:eastAsia="宋体" w:cs="宋体"/>
                <w:color w:val="000000" w:themeColor="text1"/>
                <w:kern w:val="0"/>
                <w:sz w:val="22"/>
                <w:szCs w:val="22"/>
              </w:rPr>
              <w:t>、单价在</w:t>
            </w:r>
            <w:r>
              <w:rPr>
                <w:rFonts w:ascii="宋体" w:hAnsi="宋体" w:eastAsia="宋体" w:cs="宋体"/>
                <w:color w:val="000000" w:themeColor="text1"/>
                <w:kern w:val="0"/>
                <w:sz w:val="22"/>
                <w:szCs w:val="22"/>
              </w:rPr>
              <w:t>50</w:t>
            </w:r>
            <w:r>
              <w:rPr>
                <w:rFonts w:hint="eastAsia" w:ascii="宋体" w:hAnsi="宋体" w:eastAsia="宋体" w:cs="宋体"/>
                <w:color w:val="000000" w:themeColor="text1"/>
                <w:kern w:val="0"/>
                <w:sz w:val="22"/>
                <w:szCs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188.96</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4</w:t>
            </w:r>
            <w:r>
              <w:rPr>
                <w:rFonts w:hint="eastAsia" w:ascii="宋体" w:hAnsi="宋体" w:eastAsia="宋体" w:cs="宋体"/>
                <w:color w:val="000000" w:themeColor="text1"/>
                <w:kern w:val="0"/>
                <w:sz w:val="22"/>
                <w:szCs w:val="22"/>
              </w:rPr>
              <w:t>、其他固定资产</w:t>
            </w:r>
          </w:p>
        </w:tc>
        <w:tc>
          <w:tcPr>
            <w:tcW w:w="855" w:type="dxa"/>
            <w:tcBorders>
              <w:top w:val="nil"/>
              <w:left w:val="nil"/>
              <w:bottom w:val="single" w:color="auto" w:sz="4" w:space="0"/>
              <w:right w:val="single" w:color="auto" w:sz="4" w:space="0"/>
            </w:tcBorders>
            <w:vAlign w:val="center"/>
          </w:tcPr>
          <w:p>
            <w:pPr>
              <w:widowControl/>
              <w:rPr>
                <w:rFonts w:ascii="宋体" w:hAnsi="宋体" w:eastAsia="宋体" w:cs="Times New Roman"/>
                <w:color w:val="000000" w:themeColor="text1"/>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159.23</w:t>
            </w:r>
          </w:p>
        </w:tc>
      </w:tr>
    </w:tbl>
    <w:p>
      <w:pPr>
        <w:autoSpaceDE w:val="0"/>
        <w:autoSpaceDN w:val="0"/>
        <w:adjustRightInd w:val="0"/>
        <w:ind w:left="198" w:firstLine="640" w:firstLineChars="200"/>
        <w:jc w:val="left"/>
        <w:rPr>
          <w:rFonts w:ascii="黑体" w:hAnsi="黑体" w:eastAsia="黑体" w:cs="黑体"/>
          <w:color w:val="000000" w:themeColor="text1"/>
          <w:sz w:val="32"/>
          <w:szCs w:val="32"/>
        </w:rPr>
      </w:pPr>
    </w:p>
    <w:p>
      <w:pPr>
        <w:autoSpaceDE w:val="0"/>
        <w:autoSpaceDN w:val="0"/>
        <w:adjustRightInd w:val="0"/>
        <w:ind w:left="198" w:firstLine="640" w:firstLineChars="200"/>
        <w:jc w:val="left"/>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00" w:firstLineChars="250"/>
        <w:jc w:val="left"/>
        <w:rPr>
          <w:rFonts w:ascii="仿宋" w:hAnsi="仿宋" w:eastAsia="仿宋" w:cs="仿宋"/>
          <w:b/>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5、项目支出：</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800" w:firstLineChars="25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800" w:firstLineChars="250"/>
        <w:rPr>
          <w:rFonts w:ascii="仿宋" w:hAnsi="仿宋" w:eastAsia="仿宋" w:cs="仿宋"/>
          <w:kern w:val="0"/>
          <w:sz w:val="32"/>
          <w:szCs w:val="32"/>
        </w:rPr>
      </w:pPr>
      <w:r>
        <w:rPr>
          <w:rFonts w:hint="eastAsia" w:ascii="仿宋" w:hAnsi="仿宋" w:eastAsia="仿宋" w:cs="仿宋"/>
          <w:kern w:val="0"/>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14</w:t>
    </w:r>
    <w:r>
      <w:rPr>
        <w:rFonts w:ascii="仿宋" w:hAnsi="仿宋" w:eastAsia="仿宋" w:cs="仿宋"/>
        <w:sz w:val="32"/>
        <w:szCs w:val="32"/>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4AAA"/>
    <w:rsid w:val="000274B0"/>
    <w:rsid w:val="00073587"/>
    <w:rsid w:val="00087B3E"/>
    <w:rsid w:val="000A796E"/>
    <w:rsid w:val="000A7BD4"/>
    <w:rsid w:val="000B3E20"/>
    <w:rsid w:val="00101C7A"/>
    <w:rsid w:val="00122DD6"/>
    <w:rsid w:val="001278EA"/>
    <w:rsid w:val="00131928"/>
    <w:rsid w:val="0015167C"/>
    <w:rsid w:val="001A3CB4"/>
    <w:rsid w:val="001C301A"/>
    <w:rsid w:val="001E0232"/>
    <w:rsid w:val="00206B22"/>
    <w:rsid w:val="002307B5"/>
    <w:rsid w:val="00276364"/>
    <w:rsid w:val="00293834"/>
    <w:rsid w:val="00295F55"/>
    <w:rsid w:val="002C0317"/>
    <w:rsid w:val="002D43D3"/>
    <w:rsid w:val="002E5F1A"/>
    <w:rsid w:val="002F458C"/>
    <w:rsid w:val="00325594"/>
    <w:rsid w:val="003321F3"/>
    <w:rsid w:val="00335E0B"/>
    <w:rsid w:val="003671FA"/>
    <w:rsid w:val="0037750D"/>
    <w:rsid w:val="003B77F6"/>
    <w:rsid w:val="003C4C5D"/>
    <w:rsid w:val="003D1126"/>
    <w:rsid w:val="003D1369"/>
    <w:rsid w:val="003D22B1"/>
    <w:rsid w:val="004254D7"/>
    <w:rsid w:val="00426D7A"/>
    <w:rsid w:val="00431B5D"/>
    <w:rsid w:val="00453A06"/>
    <w:rsid w:val="0048548B"/>
    <w:rsid w:val="004A0B37"/>
    <w:rsid w:val="004C2961"/>
    <w:rsid w:val="004D22F5"/>
    <w:rsid w:val="00516F61"/>
    <w:rsid w:val="00524AAA"/>
    <w:rsid w:val="005412A2"/>
    <w:rsid w:val="005730D6"/>
    <w:rsid w:val="005A36C5"/>
    <w:rsid w:val="005B7EE9"/>
    <w:rsid w:val="005D4E99"/>
    <w:rsid w:val="005D6A17"/>
    <w:rsid w:val="005F4345"/>
    <w:rsid w:val="0068144F"/>
    <w:rsid w:val="00686533"/>
    <w:rsid w:val="006B4730"/>
    <w:rsid w:val="006C40A7"/>
    <w:rsid w:val="00704A26"/>
    <w:rsid w:val="00710A85"/>
    <w:rsid w:val="00730E9C"/>
    <w:rsid w:val="00747D9E"/>
    <w:rsid w:val="007667CF"/>
    <w:rsid w:val="007775CB"/>
    <w:rsid w:val="00792F84"/>
    <w:rsid w:val="007B4EB3"/>
    <w:rsid w:val="007C484E"/>
    <w:rsid w:val="007D301F"/>
    <w:rsid w:val="007F0D2E"/>
    <w:rsid w:val="007F4D20"/>
    <w:rsid w:val="00825F97"/>
    <w:rsid w:val="008327A0"/>
    <w:rsid w:val="00844B65"/>
    <w:rsid w:val="00856069"/>
    <w:rsid w:val="008574DC"/>
    <w:rsid w:val="00861662"/>
    <w:rsid w:val="008C1E65"/>
    <w:rsid w:val="008C55CF"/>
    <w:rsid w:val="008C641F"/>
    <w:rsid w:val="008F0D12"/>
    <w:rsid w:val="00912C96"/>
    <w:rsid w:val="00933068"/>
    <w:rsid w:val="00950F28"/>
    <w:rsid w:val="00973104"/>
    <w:rsid w:val="00990CB9"/>
    <w:rsid w:val="009B2D48"/>
    <w:rsid w:val="009C264C"/>
    <w:rsid w:val="009D232C"/>
    <w:rsid w:val="009F0612"/>
    <w:rsid w:val="009F1104"/>
    <w:rsid w:val="00A12AE7"/>
    <w:rsid w:val="00A15ADE"/>
    <w:rsid w:val="00A46CD8"/>
    <w:rsid w:val="00A6455D"/>
    <w:rsid w:val="00A775DC"/>
    <w:rsid w:val="00A95F51"/>
    <w:rsid w:val="00A97083"/>
    <w:rsid w:val="00AB5098"/>
    <w:rsid w:val="00AC6968"/>
    <w:rsid w:val="00AE755A"/>
    <w:rsid w:val="00B048E1"/>
    <w:rsid w:val="00B13EFE"/>
    <w:rsid w:val="00B148B5"/>
    <w:rsid w:val="00B50088"/>
    <w:rsid w:val="00B500A4"/>
    <w:rsid w:val="00B74AE0"/>
    <w:rsid w:val="00BA40C6"/>
    <w:rsid w:val="00BA6B82"/>
    <w:rsid w:val="00BC3FFF"/>
    <w:rsid w:val="00BC54EC"/>
    <w:rsid w:val="00BF15C3"/>
    <w:rsid w:val="00C63DBF"/>
    <w:rsid w:val="00C734CB"/>
    <w:rsid w:val="00C8122D"/>
    <w:rsid w:val="00C84FDB"/>
    <w:rsid w:val="00C94E61"/>
    <w:rsid w:val="00CC5220"/>
    <w:rsid w:val="00CD0F72"/>
    <w:rsid w:val="00CE1963"/>
    <w:rsid w:val="00CE3008"/>
    <w:rsid w:val="00D06882"/>
    <w:rsid w:val="00D27A25"/>
    <w:rsid w:val="00D312BA"/>
    <w:rsid w:val="00D349F9"/>
    <w:rsid w:val="00D34F10"/>
    <w:rsid w:val="00D4165A"/>
    <w:rsid w:val="00D73351"/>
    <w:rsid w:val="00D941C1"/>
    <w:rsid w:val="00E000C9"/>
    <w:rsid w:val="00E065D0"/>
    <w:rsid w:val="00E15C61"/>
    <w:rsid w:val="00E24B37"/>
    <w:rsid w:val="00E474B2"/>
    <w:rsid w:val="00E87B0C"/>
    <w:rsid w:val="00E91C36"/>
    <w:rsid w:val="00E95567"/>
    <w:rsid w:val="00ED1820"/>
    <w:rsid w:val="00ED51A8"/>
    <w:rsid w:val="00ED7B72"/>
    <w:rsid w:val="00F0034F"/>
    <w:rsid w:val="00F14752"/>
    <w:rsid w:val="00F24FB2"/>
    <w:rsid w:val="00F311AF"/>
    <w:rsid w:val="00F414C0"/>
    <w:rsid w:val="00F66032"/>
    <w:rsid w:val="00F934F9"/>
    <w:rsid w:val="00FA47F1"/>
    <w:rsid w:val="00FB475F"/>
    <w:rsid w:val="00FB5EA2"/>
    <w:rsid w:val="00FD2131"/>
    <w:rsid w:val="05DD288F"/>
    <w:rsid w:val="0FBD4019"/>
    <w:rsid w:val="0FEF391C"/>
    <w:rsid w:val="0FEF7AE6"/>
    <w:rsid w:val="117E1EF6"/>
    <w:rsid w:val="13701E42"/>
    <w:rsid w:val="157320F6"/>
    <w:rsid w:val="15DA5948"/>
    <w:rsid w:val="17F5602E"/>
    <w:rsid w:val="22841465"/>
    <w:rsid w:val="24E37CBF"/>
    <w:rsid w:val="2BCC57BE"/>
    <w:rsid w:val="2E4461EA"/>
    <w:rsid w:val="2E83425F"/>
    <w:rsid w:val="2FF65B9B"/>
    <w:rsid w:val="3032613C"/>
    <w:rsid w:val="34614F78"/>
    <w:rsid w:val="35147262"/>
    <w:rsid w:val="37C903A5"/>
    <w:rsid w:val="3E2F3BCE"/>
    <w:rsid w:val="3E8C4FC2"/>
    <w:rsid w:val="411327EE"/>
    <w:rsid w:val="41DE645F"/>
    <w:rsid w:val="42075D9F"/>
    <w:rsid w:val="429D2F67"/>
    <w:rsid w:val="42B4111D"/>
    <w:rsid w:val="45397456"/>
    <w:rsid w:val="502A0D98"/>
    <w:rsid w:val="516820CA"/>
    <w:rsid w:val="51E51600"/>
    <w:rsid w:val="51ED7477"/>
    <w:rsid w:val="53E50019"/>
    <w:rsid w:val="55130B22"/>
    <w:rsid w:val="56CE1973"/>
    <w:rsid w:val="58F14E6B"/>
    <w:rsid w:val="5A570499"/>
    <w:rsid w:val="5ADF6AC1"/>
    <w:rsid w:val="5C3408A6"/>
    <w:rsid w:val="60D042F1"/>
    <w:rsid w:val="62961851"/>
    <w:rsid w:val="6B683F2A"/>
    <w:rsid w:val="71C9332F"/>
    <w:rsid w:val="728E07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qFormat/>
    <w:locked/>
    <w:uiPriority w:val="99"/>
    <w:rPr>
      <w:rFonts w:cs="Times New Roman"/>
      <w:sz w:val="18"/>
      <w:szCs w:val="18"/>
    </w:rPr>
  </w:style>
  <w:style w:type="character" w:customStyle="1" w:styleId="8">
    <w:name w:val="页眉 Char"/>
    <w:link w:val="3"/>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98277-7641-4BE4-B94E-33542DC7067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1017</Words>
  <Characters>5801</Characters>
  <Lines>48</Lines>
  <Paragraphs>13</Paragraphs>
  <TotalTime>25</TotalTime>
  <ScaleCrop>false</ScaleCrop>
  <LinksUpToDate>false</LinksUpToDate>
  <CharactersWithSpaces>6805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cp:lastPrinted>2021-05-18T03:23:00Z</cp:lastPrinted>
  <dcterms:modified xsi:type="dcterms:W3CDTF">2021-05-24T01:53:41Z</dcterms:modified>
  <dc:title>2017年部门预算公开督导整改要求</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42AC89F9FBE643D0AFBB651F5CD23609</vt:lpwstr>
  </property>
</Properties>
</file>