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p>
    <w:p>
      <w:pPr>
        <w:jc w:val="center"/>
        <w:rPr>
          <w:rFonts w:ascii="宋体" w:hAnsi="宋体" w:eastAsia="宋体" w:cs="黑体"/>
          <w:b/>
          <w:sz w:val="44"/>
          <w:szCs w:val="44"/>
        </w:rPr>
      </w:pPr>
      <w:r>
        <w:rPr>
          <w:rFonts w:hint="eastAsia" w:ascii="宋体" w:hAnsi="宋体" w:eastAsia="宋体" w:cs="黑体"/>
          <w:b/>
          <w:sz w:val="44"/>
          <w:szCs w:val="44"/>
        </w:rPr>
        <w:t>成安县人民政府办公室</w:t>
      </w:r>
    </w:p>
    <w:p>
      <w:pPr>
        <w:jc w:val="center"/>
        <w:rPr>
          <w:rFonts w:ascii="宋体" w:hAnsi="宋体" w:eastAsia="宋体" w:cs="黑体"/>
          <w:b/>
          <w:sz w:val="44"/>
          <w:szCs w:val="44"/>
        </w:rPr>
      </w:pPr>
      <w:r>
        <w:rPr>
          <w:rFonts w:hint="eastAsia" w:ascii="宋体" w:hAnsi="宋体" w:eastAsia="宋体" w:cs="黑体"/>
          <w:b/>
          <w:sz w:val="44"/>
          <w:szCs w:val="44"/>
        </w:rPr>
        <w:t>2019年部门预算公开情况说明</w:t>
      </w:r>
    </w:p>
    <w:p>
      <w:pPr>
        <w:ind w:firstLine="640" w:firstLineChars="200"/>
        <w:rPr>
          <w:rFonts w:ascii="黑体" w:hAnsi="黑体" w:eastAsia="黑体" w:cs="黑体"/>
          <w:sz w:val="32"/>
          <w:szCs w:val="32"/>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11"/>
        <w:snapToGrid w:val="0"/>
        <w:spacing w:line="560" w:lineRule="exact"/>
        <w:ind w:firstLine="643"/>
        <w:rPr>
          <w:rFonts w:ascii="楷体" w:hAnsi="楷体" w:eastAsia="楷体" w:cs="楷体"/>
          <w:b/>
          <w:bCs/>
          <w:sz w:val="32"/>
          <w:szCs w:val="32"/>
        </w:rPr>
      </w:pPr>
      <w:r>
        <w:rPr>
          <w:rFonts w:hint="eastAsia" w:ascii="楷体" w:hAnsi="楷体" w:eastAsia="楷体" w:cs="楷体"/>
          <w:b/>
          <w:bCs/>
          <w:sz w:val="32"/>
          <w:szCs w:val="32"/>
        </w:rPr>
        <w:t>部门职责：</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一）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（二）对我县经济社会发展中重大问题进行调查研究，提出政策性建议。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(三）负责县政府各种会议的准备工作，协助县政府领导同志组织各类会议。</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（四）负责来访群众的接待、疏导工作。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（五）负责文件、明传电报和其他材料呈送及县领导批示件的交办工作。</w:t>
      </w:r>
    </w:p>
    <w:p>
      <w:pPr>
        <w:pStyle w:val="11"/>
        <w:snapToGrid w:val="0"/>
        <w:spacing w:line="560" w:lineRule="exact"/>
        <w:ind w:firstLine="640"/>
        <w:rPr>
          <w:rFonts w:ascii="仿宋" w:hAnsi="仿宋" w:eastAsia="仿宋" w:cs="仿宋"/>
          <w:sz w:val="32"/>
          <w:szCs w:val="32"/>
        </w:rPr>
      </w:pPr>
      <w:r>
        <w:rPr>
          <w:rFonts w:hint="eastAsia" w:ascii="仿宋" w:hAnsi="仿宋" w:eastAsia="仿宋" w:cs="仿宋"/>
          <w:sz w:val="32"/>
          <w:szCs w:val="32"/>
        </w:rPr>
        <w:t>（六）负责县政府及办公室文件的起草、审核把关和政府机关的文书处理工作，负责政府机关的文件档案管理、印信管理和保密工作。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（七）负责组织县政府工作报告、领导同志重要讲话及其他材料的起草、修改工作。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（八）根据县政府的要求或办理文件的需要，协助领导协调上下之间、部门之间的关系，协调处理在权限内能够解决的问题，负责工农关系的协调。</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（九）负责县政府及办公室的政务接待、机关值班及办公室的印信管理工作。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（十一）负责县政府法律库的管理工作；负责监督检查县政府行政许可审批部门的法制建设和依法行政工作；承办县依法行政工作领导小组交办的其他事项。</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（十二）负责组织编制政府突发公共事件总体应急预案，组织审核专项预案，指导乡镇、政府有关部门的应急体系、应急信息平台建设等工作。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（十三）负责贯彻落实国家和省、市有关金融工作的方针、政策和法律法规；研究制定全县金融产业中长期规划，提出促进金融产业发展的政策建议；引进各类金融机构，组织开展银企对接等工作。</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（十四）负责全县项目建设、工业园区提档升级工作的整体谋划、综合协调、督导推进、工作落实。</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（十五）贯彻落实国家和省、市有关对外贸易、国际经济合作和招商引资的发展战略、方针、政策；拟订全县相应的发展规划以及规定、办法和措施。</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（十六）研究提出流通体制改革意见，培育发展城乡市场，推进流通产业结构调整。</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（十七）负责全县整顿和规范市场经济秩序的具体实施工作，建立健全统一、开放、竞争、有序的市场体系。</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（十八）负责成品油等主要生活用品的流通和拍卖、典当等行业的监督管理。</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（十九）负责进出口配额计划的编报、下达和组织实施及配额、许可证管理工作。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（二十）贯彻执行国家和省对外技术贸易、进出口管制以及鼓励技术和成套设备出口的政策。</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（二十一）贯彻执行国家和省、市有关对外开放、招商引资等方面的法律法规。</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（二十二）负责全县对外经济合作工作。</w:t>
      </w:r>
    </w:p>
    <w:p>
      <w:pPr>
        <w:pStyle w:val="11"/>
        <w:snapToGrid w:val="0"/>
        <w:spacing w:line="560" w:lineRule="exact"/>
        <w:ind w:firstLineChars="0"/>
        <w:jc w:val="left"/>
        <w:rPr>
          <w:rFonts w:ascii="仿宋" w:hAnsi="仿宋" w:eastAsia="仿宋" w:cs="仿宋"/>
          <w:sz w:val="32"/>
          <w:szCs w:val="32"/>
        </w:rPr>
      </w:pPr>
      <w:r>
        <w:rPr>
          <w:rFonts w:hint="eastAsia" w:ascii="仿宋" w:hAnsi="仿宋" w:eastAsia="仿宋" w:cs="仿宋"/>
          <w:sz w:val="32"/>
          <w:szCs w:val="32"/>
        </w:rPr>
        <w:t>（二十三）指导监督以成安县名义在境内外举办的各种外经贸交易会、展览会、展销会等活动；拟订并实施赴境外举办上述活动的管理办法。</w:t>
      </w:r>
    </w:p>
    <w:p>
      <w:pPr>
        <w:pStyle w:val="11"/>
        <w:spacing w:line="560" w:lineRule="exact"/>
        <w:ind w:firstLineChars="0"/>
        <w:rPr>
          <w:rFonts w:ascii="仿宋" w:hAnsi="仿宋" w:eastAsia="仿宋" w:cs="仿宋"/>
          <w:sz w:val="32"/>
          <w:szCs w:val="32"/>
        </w:rPr>
      </w:pPr>
      <w:r>
        <w:rPr>
          <w:rFonts w:hint="eastAsia" w:ascii="仿宋" w:hAnsi="仿宋" w:eastAsia="仿宋" w:cs="仿宋"/>
          <w:sz w:val="32"/>
          <w:szCs w:val="32"/>
        </w:rPr>
        <w:t>（二十四）负责全县政务公开工作。承担县政务公开领导小组有关工作；研究制定全县政务工作实施方案；</w:t>
      </w:r>
      <w:r>
        <w:rPr>
          <w:rFonts w:hint="eastAsia" w:ascii="仿宋" w:hAnsi="仿宋" w:eastAsia="仿宋" w:cs="仿宋"/>
          <w:spacing w:val="10"/>
          <w:sz w:val="32"/>
          <w:szCs w:val="32"/>
        </w:rPr>
        <w:t>承办县政府信息公开事宜，组织编制县政府信息公开指南、公开目录和年度报告，对拟公开的政府信息进行保密审查。</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（二十五）承办县委、县政府交办的其他事项。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人员编制26名，其中领导职数7个。</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机构设置：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办公室:围绕县政府中心工作和重点工作，加强调查研究，及时收集、整理全县社会经济发展情况和县政府工作情况，超前研究分析各方面的动向，为领导科学决策和正确指导工作提供有参考价值的信息、资料、建议。</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督查室：负责督促检查县政府各部门、各乡（镇）人民政府对国务院、省政府、市政府、县政府重要文件、县政府会议议定事项及县政府领导同志重要批示的执行、落实情况，并向县政府领导同志报告。</w:t>
      </w:r>
    </w:p>
    <w:p>
      <w:pPr>
        <w:pStyle w:val="11"/>
        <w:snapToGrid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应急办：负责组织编制政府突发公共事件总体应急预案，组织审核专项预案，指导乡镇、政府有关部门的应急体系、应急信息平台建设。</w:t>
      </w:r>
    </w:p>
    <w:p>
      <w:pPr>
        <w:pStyle w:val="11"/>
        <w:snapToGrid w:val="0"/>
        <w:spacing w:line="560" w:lineRule="exact"/>
        <w:ind w:firstLine="640"/>
        <w:rPr>
          <w:rFonts w:ascii="仿宋" w:hAnsi="仿宋" w:eastAsia="仿宋" w:cs="仿宋"/>
          <w:sz w:val="32"/>
          <w:szCs w:val="32"/>
        </w:rPr>
      </w:pPr>
    </w:p>
    <w:p>
      <w:pPr>
        <w:widowControl/>
        <w:spacing w:line="360" w:lineRule="auto"/>
        <w:ind w:firstLine="640" w:firstLineChars="200"/>
        <w:jc w:val="left"/>
        <w:rPr>
          <w:rFonts w:ascii="仿宋_GB2312" w:hAnsi="Calibri" w:eastAsia="仿宋_GB2312" w:cs="仿宋_GB2312"/>
          <w:kern w:val="0"/>
          <w:sz w:val="32"/>
          <w:szCs w:val="32"/>
        </w:rPr>
      </w:pP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6"/>
        <w:tblW w:w="91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3409"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成安县人民政府研究室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4"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成安县老区建设促进会</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成安县人民政府督促检查办公室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成安县人民政府政务公开办公室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jc w:val="lef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2" w:hRule="atLeast"/>
          <w:jc w:val="center"/>
        </w:trPr>
        <w:tc>
          <w:tcPr>
            <w:tcW w:w="3317" w:type="dxa"/>
          </w:tcPr>
          <w:p>
            <w:pPr>
              <w:jc w:val="center"/>
              <w:rPr>
                <w:rFonts w:ascii="仿宋" w:hAnsi="仿宋" w:eastAsia="仿宋"/>
              </w:rPr>
            </w:pPr>
            <w:r>
              <w:rPr>
                <w:rFonts w:hint="eastAsia" w:ascii="仿宋" w:hAnsi="仿宋" w:eastAsia="仿宋"/>
              </w:rPr>
              <w:t>成安县人民政府应急管理办公室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5" w:hRule="atLeast"/>
          <w:jc w:val="center"/>
        </w:trPr>
        <w:tc>
          <w:tcPr>
            <w:tcW w:w="3317" w:type="dxa"/>
          </w:tcPr>
          <w:p>
            <w:pPr>
              <w:jc w:val="center"/>
              <w:rPr>
                <w:rFonts w:ascii="仿宋" w:hAnsi="仿宋" w:eastAsia="仿宋"/>
              </w:rPr>
            </w:pPr>
            <w:r>
              <w:rPr>
                <w:rFonts w:hint="eastAsia" w:ascii="仿宋" w:hAnsi="仿宋" w:eastAsia="仿宋"/>
              </w:rPr>
              <w:t>成安县人民政府项目推进办</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left"/>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45" w:hRule="atLeast"/>
          <w:jc w:val="center"/>
        </w:trPr>
        <w:tc>
          <w:tcPr>
            <w:tcW w:w="3317" w:type="dxa"/>
          </w:tcPr>
          <w:p>
            <w:pPr>
              <w:jc w:val="center"/>
              <w:rPr>
                <w:rFonts w:ascii="仿宋" w:hAnsi="仿宋" w:eastAsia="仿宋"/>
              </w:rPr>
            </w:pPr>
            <w:r>
              <w:rPr>
                <w:rFonts w:hint="eastAsia" w:ascii="仿宋" w:hAnsi="仿宋" w:eastAsia="仿宋" w:cs="Times New Roman"/>
              </w:rPr>
              <w:t>成安县人民政府法制办公室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jc w:val="left"/>
              <w:rPr>
                <w:rFonts w:ascii="Times New Roman" w:hAnsi="Times New Roman" w:eastAsia="方正书宋_GBK" w:cs="Times New Roman"/>
              </w:rPr>
            </w:pPr>
            <w:r>
              <w:rPr>
                <w:rFonts w:hint="eastAsia" w:ascii="Times New Roman" w:hAnsi="Times New Roman" w:eastAsia="方正书宋_GBK" w:cs="Times New Roman"/>
              </w:rPr>
              <w:t>财政拨款（行政）</w:t>
            </w:r>
          </w:p>
        </w:tc>
      </w:tr>
    </w:tbl>
    <w:p>
      <w:pPr>
        <w:spacing w:line="560" w:lineRule="exact"/>
        <w:ind w:firstLine="640"/>
        <w:rPr>
          <w:rFonts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_GB2312" w:hAnsi="Calibri" w:eastAsia="仿宋_GB2312" w:cs="仿宋_GB2312"/>
          <w:kern w:val="0"/>
          <w:sz w:val="32"/>
          <w:szCs w:val="32"/>
        </w:rPr>
        <w:t>2019年部门收入预算总额为945.49万元，</w:t>
      </w:r>
      <w:r>
        <w:rPr>
          <w:rFonts w:hint="eastAsia" w:ascii="仿宋" w:hAnsi="仿宋" w:eastAsia="仿宋" w:cs="方正仿宋_GBK"/>
          <w:sz w:val="32"/>
          <w:szCs w:val="32"/>
        </w:rPr>
        <w:t>其中：一般公共预算收入</w:t>
      </w:r>
      <w:r>
        <w:rPr>
          <w:rFonts w:hint="eastAsia" w:ascii="仿宋" w:hAnsi="仿宋" w:eastAsia="仿宋" w:cs="仿宋_GB2312"/>
          <w:kern w:val="0"/>
          <w:sz w:val="32"/>
          <w:szCs w:val="32"/>
          <w:lang w:val="en-US" w:eastAsia="zh-CN"/>
        </w:rPr>
        <w:t>945.49</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2019年部门支出预算总额为945.49万元，其中基本支出</w:t>
      </w:r>
      <w:r>
        <w:rPr>
          <w:rFonts w:hint="eastAsia" w:ascii="仿宋_GB2312" w:hAnsi="Calibri" w:eastAsia="仿宋_GB2312" w:cs="仿宋_GB2312"/>
          <w:kern w:val="0"/>
          <w:sz w:val="32"/>
          <w:szCs w:val="32"/>
          <w:lang w:val="en-US" w:eastAsia="zh-CN"/>
        </w:rPr>
        <w:t>931.62</w:t>
      </w:r>
      <w:r>
        <w:rPr>
          <w:rFonts w:hint="eastAsia" w:ascii="仿宋_GB2312" w:hAnsi="Calibri" w:eastAsia="仿宋_GB2312" w:cs="仿宋_GB2312"/>
          <w:kern w:val="0"/>
          <w:sz w:val="32"/>
          <w:szCs w:val="32"/>
        </w:rPr>
        <w:t>万元，包括</w:t>
      </w:r>
      <w:r>
        <w:rPr>
          <w:rFonts w:hint="eastAsia" w:ascii="仿宋_GB2312" w:hAnsi="Calibri" w:eastAsia="仿宋_GB2312" w:cs="仿宋_GB2312"/>
          <w:kern w:val="0"/>
          <w:sz w:val="32"/>
          <w:szCs w:val="32"/>
          <w:lang w:eastAsia="zh-CN"/>
        </w:rPr>
        <w:t>社会保障和就业支出</w:t>
      </w:r>
      <w:r>
        <w:rPr>
          <w:rFonts w:hint="eastAsia" w:ascii="仿宋_GB2312" w:hAnsi="Calibri" w:eastAsia="仿宋_GB2312" w:cs="仿宋_GB2312"/>
          <w:kern w:val="0"/>
          <w:sz w:val="32"/>
          <w:szCs w:val="32"/>
          <w:lang w:val="en-US" w:eastAsia="zh-CN"/>
        </w:rPr>
        <w:t>13.87</w:t>
      </w:r>
      <w:r>
        <w:rPr>
          <w:rFonts w:hint="eastAsia" w:ascii="仿宋_GB2312" w:hAnsi="Calibri" w:eastAsia="仿宋_GB2312" w:cs="仿宋_GB2312"/>
          <w:kern w:val="0"/>
          <w:sz w:val="32"/>
          <w:szCs w:val="32"/>
        </w:rPr>
        <w:t>。</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2019年部门预算收支安排945.49万元，2018</w:t>
      </w:r>
      <w:r>
        <w:rPr>
          <w:rFonts w:ascii="仿宋_GB2312" w:hAnsi="Calibri" w:eastAsia="仿宋_GB2312" w:cs="仿宋_GB2312"/>
          <w:kern w:val="0"/>
          <w:sz w:val="32"/>
          <w:szCs w:val="32"/>
        </w:rPr>
        <w:t>年财政拨款收</w:t>
      </w:r>
      <w:r>
        <w:rPr>
          <w:rFonts w:hint="eastAsia" w:ascii="仿宋_GB2312" w:hAnsi="Calibri" w:eastAsia="仿宋_GB2312" w:cs="仿宋_GB2312"/>
          <w:kern w:val="0"/>
          <w:sz w:val="32"/>
          <w:szCs w:val="32"/>
        </w:rPr>
        <w:t>支为915.66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与去年相比增加29.83万元，其中基本支出增加29.83万元，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p>
    <w:p>
      <w:pPr>
        <w:pStyle w:val="12"/>
        <w:widowControl/>
        <w:numPr>
          <w:ilvl w:val="0"/>
          <w:numId w:val="1"/>
        </w:numPr>
        <w:spacing w:line="360" w:lineRule="auto"/>
        <w:ind w:firstLineChars="0"/>
        <w:jc w:val="left"/>
        <w:rPr>
          <w:rFonts w:ascii="黑体" w:hAnsi="黑体" w:eastAsia="黑体" w:cs="仿宋_GB2312"/>
          <w:kern w:val="0"/>
          <w:sz w:val="32"/>
          <w:szCs w:val="32"/>
        </w:rPr>
      </w:pPr>
      <w:bookmarkStart w:id="0" w:name="_Toc471398463"/>
      <w:r>
        <w:rPr>
          <w:rFonts w:hint="eastAsia" w:ascii="黑体" w:hAnsi="黑体" w:eastAsia="黑体" w:cs="仿宋_GB2312"/>
          <w:kern w:val="0"/>
          <w:sz w:val="32"/>
          <w:szCs w:val="32"/>
        </w:rPr>
        <w:t>机关运行经费情况</w:t>
      </w:r>
    </w:p>
    <w:p>
      <w:pPr>
        <w:widowControl/>
        <w:spacing w:line="360" w:lineRule="auto"/>
        <w:ind w:firstLine="640" w:firstLineChars="200"/>
        <w:jc w:val="left"/>
        <w:rPr>
          <w:rFonts w:ascii="Calibri" w:hAnsi="Calibri" w:eastAsia="仿宋_GB2312" w:cs="Calibri"/>
          <w:kern w:val="0"/>
          <w:sz w:val="32"/>
          <w:szCs w:val="32"/>
        </w:rPr>
      </w:pPr>
      <w:r>
        <w:rPr>
          <w:rFonts w:hint="eastAsia" w:ascii="仿宋_GB2312" w:hAnsi="Calibri" w:eastAsia="仿宋_GB2312" w:cs="仿宋_GB2312"/>
          <w:kern w:val="0"/>
          <w:sz w:val="32"/>
          <w:szCs w:val="32"/>
        </w:rPr>
        <w:t>日常公用经费安排187.11万元，包括：办公费、差旅费、水费、电费、会议费、招待费、转移支付，其他支出等。</w:t>
      </w:r>
    </w:p>
    <w:p>
      <w:pPr>
        <w:widowControl/>
        <w:spacing w:line="360" w:lineRule="auto"/>
        <w:ind w:left="567" w:firstLine="320" w:firstLineChars="100"/>
        <w:jc w:val="left"/>
        <w:rPr>
          <w:rFonts w:ascii="黑体" w:hAnsi="黑体" w:eastAsia="黑体" w:cs="仿宋_GB2312"/>
          <w:kern w:val="0"/>
          <w:sz w:val="32"/>
          <w:szCs w:val="32"/>
        </w:rPr>
      </w:pPr>
      <w:r>
        <w:rPr>
          <w:rFonts w:hint="eastAsia" w:ascii="黑体" w:hAnsi="黑体" w:eastAsia="黑体" w:cs="仿宋_GB2312"/>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highlight w:val="none"/>
        </w:rPr>
      </w:pPr>
      <w:r>
        <w:rPr>
          <w:rFonts w:hint="eastAsia" w:ascii="仿宋_GB2312" w:hAnsi="Calibri" w:eastAsia="仿宋_GB2312" w:cs="仿宋_GB2312"/>
          <w:kern w:val="0"/>
          <w:sz w:val="32"/>
          <w:szCs w:val="32"/>
          <w:highlight w:val="none"/>
        </w:rPr>
        <w:t>　　2019年度“三公”预算支出12万元，其中，因公出国（境）费0元，</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安排公务用车维护费10万元，（其中公务用车购置费0元，公务用车运行维护费10万元），</w:t>
      </w:r>
      <w:r>
        <w:rPr>
          <w:rFonts w:hint="eastAsia" w:ascii="仿宋_GB2312" w:hAnsi="Calibri" w:eastAsia="仿宋_GB2312" w:cs="仿宋_GB2312"/>
          <w:kern w:val="0"/>
          <w:sz w:val="32"/>
          <w:szCs w:val="32"/>
          <w:highlight w:val="none"/>
          <w:lang w:eastAsia="zh-CN"/>
        </w:rPr>
        <w:t>比去年减少</w:t>
      </w:r>
      <w:r>
        <w:rPr>
          <w:rFonts w:hint="eastAsia" w:ascii="仿宋_GB2312" w:hAnsi="Calibri" w:eastAsia="仿宋_GB2312" w:cs="仿宋_GB2312"/>
          <w:kern w:val="0"/>
          <w:sz w:val="32"/>
          <w:szCs w:val="32"/>
          <w:highlight w:val="none"/>
          <w:lang w:val="en-US" w:eastAsia="zh-CN"/>
        </w:rPr>
        <w:t>11%</w:t>
      </w:r>
      <w:r>
        <w:rPr>
          <w:rFonts w:hint="eastAsia" w:ascii="仿宋_GB2312" w:hAnsi="Calibri" w:eastAsia="仿宋_GB2312" w:cs="仿宋_GB2312"/>
          <w:kern w:val="0"/>
          <w:sz w:val="32"/>
          <w:szCs w:val="32"/>
          <w:highlight w:val="none"/>
          <w:lang w:eastAsia="zh-CN"/>
        </w:rPr>
        <w:t>；年</w:t>
      </w:r>
      <w:r>
        <w:rPr>
          <w:rFonts w:hint="eastAsia" w:ascii="仿宋_GB2312" w:hAnsi="Calibri" w:eastAsia="仿宋_GB2312" w:cs="仿宋_GB2312"/>
          <w:kern w:val="0"/>
          <w:sz w:val="32"/>
          <w:szCs w:val="32"/>
          <w:highlight w:val="none"/>
        </w:rPr>
        <w:t>公务接</w:t>
      </w:r>
      <w:r>
        <w:rPr>
          <w:rFonts w:hint="eastAsia" w:ascii="仿宋_GB2312" w:hAnsi="Calibri" w:eastAsia="仿宋_GB2312" w:cs="仿宋_GB2312"/>
          <w:kern w:val="0"/>
          <w:sz w:val="32"/>
          <w:szCs w:val="32"/>
          <w:highlight w:val="none"/>
          <w:lang w:eastAsia="zh-CN"/>
        </w:rPr>
        <w:t>待</w:t>
      </w:r>
      <w:r>
        <w:rPr>
          <w:rFonts w:hint="eastAsia" w:ascii="仿宋_GB2312" w:hAnsi="Calibri" w:eastAsia="仿宋_GB2312" w:cs="仿宋_GB2312"/>
          <w:kern w:val="0"/>
          <w:sz w:val="32"/>
          <w:szCs w:val="32"/>
          <w:highlight w:val="none"/>
        </w:rPr>
        <w:t>费2万元，</w:t>
      </w:r>
      <w:r>
        <w:rPr>
          <w:rFonts w:hint="eastAsia" w:ascii="仿宋_GB2312" w:hAnsi="Calibri" w:eastAsia="仿宋_GB2312" w:cs="仿宋_GB2312"/>
          <w:kern w:val="0"/>
          <w:sz w:val="32"/>
          <w:szCs w:val="32"/>
          <w:highlight w:val="none"/>
          <w:lang w:eastAsia="zh-CN"/>
        </w:rPr>
        <w:t>与去年持平。</w:t>
      </w:r>
      <w:r>
        <w:rPr>
          <w:rFonts w:hint="eastAsia" w:ascii="仿宋_GB2312" w:hAnsi="Calibri" w:eastAsia="仿宋_GB2312" w:cs="仿宋_GB2312"/>
          <w:kern w:val="0"/>
          <w:sz w:val="32"/>
          <w:szCs w:val="32"/>
          <w:highlight w:val="none"/>
        </w:rPr>
        <w:t>2019年“三公”经费预算减少了11%。根据上级指示要求，逐年减少“三公”经费支出。</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3" w:firstLineChars="200"/>
        <w:jc w:val="left"/>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总体绩效目标：</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以习近平新时代中国特色社会主义思想为指导，全面贯彻落实党的十九大精神和</w:t>
      </w:r>
      <w:r>
        <w:rPr>
          <w:rFonts w:hint="eastAsia" w:ascii="仿宋_GB2312" w:eastAsia="仿宋_GB2312"/>
          <w:sz w:val="32"/>
          <w:szCs w:val="32"/>
          <w:lang w:eastAsia="zh-CN"/>
        </w:rPr>
        <w:t>市县各项</w:t>
      </w:r>
      <w:r>
        <w:rPr>
          <w:rFonts w:hint="eastAsia" w:ascii="仿宋_GB2312" w:eastAsia="仿宋_GB2312"/>
          <w:sz w:val="32"/>
          <w:szCs w:val="32"/>
        </w:rPr>
        <w:t>决策部署。力争各项工作高站位谋划、高标准要求、高效率推进、高质量完成，为</w:t>
      </w:r>
      <w:r>
        <w:rPr>
          <w:rFonts w:hint="eastAsia" w:ascii="仿宋_GB2312" w:eastAsia="仿宋_GB2312"/>
          <w:sz w:val="32"/>
          <w:szCs w:val="32"/>
          <w:lang w:eastAsia="zh-CN"/>
        </w:rPr>
        <w:t>县</w:t>
      </w:r>
      <w:r>
        <w:rPr>
          <w:rFonts w:hint="eastAsia" w:ascii="仿宋_GB2312" w:eastAsia="仿宋_GB2312"/>
          <w:sz w:val="32"/>
          <w:szCs w:val="32"/>
        </w:rPr>
        <w:t>政府高效运转提供优质服务，为加快建设富强文明美丽的新成安作出积极贡献。</w:t>
      </w:r>
    </w:p>
    <w:p>
      <w:pPr>
        <w:numPr>
          <w:ilvl w:val="0"/>
          <w:numId w:val="2"/>
        </w:numPr>
        <w:ind w:firstLine="643" w:firstLineChars="200"/>
        <w:jc w:val="left"/>
        <w:rPr>
          <w:rFonts w:hint="eastAsia" w:ascii="楷体_GB2312" w:eastAsia="楷体_GB2312"/>
          <w:b/>
          <w:sz w:val="32"/>
          <w:szCs w:val="32"/>
          <w:lang w:eastAsia="zh-CN"/>
        </w:rPr>
      </w:pPr>
      <w:r>
        <w:rPr>
          <w:rFonts w:hint="eastAsia" w:ascii="楷体_GB2312" w:eastAsia="楷体_GB2312"/>
          <w:b/>
          <w:sz w:val="32"/>
          <w:szCs w:val="32"/>
          <w:lang w:eastAsia="zh-CN"/>
        </w:rPr>
        <w:t>分项绩效目标：</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县</w:t>
      </w:r>
      <w:r>
        <w:rPr>
          <w:rFonts w:hint="eastAsia" w:ascii="仿宋" w:hAnsi="仿宋" w:eastAsia="仿宋"/>
          <w:sz w:val="32"/>
          <w:szCs w:val="32"/>
        </w:rPr>
        <w:t>政府值班工作：建设运行维护好</w:t>
      </w:r>
      <w:r>
        <w:rPr>
          <w:rFonts w:hint="eastAsia" w:ascii="仿宋" w:hAnsi="仿宋" w:eastAsia="仿宋"/>
          <w:sz w:val="32"/>
          <w:szCs w:val="32"/>
          <w:lang w:eastAsia="zh-CN"/>
        </w:rPr>
        <w:t>县</w:t>
      </w:r>
      <w:r>
        <w:rPr>
          <w:rFonts w:hint="eastAsia" w:ascii="仿宋" w:hAnsi="仿宋" w:eastAsia="仿宋"/>
          <w:sz w:val="32"/>
          <w:szCs w:val="32"/>
        </w:rPr>
        <w:t>政府值守平台，实现各种实用功能，有效保证</w:t>
      </w:r>
      <w:r>
        <w:rPr>
          <w:rFonts w:hint="eastAsia" w:ascii="仿宋" w:hAnsi="仿宋" w:eastAsia="仿宋"/>
          <w:sz w:val="32"/>
          <w:szCs w:val="32"/>
          <w:lang w:eastAsia="zh-CN"/>
        </w:rPr>
        <w:t>县</w:t>
      </w:r>
      <w:r>
        <w:rPr>
          <w:rFonts w:hint="eastAsia" w:ascii="仿宋" w:hAnsi="仿宋" w:eastAsia="仿宋"/>
          <w:sz w:val="32"/>
          <w:szCs w:val="32"/>
        </w:rPr>
        <w:t>政府政务值守工作；加强对</w:t>
      </w:r>
      <w:r>
        <w:rPr>
          <w:rFonts w:hint="eastAsia" w:ascii="仿宋" w:hAnsi="仿宋" w:eastAsia="仿宋"/>
          <w:sz w:val="32"/>
          <w:szCs w:val="32"/>
          <w:lang w:eastAsia="zh-CN"/>
        </w:rPr>
        <w:t>县</w:t>
      </w:r>
      <w:r>
        <w:rPr>
          <w:rFonts w:hint="eastAsia" w:ascii="仿宋" w:hAnsi="仿宋" w:eastAsia="仿宋"/>
          <w:sz w:val="32"/>
          <w:szCs w:val="32"/>
        </w:rPr>
        <w:t>政府系统值班工作的业务指导和督促检查；快速、准确、高效报送各类重要紧急情况信息。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、综合业务管理：高质量起草文稿，高效率办理公文和领导交办事务，让领导满意、让基层单位满意。</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、内部公务接待：严格执行接待标准，降低接待费规模，降低用品购置费用；严格执行定点印刷，提高接待用品印刷质量，降低印刷费用。</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电子政务管理工作：对全</w:t>
      </w:r>
      <w:r>
        <w:rPr>
          <w:rFonts w:hint="eastAsia" w:ascii="仿宋" w:hAnsi="仿宋" w:eastAsia="仿宋"/>
          <w:sz w:val="32"/>
          <w:szCs w:val="32"/>
          <w:lang w:eastAsia="zh-CN"/>
        </w:rPr>
        <w:t>县</w:t>
      </w:r>
      <w:r>
        <w:rPr>
          <w:rFonts w:hint="eastAsia" w:ascii="仿宋" w:hAnsi="仿宋" w:eastAsia="仿宋"/>
          <w:sz w:val="32"/>
          <w:szCs w:val="32"/>
        </w:rPr>
        <w:t>政府系统网站监管、督导、评估；确保全</w:t>
      </w:r>
      <w:r>
        <w:rPr>
          <w:rFonts w:hint="eastAsia" w:ascii="仿宋" w:hAnsi="仿宋" w:eastAsia="仿宋"/>
          <w:sz w:val="32"/>
          <w:szCs w:val="32"/>
          <w:lang w:eastAsia="zh-CN"/>
        </w:rPr>
        <w:t>县</w:t>
      </w:r>
      <w:r>
        <w:rPr>
          <w:rFonts w:hint="eastAsia" w:ascii="仿宋" w:hAnsi="仿宋" w:eastAsia="仿宋"/>
          <w:sz w:val="32"/>
          <w:szCs w:val="32"/>
        </w:rPr>
        <w:t>电子公务网络（电子政务外网、电子公务内网）的稳定高效运行，为全</w:t>
      </w:r>
      <w:r>
        <w:rPr>
          <w:rFonts w:hint="eastAsia" w:ascii="仿宋" w:hAnsi="仿宋" w:eastAsia="仿宋"/>
          <w:sz w:val="32"/>
          <w:szCs w:val="32"/>
          <w:lang w:eastAsia="zh-CN"/>
        </w:rPr>
        <w:t>县</w:t>
      </w:r>
      <w:r>
        <w:rPr>
          <w:rFonts w:hint="eastAsia" w:ascii="仿宋" w:hAnsi="仿宋" w:eastAsia="仿宋"/>
          <w:sz w:val="32"/>
          <w:szCs w:val="32"/>
        </w:rPr>
        <w:t>政务信息互联提供骨干网络支撑；协调管理</w:t>
      </w:r>
      <w:r>
        <w:rPr>
          <w:rFonts w:hint="eastAsia" w:ascii="仿宋" w:hAnsi="仿宋" w:eastAsia="仿宋"/>
          <w:sz w:val="32"/>
          <w:szCs w:val="32"/>
          <w:lang w:eastAsia="zh-CN"/>
        </w:rPr>
        <w:t>县</w:t>
      </w:r>
      <w:r>
        <w:rPr>
          <w:rFonts w:hint="eastAsia" w:ascii="仿宋" w:hAnsi="仿宋" w:eastAsia="仿宋"/>
          <w:sz w:val="32"/>
          <w:szCs w:val="32"/>
        </w:rPr>
        <w:t>政府和</w:t>
      </w:r>
      <w:r>
        <w:rPr>
          <w:rFonts w:hint="eastAsia" w:ascii="仿宋" w:hAnsi="仿宋" w:eastAsia="仿宋"/>
          <w:sz w:val="32"/>
          <w:szCs w:val="32"/>
          <w:lang w:eastAsia="zh-CN"/>
        </w:rPr>
        <w:t>县</w:t>
      </w:r>
      <w:r>
        <w:rPr>
          <w:rFonts w:hint="eastAsia" w:ascii="仿宋" w:hAnsi="仿宋" w:eastAsia="仿宋"/>
          <w:sz w:val="32"/>
          <w:szCs w:val="32"/>
        </w:rPr>
        <w:t>政府办公室的电子政务应用工作。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政府信息公开条例》的学习宣传贯彻，加强工作培训与业务指导。</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、受理各部门、各单位上报</w:t>
      </w:r>
      <w:r>
        <w:rPr>
          <w:rFonts w:hint="eastAsia" w:ascii="仿宋" w:hAnsi="仿宋" w:eastAsia="仿宋"/>
          <w:sz w:val="32"/>
          <w:szCs w:val="32"/>
          <w:lang w:eastAsia="zh-CN"/>
        </w:rPr>
        <w:t>县</w:t>
      </w:r>
      <w:r>
        <w:rPr>
          <w:rFonts w:hint="eastAsia" w:ascii="仿宋" w:hAnsi="仿宋" w:eastAsia="仿宋"/>
          <w:sz w:val="32"/>
          <w:szCs w:val="32"/>
        </w:rPr>
        <w:t>政府的请示件：严格审核请示文件，把好公文格式关，维护国家机关公文的严肃性和权威性。</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、办理</w:t>
      </w:r>
      <w:r>
        <w:rPr>
          <w:rFonts w:hint="eastAsia" w:ascii="仿宋" w:hAnsi="仿宋" w:eastAsia="仿宋"/>
          <w:sz w:val="32"/>
          <w:szCs w:val="32"/>
          <w:lang w:eastAsia="zh-CN"/>
        </w:rPr>
        <w:t>县</w:t>
      </w:r>
      <w:r>
        <w:rPr>
          <w:rFonts w:hint="eastAsia" w:ascii="仿宋" w:hAnsi="仿宋" w:eastAsia="仿宋"/>
          <w:sz w:val="32"/>
          <w:szCs w:val="32"/>
        </w:rPr>
        <w:t>政府及办公室大型会议的会务：安排会议本着精简、高效的原则，注重会议质量和效率，减少会议数量，规范会议规，保证会议效果。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、组织协调联络</w:t>
      </w:r>
      <w:r>
        <w:rPr>
          <w:rFonts w:hint="eastAsia" w:ascii="仿宋" w:hAnsi="仿宋" w:eastAsia="仿宋"/>
          <w:sz w:val="32"/>
          <w:szCs w:val="32"/>
          <w:lang w:eastAsia="zh-CN"/>
        </w:rPr>
        <w:t>县</w:t>
      </w:r>
      <w:r>
        <w:rPr>
          <w:rFonts w:hint="eastAsia" w:ascii="仿宋" w:hAnsi="仿宋" w:eastAsia="仿宋"/>
          <w:sz w:val="32"/>
          <w:szCs w:val="32"/>
        </w:rPr>
        <w:t>政府领导同志活动事宜：精心筹划，严密组织，周到服务，盯紧细节，保证效果。妥善安排</w:t>
      </w:r>
      <w:r>
        <w:rPr>
          <w:rFonts w:hint="eastAsia" w:ascii="仿宋" w:hAnsi="仿宋" w:eastAsia="仿宋"/>
          <w:sz w:val="32"/>
          <w:szCs w:val="32"/>
          <w:lang w:eastAsia="zh-CN"/>
        </w:rPr>
        <w:t>县</w:t>
      </w:r>
      <w:r>
        <w:rPr>
          <w:rFonts w:hint="eastAsia" w:ascii="仿宋" w:hAnsi="仿宋" w:eastAsia="仿宋"/>
          <w:sz w:val="32"/>
          <w:szCs w:val="32"/>
        </w:rPr>
        <w:t>政府领导同志活动，提高综合服务保障效率。</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、政策研究：对我</w:t>
      </w:r>
      <w:r>
        <w:rPr>
          <w:rFonts w:hint="eastAsia" w:ascii="仿宋" w:hAnsi="仿宋" w:eastAsia="仿宋"/>
          <w:sz w:val="32"/>
          <w:szCs w:val="32"/>
          <w:lang w:eastAsia="zh-CN"/>
        </w:rPr>
        <w:t>县</w:t>
      </w:r>
      <w:r>
        <w:rPr>
          <w:rFonts w:hint="eastAsia" w:ascii="仿宋" w:hAnsi="仿宋" w:eastAsia="仿宋"/>
          <w:sz w:val="32"/>
          <w:szCs w:val="32"/>
        </w:rPr>
        <w:t>改革开放和经济社会发展中重大未进行调查研究，提出政策性建议；承担内部刊物的编辑工作。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、办理人大代表建议政协提案工作；协调落实有关议题：组织承办全</w:t>
      </w:r>
      <w:r>
        <w:rPr>
          <w:rFonts w:hint="eastAsia" w:ascii="仿宋" w:hAnsi="仿宋" w:eastAsia="仿宋"/>
          <w:sz w:val="32"/>
          <w:szCs w:val="32"/>
          <w:lang w:eastAsia="zh-CN"/>
        </w:rPr>
        <w:t>县</w:t>
      </w:r>
      <w:r>
        <w:rPr>
          <w:rFonts w:hint="eastAsia" w:ascii="仿宋" w:hAnsi="仿宋" w:eastAsia="仿宋"/>
          <w:sz w:val="32"/>
          <w:szCs w:val="32"/>
        </w:rPr>
        <w:t>人大代表建议政协提案；负责人大议案和政协建议案的协调、督办；负责人大政协会议与</w:t>
      </w:r>
      <w:r>
        <w:rPr>
          <w:rFonts w:hint="eastAsia" w:ascii="仿宋" w:hAnsi="仿宋" w:eastAsia="仿宋"/>
          <w:sz w:val="32"/>
          <w:szCs w:val="32"/>
          <w:lang w:eastAsia="zh-CN"/>
        </w:rPr>
        <w:t>县</w:t>
      </w:r>
      <w:r>
        <w:rPr>
          <w:rFonts w:hint="eastAsia" w:ascii="仿宋" w:hAnsi="仿宋" w:eastAsia="仿宋"/>
          <w:sz w:val="32"/>
          <w:szCs w:val="32"/>
        </w:rPr>
        <w:t>政府有关议题的准备、</w:t>
      </w:r>
      <w:r>
        <w:rPr>
          <w:rFonts w:hint="eastAsia" w:ascii="仿宋" w:hAnsi="仿宋" w:eastAsia="仿宋"/>
          <w:sz w:val="32"/>
          <w:szCs w:val="32"/>
          <w:lang w:eastAsia="zh-CN"/>
        </w:rPr>
        <w:t>县</w:t>
      </w:r>
      <w:r>
        <w:rPr>
          <w:rFonts w:hint="eastAsia" w:ascii="仿宋" w:hAnsi="仿宋" w:eastAsia="仿宋"/>
          <w:sz w:val="32"/>
          <w:szCs w:val="32"/>
        </w:rPr>
        <w:t>长列席会议的安排以及审议意见的协调、督办与反馈；负责全</w:t>
      </w:r>
      <w:r>
        <w:rPr>
          <w:rFonts w:hint="eastAsia" w:ascii="仿宋" w:hAnsi="仿宋" w:eastAsia="仿宋"/>
          <w:sz w:val="32"/>
          <w:szCs w:val="32"/>
          <w:lang w:eastAsia="zh-CN"/>
        </w:rPr>
        <w:t>县</w:t>
      </w:r>
      <w:r>
        <w:rPr>
          <w:rFonts w:hint="eastAsia" w:ascii="仿宋" w:hAnsi="仿宋" w:eastAsia="仿宋"/>
          <w:sz w:val="32"/>
          <w:szCs w:val="32"/>
        </w:rPr>
        <w:t>政府系统建议提案承办工作的考核和业务指导、业务培训工作。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、督查督办：确保</w:t>
      </w:r>
      <w:r>
        <w:rPr>
          <w:rFonts w:hint="eastAsia" w:ascii="仿宋" w:hAnsi="仿宋" w:eastAsia="仿宋"/>
          <w:sz w:val="32"/>
          <w:szCs w:val="32"/>
          <w:lang w:eastAsia="zh-CN"/>
        </w:rPr>
        <w:t>市</w:t>
      </w:r>
      <w:r>
        <w:rPr>
          <w:rFonts w:hint="eastAsia" w:ascii="仿宋" w:hAnsi="仿宋" w:eastAsia="仿宋"/>
          <w:sz w:val="32"/>
          <w:szCs w:val="32"/>
        </w:rPr>
        <w:t>政府重大决策部署及省政府《政府工作报告》涉及</w:t>
      </w:r>
      <w:r>
        <w:rPr>
          <w:rFonts w:hint="eastAsia" w:ascii="仿宋" w:hAnsi="仿宋" w:eastAsia="仿宋"/>
          <w:sz w:val="32"/>
          <w:szCs w:val="32"/>
          <w:lang w:eastAsia="zh-CN"/>
        </w:rPr>
        <w:t>成安</w:t>
      </w:r>
      <w:r>
        <w:rPr>
          <w:rFonts w:hint="eastAsia" w:ascii="仿宋" w:hAnsi="仿宋" w:eastAsia="仿宋"/>
          <w:sz w:val="32"/>
          <w:szCs w:val="32"/>
        </w:rPr>
        <w:t>事项落实情况的督促检查工作；确保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政府重大决策部署、</w:t>
      </w:r>
      <w:r>
        <w:rPr>
          <w:rFonts w:hint="eastAsia" w:ascii="仿宋" w:hAnsi="仿宋" w:eastAsia="仿宋"/>
          <w:sz w:val="32"/>
          <w:szCs w:val="32"/>
          <w:lang w:eastAsia="zh-CN"/>
        </w:rPr>
        <w:t>县</w:t>
      </w:r>
      <w:r>
        <w:rPr>
          <w:rFonts w:hint="eastAsia" w:ascii="仿宋" w:hAnsi="仿宋" w:eastAsia="仿宋"/>
          <w:sz w:val="32"/>
          <w:szCs w:val="32"/>
        </w:rPr>
        <w:t>政府《政府工作报告》任务目标分解和落实情况的督促检查工作；确保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政府重要会议议定事项、</w:t>
      </w:r>
      <w:r>
        <w:rPr>
          <w:rFonts w:hint="eastAsia" w:ascii="仿宋" w:hAnsi="仿宋" w:eastAsia="仿宋"/>
          <w:sz w:val="32"/>
          <w:szCs w:val="32"/>
          <w:lang w:eastAsia="zh-CN"/>
        </w:rPr>
        <w:t>县</w:t>
      </w:r>
      <w:r>
        <w:rPr>
          <w:rFonts w:hint="eastAsia" w:ascii="仿宋" w:hAnsi="仿宋" w:eastAsia="仿宋"/>
          <w:sz w:val="32"/>
          <w:szCs w:val="32"/>
        </w:rPr>
        <w:t>政府主要领导批示交办事项的督办反馈；确保组织开展</w:t>
      </w:r>
      <w:r>
        <w:rPr>
          <w:rFonts w:hint="eastAsia" w:ascii="仿宋" w:hAnsi="仿宋" w:eastAsia="仿宋"/>
          <w:sz w:val="32"/>
          <w:szCs w:val="32"/>
          <w:lang w:eastAsia="zh-CN"/>
        </w:rPr>
        <w:t>县</w:t>
      </w:r>
      <w:r>
        <w:rPr>
          <w:rFonts w:hint="eastAsia" w:ascii="仿宋" w:hAnsi="仿宋" w:eastAsia="仿宋"/>
          <w:sz w:val="32"/>
          <w:szCs w:val="32"/>
        </w:rPr>
        <w:t>政府重大专项督查；确保协调指导全</w:t>
      </w:r>
      <w:r>
        <w:rPr>
          <w:rFonts w:hint="eastAsia" w:ascii="仿宋" w:hAnsi="仿宋" w:eastAsia="仿宋"/>
          <w:sz w:val="32"/>
          <w:szCs w:val="32"/>
          <w:lang w:eastAsia="zh-CN"/>
        </w:rPr>
        <w:t>县</w:t>
      </w:r>
      <w:r>
        <w:rPr>
          <w:rFonts w:hint="eastAsia" w:ascii="仿宋" w:hAnsi="仿宋" w:eastAsia="仿宋"/>
          <w:sz w:val="32"/>
          <w:szCs w:val="32"/>
        </w:rPr>
        <w:t>政府系统督查工作。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、外事工作管理：外事港澳管理工作严格规范，确保全</w:t>
      </w:r>
      <w:r>
        <w:rPr>
          <w:rFonts w:hint="eastAsia" w:ascii="仿宋" w:hAnsi="仿宋" w:eastAsia="仿宋"/>
          <w:sz w:val="32"/>
          <w:szCs w:val="32"/>
          <w:lang w:eastAsia="zh-CN"/>
        </w:rPr>
        <w:t>县</w:t>
      </w:r>
      <w:r>
        <w:rPr>
          <w:rFonts w:hint="eastAsia" w:ascii="仿宋" w:hAnsi="仿宋" w:eastAsia="仿宋"/>
          <w:sz w:val="32"/>
          <w:szCs w:val="32"/>
        </w:rPr>
        <w:t>涉外大局和谐稳定，服务全</w:t>
      </w:r>
      <w:r>
        <w:rPr>
          <w:rFonts w:hint="eastAsia" w:ascii="仿宋" w:hAnsi="仿宋" w:eastAsia="仿宋"/>
          <w:sz w:val="32"/>
          <w:szCs w:val="32"/>
          <w:lang w:eastAsia="zh-CN"/>
        </w:rPr>
        <w:t>县</w:t>
      </w:r>
      <w:r>
        <w:rPr>
          <w:rFonts w:hint="eastAsia" w:ascii="仿宋" w:hAnsi="仿宋" w:eastAsia="仿宋"/>
          <w:sz w:val="32"/>
          <w:szCs w:val="32"/>
        </w:rPr>
        <w:t>中心工作优质高效。</w:t>
      </w:r>
    </w:p>
    <w:p>
      <w:pPr>
        <w:numPr>
          <w:numId w:val="0"/>
        </w:numPr>
        <w:spacing w:line="560" w:lineRule="exact"/>
        <w:ind w:firstLine="321" w:firstLineChars="100"/>
        <w:jc w:val="left"/>
        <w:rPr>
          <w:rFonts w:ascii="仿宋" w:hAnsi="仿宋" w:eastAsia="仿宋"/>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lang w:val="en-US" w:eastAsia="zh-CN"/>
        </w:rPr>
        <w:t>)</w:t>
      </w:r>
      <w:r>
        <w:rPr>
          <w:rFonts w:hint="eastAsia" w:ascii="楷体" w:hAnsi="楷体" w:eastAsia="楷体" w:cs="楷体"/>
          <w:b/>
          <w:bCs/>
          <w:sz w:val="32"/>
          <w:szCs w:val="32"/>
          <w:lang w:eastAsia="zh-CN"/>
        </w:rPr>
        <w:t>工作保障措施：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、提高调查研究实效。围绕</w:t>
      </w:r>
      <w:r>
        <w:rPr>
          <w:rFonts w:hint="eastAsia" w:ascii="仿宋" w:hAnsi="仿宋" w:eastAsia="仿宋"/>
          <w:sz w:val="32"/>
          <w:szCs w:val="32"/>
          <w:lang w:eastAsia="zh-CN"/>
        </w:rPr>
        <w:t>县</w:t>
      </w:r>
      <w:r>
        <w:rPr>
          <w:rFonts w:hint="eastAsia" w:ascii="仿宋" w:hAnsi="仿宋" w:eastAsia="仿宋"/>
          <w:sz w:val="32"/>
          <w:szCs w:val="32"/>
        </w:rPr>
        <w:t>委、</w:t>
      </w:r>
      <w:r>
        <w:rPr>
          <w:rFonts w:hint="eastAsia" w:ascii="仿宋" w:hAnsi="仿宋" w:eastAsia="仿宋"/>
          <w:sz w:val="32"/>
          <w:szCs w:val="32"/>
          <w:lang w:eastAsia="zh-CN"/>
        </w:rPr>
        <w:t>县</w:t>
      </w:r>
      <w:r>
        <w:rPr>
          <w:rFonts w:hint="eastAsia" w:ascii="仿宋" w:hAnsi="仿宋" w:eastAsia="仿宋"/>
          <w:sz w:val="32"/>
          <w:szCs w:val="32"/>
        </w:rPr>
        <w:t>政府中心工作，深入基层了解实际情况，广泛征求意见建议，不断提高参谋服务水平。改进调查研究方法，不断提高调研效率和质量。加大政策理论研究力度，从政治上、大局上研究和把握问题，由表及里地研究分析综合，形成针对性、操作性强的建议，力争参有度、谋有方、谏有策。</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、加强工作联络沟通。加强与</w:t>
      </w:r>
      <w:r>
        <w:rPr>
          <w:rFonts w:hint="eastAsia" w:ascii="仿宋" w:hAnsi="仿宋" w:eastAsia="仿宋"/>
          <w:sz w:val="32"/>
          <w:szCs w:val="32"/>
          <w:lang w:eastAsia="zh-CN"/>
        </w:rPr>
        <w:t>市</w:t>
      </w:r>
      <w:r>
        <w:rPr>
          <w:rFonts w:hint="eastAsia" w:ascii="仿宋" w:hAnsi="仿宋" w:eastAsia="仿宋"/>
          <w:sz w:val="32"/>
          <w:szCs w:val="32"/>
        </w:rPr>
        <w:t>政府办公厅的工作联系，及时报告工作。落实好向</w:t>
      </w:r>
      <w:r>
        <w:rPr>
          <w:rFonts w:hint="eastAsia" w:ascii="仿宋" w:hAnsi="仿宋" w:eastAsia="仿宋"/>
          <w:sz w:val="32"/>
          <w:szCs w:val="32"/>
          <w:lang w:eastAsia="zh-CN"/>
        </w:rPr>
        <w:t>市</w:t>
      </w:r>
      <w:r>
        <w:rPr>
          <w:rFonts w:hint="eastAsia" w:ascii="仿宋" w:hAnsi="仿宋" w:eastAsia="仿宋"/>
          <w:sz w:val="32"/>
          <w:szCs w:val="32"/>
        </w:rPr>
        <w:t>政府办公厅、</w:t>
      </w:r>
      <w:r>
        <w:rPr>
          <w:rFonts w:hint="eastAsia" w:ascii="仿宋" w:hAnsi="仿宋" w:eastAsia="仿宋"/>
          <w:sz w:val="32"/>
          <w:szCs w:val="32"/>
          <w:lang w:eastAsia="zh-CN"/>
        </w:rPr>
        <w:t>县</w:t>
      </w:r>
      <w:r>
        <w:rPr>
          <w:rFonts w:hint="eastAsia" w:ascii="仿宋" w:hAnsi="仿宋" w:eastAsia="仿宋"/>
          <w:sz w:val="32"/>
          <w:szCs w:val="32"/>
        </w:rPr>
        <w:t>委办公室请示报告工作制度，争取工作支持。主动与</w:t>
      </w:r>
      <w:r>
        <w:rPr>
          <w:rFonts w:hint="eastAsia" w:ascii="仿宋" w:hAnsi="仿宋" w:eastAsia="仿宋"/>
          <w:sz w:val="32"/>
          <w:szCs w:val="32"/>
          <w:lang w:eastAsia="zh-CN"/>
        </w:rPr>
        <w:t>县</w:t>
      </w:r>
      <w:r>
        <w:rPr>
          <w:rFonts w:hint="eastAsia" w:ascii="仿宋" w:hAnsi="仿宋" w:eastAsia="仿宋"/>
          <w:sz w:val="32"/>
          <w:szCs w:val="32"/>
        </w:rPr>
        <w:t>委办公室、</w:t>
      </w:r>
      <w:r>
        <w:rPr>
          <w:rFonts w:hint="eastAsia" w:ascii="仿宋" w:hAnsi="仿宋" w:eastAsia="仿宋"/>
          <w:sz w:val="32"/>
          <w:szCs w:val="32"/>
          <w:lang w:eastAsia="zh-CN"/>
        </w:rPr>
        <w:t>县</w:t>
      </w:r>
      <w:r>
        <w:rPr>
          <w:rFonts w:hint="eastAsia" w:ascii="仿宋" w:hAnsi="仿宋" w:eastAsia="仿宋"/>
          <w:sz w:val="32"/>
          <w:szCs w:val="32"/>
        </w:rPr>
        <w:t>人大常委会办公室、</w:t>
      </w:r>
      <w:r>
        <w:rPr>
          <w:rFonts w:hint="eastAsia" w:ascii="仿宋" w:hAnsi="仿宋" w:eastAsia="仿宋"/>
          <w:sz w:val="32"/>
          <w:szCs w:val="32"/>
          <w:lang w:eastAsia="zh-CN"/>
        </w:rPr>
        <w:t>县</w:t>
      </w:r>
      <w:r>
        <w:rPr>
          <w:rFonts w:hint="eastAsia" w:ascii="仿宋" w:hAnsi="仿宋" w:eastAsia="仿宋"/>
          <w:sz w:val="32"/>
          <w:szCs w:val="32"/>
        </w:rPr>
        <w:t>政协办公室沟通情况，密切协调配合，安排好重要公务活动。加强全</w:t>
      </w:r>
      <w:r>
        <w:rPr>
          <w:rFonts w:hint="eastAsia" w:ascii="仿宋" w:hAnsi="仿宋" w:eastAsia="仿宋"/>
          <w:sz w:val="32"/>
          <w:szCs w:val="32"/>
          <w:lang w:eastAsia="zh-CN"/>
        </w:rPr>
        <w:t>县</w:t>
      </w:r>
      <w:r>
        <w:rPr>
          <w:rFonts w:hint="eastAsia" w:ascii="仿宋" w:hAnsi="仿宋" w:eastAsia="仿宋"/>
          <w:sz w:val="32"/>
          <w:szCs w:val="32"/>
        </w:rPr>
        <w:t>政府系统办公室联动，适时组织开展公文处理、会议组织、政务督查、建议提案办理、政务接待等方面的业务培训，提升政府系统办公室工作水平。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、提高统筹协调能力。紧贴中心工作搞协调，完善</w:t>
      </w:r>
      <w:r>
        <w:rPr>
          <w:rFonts w:hint="eastAsia" w:ascii="仿宋" w:hAnsi="仿宋" w:eastAsia="仿宋"/>
          <w:sz w:val="32"/>
          <w:szCs w:val="32"/>
          <w:lang w:eastAsia="zh-CN"/>
        </w:rPr>
        <w:t>县</w:t>
      </w:r>
      <w:r>
        <w:rPr>
          <w:rFonts w:hint="eastAsia" w:ascii="仿宋" w:hAnsi="仿宋" w:eastAsia="仿宋"/>
          <w:sz w:val="32"/>
          <w:szCs w:val="32"/>
        </w:rPr>
        <w:t>政府领导每周工作预安排机制，统筹好</w:t>
      </w:r>
      <w:r>
        <w:rPr>
          <w:rFonts w:hint="eastAsia" w:ascii="仿宋" w:hAnsi="仿宋" w:eastAsia="仿宋"/>
          <w:sz w:val="32"/>
          <w:szCs w:val="32"/>
          <w:lang w:eastAsia="zh-CN"/>
        </w:rPr>
        <w:t>县</w:t>
      </w:r>
      <w:r>
        <w:rPr>
          <w:rFonts w:hint="eastAsia" w:ascii="仿宋" w:hAnsi="仿宋" w:eastAsia="仿宋"/>
          <w:sz w:val="32"/>
          <w:szCs w:val="32"/>
        </w:rPr>
        <w:t>政府各项会议、活动，确保安排得当、工作高效。围绕重点抓调度，梳理全年重要经济指标、重点项目、重要工作，逐一明确责任分工，按计划组织推进实施。每季度会同</w:t>
      </w:r>
      <w:r>
        <w:rPr>
          <w:rFonts w:hint="eastAsia" w:ascii="仿宋" w:hAnsi="仿宋" w:eastAsia="仿宋"/>
          <w:sz w:val="32"/>
          <w:szCs w:val="32"/>
          <w:lang w:eastAsia="zh-CN"/>
        </w:rPr>
        <w:t>县</w:t>
      </w:r>
      <w:r>
        <w:rPr>
          <w:rFonts w:hint="eastAsia" w:ascii="仿宋" w:hAnsi="仿宋" w:eastAsia="仿宋"/>
          <w:sz w:val="32"/>
          <w:szCs w:val="32"/>
        </w:rPr>
        <w:t>政府相关部门召开调度会议，研究分析综合经济运行、重点工作落实情况，找准问题症结，细化推进措施，保障目标任务推进落实。</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、抓好综合文稿起草。经常深入基层一线了解情况、掌握实情，加强对全</w:t>
      </w:r>
      <w:r>
        <w:rPr>
          <w:rFonts w:hint="eastAsia" w:ascii="仿宋" w:hAnsi="仿宋" w:eastAsia="仿宋"/>
          <w:sz w:val="32"/>
          <w:szCs w:val="32"/>
          <w:lang w:eastAsia="zh-CN"/>
        </w:rPr>
        <w:t>县</w:t>
      </w:r>
      <w:r>
        <w:rPr>
          <w:rFonts w:hint="eastAsia" w:ascii="仿宋" w:hAnsi="仿宋" w:eastAsia="仿宋"/>
          <w:sz w:val="32"/>
          <w:szCs w:val="32"/>
        </w:rPr>
        <w:t>重点工作包括各县（</w:t>
      </w:r>
      <w:r>
        <w:rPr>
          <w:rFonts w:hint="eastAsia" w:ascii="仿宋" w:hAnsi="仿宋" w:eastAsia="仿宋"/>
          <w:sz w:val="32"/>
          <w:szCs w:val="32"/>
          <w:lang w:eastAsia="zh-CN"/>
        </w:rPr>
        <w:t>县</w:t>
      </w:r>
      <w:r>
        <w:rPr>
          <w:rFonts w:hint="eastAsia" w:ascii="仿宋" w:hAnsi="仿宋" w:eastAsia="仿宋"/>
          <w:sz w:val="32"/>
          <w:szCs w:val="32"/>
        </w:rPr>
        <w:t>、区）、</w:t>
      </w:r>
      <w:r>
        <w:rPr>
          <w:rFonts w:hint="eastAsia" w:ascii="仿宋" w:hAnsi="仿宋" w:eastAsia="仿宋"/>
          <w:sz w:val="32"/>
          <w:szCs w:val="32"/>
          <w:lang w:eastAsia="zh-CN"/>
        </w:rPr>
        <w:t>县</w:t>
      </w:r>
      <w:r>
        <w:rPr>
          <w:rFonts w:hint="eastAsia" w:ascii="仿宋" w:hAnsi="仿宋" w:eastAsia="仿宋"/>
          <w:sz w:val="32"/>
          <w:szCs w:val="32"/>
        </w:rPr>
        <w:t>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w:t>
      </w:r>
      <w:r>
        <w:rPr>
          <w:rFonts w:hint="eastAsia" w:ascii="仿宋" w:hAnsi="仿宋" w:eastAsia="仿宋"/>
          <w:sz w:val="32"/>
          <w:szCs w:val="32"/>
          <w:lang w:eastAsia="zh-CN"/>
        </w:rPr>
        <w:t>县</w:t>
      </w:r>
      <w:r>
        <w:rPr>
          <w:rFonts w:hint="eastAsia" w:ascii="仿宋" w:hAnsi="仿宋" w:eastAsia="仿宋"/>
          <w:sz w:val="32"/>
          <w:szCs w:val="32"/>
        </w:rPr>
        <w:t>政府各位领导的讲话材料及重要文件、综合材料的起草工作。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改进督查工作方式方法，严格控制总量和频次，切实减轻基层负担。</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、做好承办工作。强化统筹协调，完善责任分解、定期调度、全程监督、当面答复办理机制，抓好承办人员培训，提高队伍素质能力。施行</w:t>
      </w:r>
      <w:r>
        <w:rPr>
          <w:rFonts w:hint="eastAsia" w:ascii="仿宋" w:hAnsi="仿宋" w:eastAsia="仿宋"/>
          <w:sz w:val="32"/>
          <w:szCs w:val="32"/>
          <w:lang w:eastAsia="zh-CN"/>
        </w:rPr>
        <w:t>县</w:t>
      </w:r>
      <w:r>
        <w:rPr>
          <w:rFonts w:hint="eastAsia" w:ascii="仿宋" w:hAnsi="仿宋" w:eastAsia="仿宋"/>
          <w:sz w:val="32"/>
          <w:szCs w:val="32"/>
        </w:rPr>
        <w:t>政府领导领衔督办重点建议提案机制，</w:t>
      </w:r>
      <w:r>
        <w:rPr>
          <w:rFonts w:hint="eastAsia" w:ascii="仿宋" w:hAnsi="仿宋" w:eastAsia="仿宋"/>
          <w:sz w:val="32"/>
          <w:szCs w:val="32"/>
          <w:lang w:eastAsia="zh-CN"/>
        </w:rPr>
        <w:t>县</w:t>
      </w:r>
      <w:r>
        <w:rPr>
          <w:rFonts w:hint="eastAsia" w:ascii="仿宋" w:hAnsi="仿宋" w:eastAsia="仿宋"/>
          <w:sz w:val="32"/>
          <w:szCs w:val="32"/>
        </w:rPr>
        <w:t>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严格依照隶属关系和职权范围逐级报文，除</w:t>
      </w:r>
      <w:r>
        <w:rPr>
          <w:rFonts w:hint="eastAsia" w:ascii="仿宋" w:hAnsi="仿宋" w:eastAsia="仿宋"/>
          <w:sz w:val="32"/>
          <w:szCs w:val="32"/>
          <w:lang w:eastAsia="zh-CN"/>
        </w:rPr>
        <w:t>县</w:t>
      </w:r>
      <w:r>
        <w:rPr>
          <w:rFonts w:hint="eastAsia" w:ascii="仿宋" w:hAnsi="仿宋" w:eastAsia="仿宋"/>
          <w:sz w:val="32"/>
          <w:szCs w:val="32"/>
        </w:rPr>
        <w:t>政府领导同志直接交办和必须直接报送的涉密事项外，一般不得越级报文；遇有重大紧急事项、突发事件等特殊情况需要越级行文的，应当同时抄送被越过的机关。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、抓好民生实事督办。树牢宗旨意识，高度重视人民网地方领导“省长留言”“</w:t>
      </w:r>
      <w:r>
        <w:rPr>
          <w:rFonts w:hint="eastAsia" w:ascii="仿宋" w:hAnsi="仿宋" w:eastAsia="仿宋"/>
          <w:sz w:val="32"/>
          <w:szCs w:val="32"/>
          <w:lang w:eastAsia="zh-CN"/>
        </w:rPr>
        <w:t>县</w:t>
      </w:r>
      <w:r>
        <w:rPr>
          <w:rFonts w:hint="eastAsia" w:ascii="仿宋" w:hAnsi="仿宋" w:eastAsia="仿宋"/>
          <w:sz w:val="32"/>
          <w:szCs w:val="32"/>
        </w:rPr>
        <w:t>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jc w:val="left"/>
        <w:rPr>
          <w:rFonts w:hint="eastAsia" w:ascii="黑体" w:hAnsi="黑体" w:eastAsia="黑体" w:cs="黑体"/>
          <w:sz w:val="32"/>
          <w:szCs w:val="32"/>
        </w:rPr>
      </w:pPr>
      <w:r>
        <w:rPr>
          <w:rFonts w:hint="eastAsia" w:ascii="仿宋" w:hAnsi="仿宋" w:eastAsia="仿宋"/>
          <w:sz w:val="32"/>
          <w:szCs w:val="32"/>
          <w:lang w:val="en-US" w:eastAsia="zh-CN"/>
        </w:rPr>
        <w:t>10</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r>
              <w:rPr>
                <w:rFonts w:hint="eastAsia" w:asciiTheme="minorEastAsia" w:hAnsiTheme="minorEastAsia"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hint="default" w:ascii="方正书宋_GBK" w:eastAsiaTheme="minorEastAsia"/>
                <w:lang w:val="en-US" w:eastAsia="zh-CN"/>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政务公开</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会议管理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督查督办</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政务联络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应急管理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县政府值班工作，及时报告重要情况，传达和督促落实县政府领导指示。协助县政府领导做好需由县政府组织处理的突发事件应急处置工作。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县政府应急平台，实现各种实用功能，有效保证县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应急管理</w:t>
            </w:r>
          </w:p>
        </w:tc>
        <w:tc>
          <w:tcPr>
            <w:tcW w:w="1276" w:type="dxa"/>
            <w:vMerge w:val="restart"/>
            <w:shd w:val="clear" w:color="auto" w:fill="auto"/>
            <w:vAlign w:val="center"/>
          </w:tcPr>
          <w:p>
            <w:pPr>
              <w:spacing w:line="300" w:lineRule="exact"/>
              <w:jc w:val="left"/>
              <w:rPr>
                <w:rFonts w:ascii="方正书宋_GBK" w:eastAsiaTheme="minorEastAsia"/>
                <w:highlight w:val="none"/>
              </w:rPr>
            </w:pPr>
            <w:r>
              <w:rPr>
                <w:rFonts w:hint="eastAsia" w:ascii="方正书宋_GBK" w:eastAsiaTheme="minorEastAsia"/>
                <w:highlight w:val="none"/>
              </w:rPr>
              <w:t>0</w:t>
            </w:r>
          </w:p>
        </w:tc>
        <w:tc>
          <w:tcPr>
            <w:tcW w:w="2976" w:type="dxa"/>
            <w:vMerge w:val="restart"/>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县政府值班工作，及时报告重要情况，传达和督促落实县政府领导指示。协助县政府领导做好需由县政府组织处理的突发事件应急处置工作。</w:t>
            </w:r>
          </w:p>
        </w:tc>
        <w:tc>
          <w:tcPr>
            <w:tcW w:w="2976" w:type="dxa"/>
            <w:vMerge w:val="restart"/>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维护好县政府应急平台，确保全县应急工作顺利完成；各类突发事件得到及时妥善处置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highlight w:val="none"/>
              </w:rPr>
            </w:pPr>
            <w:r>
              <w:rPr>
                <w:rFonts w:hint="eastAsia" w:ascii="方正书宋_GBK" w:eastAsia="方正书宋_GBK"/>
                <w:highlight w:val="none"/>
              </w:rPr>
              <w:t>应急平台互联互通率</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方正书宋_GBK" w:eastAsiaTheme="minorEastAsia"/>
                <w:highlight w:val="none"/>
              </w:rPr>
              <w:t>100</w:t>
            </w:r>
            <w:r>
              <w:rPr>
                <w:rFonts w:hint="eastAsia" w:ascii="方正书宋_GBK" w:eastAsiaTheme="minorEastAsia"/>
                <w:highlight w:val="none"/>
                <w:lang w:val="en-US" w:eastAsia="zh-CN"/>
              </w:rPr>
              <w:t>%</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w:t>
            </w:r>
            <w:r>
              <w:rPr>
                <w:rFonts w:hint="eastAsia" w:ascii="方正书宋_GBK" w:eastAsiaTheme="minorEastAsia"/>
                <w:highlight w:val="none"/>
              </w:rPr>
              <w:t>80%</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w:t>
            </w:r>
            <w:r>
              <w:rPr>
                <w:rFonts w:hint="eastAsia" w:ascii="方正书宋_GBK" w:eastAsiaTheme="minorEastAsia"/>
                <w:highlight w:val="none"/>
              </w:rPr>
              <w:t>60%</w:t>
            </w:r>
          </w:p>
        </w:tc>
        <w:tc>
          <w:tcPr>
            <w:tcW w:w="737" w:type="dxa"/>
            <w:shd w:val="clear" w:color="auto" w:fill="auto"/>
            <w:vAlign w:val="center"/>
          </w:tcPr>
          <w:p>
            <w:pPr>
              <w:spacing w:line="300" w:lineRule="exact"/>
              <w:jc w:val="center"/>
              <w:rPr>
                <w:rFonts w:ascii="方正书宋_GBK" w:eastAsiaTheme="minorEastAsia"/>
                <w:highlight w:val="none"/>
              </w:rPr>
            </w:pPr>
            <w:r>
              <w:rPr>
                <w:rFonts w:hint="eastAsia" w:ascii="微软雅黑" w:hAnsi="微软雅黑" w:eastAsia="微软雅黑" w:cs="微软雅黑"/>
                <w:highlight w:val="none"/>
              </w:rPr>
              <w:t>&lt;</w:t>
            </w:r>
            <w:r>
              <w:rPr>
                <w:rFonts w:hint="eastAsia" w:ascii="方正书宋_GBK" w:eastAsiaTheme="minorEastAsia"/>
                <w:highlight w:val="none"/>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地方志事务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全县地方志事务管理。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w:t>
            </w:r>
            <w:r>
              <w:rPr>
                <w:rFonts w:hint="cs" w:ascii="方正书宋_GBK" w:eastAsia="方正书宋_GBK"/>
              </w:rPr>
              <w:t>“</w:t>
            </w:r>
            <w:r>
              <w:rPr>
                <w:rFonts w:hint="eastAsia" w:ascii="方正书宋_GBK" w:eastAsia="方正书宋_GBK"/>
              </w:rPr>
              <w:t>资政、存史、教化</w:t>
            </w:r>
            <w:r>
              <w:rPr>
                <w:rFonts w:hint="cs" w:ascii="方正书宋_GBK" w:eastAsia="方正书宋_GBK"/>
              </w:rPr>
              <w:t>”</w:t>
            </w:r>
            <w:r>
              <w:rPr>
                <w:rFonts w:hint="eastAsia" w:ascii="方正书宋_GBK" w:eastAsia="方正书宋_GBK"/>
              </w:rPr>
              <w:t>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地方志事务管理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拟订全县地方志工作规划并组织实施；搜集、保存、管理地方文献和资料；组织开发利用地方志资源；建设和维护县地方志县情网络。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为社会各界方便快捷提供县情，为经济社会建设服务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农业综合开发</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贯彻国家农业综合开发方针，执行全县农业综合开发政策及项目立项、实施、检查验收等管理办法，管理县农业综合开发资金和各类农业综合开发项目。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在全县实施农业综合开发土地治理、产业化经营、示范区等项目</w:t>
            </w:r>
            <w:r>
              <w:rPr>
                <w:rFonts w:ascii="方正书宋_GBK" w:eastAsia="方正书宋_GBK"/>
              </w:rPr>
              <w:t>,</w:t>
            </w:r>
            <w:r>
              <w:rPr>
                <w:rFonts w:hint="eastAsia" w:ascii="方正书宋_GBK" w:eastAsia="方正书宋_GBK"/>
              </w:rPr>
              <w:t>依据省、市确定的项目配套比例，筹集县级配套资金；在全县开发县组织实施高标准农田、生态综合治理、中型灌区配套改造、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探索现代农业发展路径，示范引导全县现代农业发展，促进农业增效、农民增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农业土地治理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组织土地治理项目建设及资金使用情况检查，对土地治理项目进行县级验收；对土地治理项目建设情况和资金管理情况进行大排查，提前发现并消灭问题隐患。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有效改善农业生产条件和生态环境，提高农业综合生产能力；探索现代农业发展路径，示范引导全县现代农业发展。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年度土地治理项目实施计划中各项分类措施的建设任务验收完成率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农业产业化</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组织年度产业化项目建设及资金使用情况检查，对年度农业产业化项目进行验收；对农业产业化项目建设情况和资金管理情况进行大排查，提前发现并消灭问题隐患。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扶持农业龙头企业和新型经营主体，带动农业特色主导产业发展，提高我县农业产业化整体水平。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年度产业化经营项目实施计划中各项分类措施的任务完成率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规上企业统计员补助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专项统计调查</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专项统计调查</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煤矿人员经费及补助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煤矿人员经费及补助</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5</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p>
            <w:pPr>
              <w:spacing w:line="300" w:lineRule="exact"/>
              <w:jc w:val="left"/>
              <w:rPr>
                <w:rFonts w:ascii="方正书宋_GBK" w:eastAsia="方正书宋_GBK"/>
              </w:rPr>
            </w:pPr>
            <w:r>
              <w:rPr>
                <w:rFonts w:hint="eastAsia" w:ascii="方正书宋_GBK" w:eastAsia="方正书宋_GBK"/>
              </w:rPr>
              <w:t>规范县级对外招商引资活动，组织实施投资贸易洽谈会等活动。借助我国对美、对俄、对台、多边贸易政策以及自贸区平台，组织县级企业走出去，开展贸易洽谈、招商合作等活动，促进贸易往来。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高新产品进出口管理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县级高新技术产品对外推广，引导县级企业进口国外先进技术、关键设备和紧缺的资源产品，提高企业技术装备水平，推动企业转变增长方式，调整产品结构、提高产品质量和附加值。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促进高科技企业开拓国际市场，增加出口。</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高新技术产品及成果交易数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发展服务贸易和服务外包</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依法监督技术引进、设备进口、国家限制出口的技术工作，拟订县级服务贸易发展规划并组织实施；负责对外贸易相关行政审批。</w:t>
            </w: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p>
            <w:pPr>
              <w:spacing w:line="300" w:lineRule="exact"/>
              <w:jc w:val="left"/>
              <w:rPr>
                <w:rFonts w:ascii="方正书宋_GBK" w:eastAsia="方正书宋_GBK"/>
              </w:rPr>
            </w:pPr>
            <w:r>
              <w:rPr>
                <w:rFonts w:hint="eastAsia" w:ascii="方正书宋_GBK" w:eastAsia="方正书宋_GBK"/>
              </w:rPr>
              <w:t>推介县级服务贸易和服务外包企业、扩大技术进出口、软件信息服务业和离岸服务外包出口，宣传县级服务贸易政策、开拓国内外市场。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促进对外贸易稳定增长，优化产品结构。完成县政府下达的外贸进出口指标。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促进服务贸易进出口额增长，结构不断优化，对外开放水平日益提升，加速推进全县服务业的对外开放水平</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促进对外经贸服务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做好进出口数据采集、贸易救济措施调查、产业损害预警、出口信用保险、开发区利用外资管理等工作。完善开发区建设发展管理体系，开展招商引资、培训。</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完成县政府下达目标，确保对外投资和经济合作业务稳定增长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对外投资额增长率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提高外贸市场竞争能力</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打造以技术、质量、品牌、服务为核心的竞争新优势，支持外贸基地、品牌、境外营销网络建设，发展跨境电子商务、内外贸结合商品市场、外贸综合服务企业等新业态。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p>
            <w:pPr>
              <w:spacing w:line="300" w:lineRule="exact"/>
              <w:jc w:val="left"/>
              <w:rPr>
                <w:rFonts w:ascii="方正书宋_GBK" w:eastAsia="方正书宋_GBK"/>
              </w:rPr>
            </w:pPr>
            <w:r>
              <w:rPr>
                <w:rFonts w:hint="eastAsia" w:ascii="方正书宋_GBK" w:eastAsia="方正书宋_GBK"/>
              </w:rPr>
              <w:t>打造以技术、质量、品牌、服务为核心的国际竞争新优势，支持外贸基地、品牌、境外营销网络建设，发展跨境电子商务、内外贸结合商品市场、外贸综合服务企业等新业态。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扩大高新技术产品出口、提高国际市场竞争力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达成协议及意向个数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招商引资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招商引资</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527.90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组织实施投资贸易洽谈会等活动。组织县级企业走出去，开展贸易洽谈、招商合作等活动，促进贸易往来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主体招商活动</w:t>
            </w:r>
            <w:r>
              <w:rPr>
                <w:rFonts w:hint="cs" w:ascii="方正书宋_GBK" w:eastAsia="方正书宋_GBK"/>
              </w:rPr>
              <w:t>”</w:t>
            </w:r>
            <w:r>
              <w:rPr>
                <w:rFonts w:hint="eastAsia" w:ascii="方正书宋_GBK" w:eastAsia="方正书宋_GBK"/>
              </w:rPr>
              <w:t>，瞄准重点区域、重点客商和商务机构，推动和引领全县做好招商工作。突出引进战略投资者，力争在重点产业引进一批战略支撑项目、龙头企业和协力配套企业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举办活动数量</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到会客商人数</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赴外国家地区数量</w:t>
            </w:r>
          </w:p>
        </w:tc>
        <w:tc>
          <w:tcPr>
            <w:tcW w:w="737" w:type="dxa"/>
            <w:shd w:val="clear" w:color="auto" w:fill="auto"/>
            <w:vAlign w:val="center"/>
          </w:tcPr>
          <w:p>
            <w:pPr>
              <w:spacing w:line="300" w:lineRule="exact"/>
              <w:jc w:val="center"/>
              <w:rPr>
                <w:rFonts w:hint="eastAsia" w:ascii="方正书宋_GBK" w:eastAsia="方正书宋_GBK"/>
                <w:lang w:val="en-US" w:eastAsia="zh-CN"/>
              </w:rPr>
            </w:pPr>
            <w:r>
              <w:rPr>
                <w:rFonts w:ascii="方正书宋_GBK" w:eastAsia="方正书宋_GBK"/>
              </w:rPr>
              <w:t>98</w:t>
            </w:r>
            <w:r>
              <w:rPr>
                <w:rFonts w:hint="eastAsia" w:ascii="方正书宋_GBK" w:eastAsia="方正书宋_GBK"/>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推进全省信息化建设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推进信息化和工业化融合，指导协调电子政务发展，促进</w:t>
            </w:r>
            <w:r>
              <w:rPr>
                <w:rFonts w:hint="cs" w:ascii="方正书宋_GBK" w:eastAsia="方正书宋_GBK"/>
              </w:rPr>
              <w:t>“</w:t>
            </w:r>
            <w:r>
              <w:rPr>
                <w:rFonts w:hint="eastAsia" w:ascii="方正书宋_GBK" w:eastAsia="方正书宋_GBK"/>
              </w:rPr>
              <w:t>三网</w:t>
            </w:r>
            <w:r>
              <w:rPr>
                <w:rFonts w:hint="cs" w:ascii="方正书宋_GBK" w:eastAsia="方正书宋_GBK"/>
              </w:rPr>
              <w:t>”</w:t>
            </w:r>
            <w:r>
              <w:rPr>
                <w:rFonts w:hint="eastAsia" w:ascii="方正书宋_GBK" w:eastAsia="方正书宋_GBK"/>
              </w:rPr>
              <w:t>（电信、广播电视和计算机网络）融合、信息消费和物联网发展，维护网络与信息安全。推动全县软件业、信息服务业发展。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提升全县信息化建设和发展水平：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hint="eastAsia" w:ascii="方正书宋_GBK" w:eastAsiaTheme="minorEastAsia"/>
                <w:lang w:val="en-US" w:eastAsia="zh-CN"/>
              </w:rPr>
            </w:pPr>
            <w:r>
              <w:rPr>
                <w:rFonts w:hint="eastAsia" w:ascii="方正书宋_GBK" w:eastAsiaTheme="minorEastAsia"/>
              </w:rPr>
              <w:t>98</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bookmarkStart w:id="2" w:name="_GoBack" w:colFirst="5" w:colLast="8"/>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推进信息化与工业化深度融合</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拟定信息化与工业化融合战略，提出并组织实施信息化与工业化融合的总体规划、实施计划、标准规划和政策措施，组织实施有关监测和评估工作。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提升产业信息化水平，增强企业综合竞争力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标准和政策出台数量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计划和报告完成数量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示范试点建设数量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企业户数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宣传培训次数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bookmarkEnd w:id="2"/>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促进信息消费和物联网发展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指导协调和促进培育信息消费，支持信息消费示范项目建设，推动三网融合；加强物联网技术研发，推进物联网产品产业化和应用示范，加强物联网公共服务平台建设。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促进信息消费持续稳定增长的长效机制，推动面向生产、生活和管理的信息消费快速健康增长；建立物联网产业体系，提升物联网在经济社会重要领域的应用水平；加强双软认定和资质管理，完善信息服务体系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示范项目建设和应用推广数量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示范工程数量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物联网标准数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服务体系完成率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支持新型工业化发展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加大我省工业转型升级步伐，提升工业发展的质量和效益。</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研究提出全县新型工业和信息化发展战略和政策</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加强全县工业和信息化发展战略、规划、法规、政策等研究制定和实施；制定并组织实施全县工业产业政策。</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建立完善工业和信息化政策法规、规划、标准体系，规范、引导、指导工业和信息化健康发展。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研究课题完成数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编制规划完成情况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产业结构调整方案实施数量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产业政策出台情况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支持工业技术改造</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组织全县工业技术改造工作，推进现代产业体系建设；通过贴息、补助、股权投资等方式支持全县重点工业技术改造项目。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采用新技术、新工艺、新材料改造提升全省传统产业水平，调整产业结构，转变经济发展方式。</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四新成果利用率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工业技术改造投资增速</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技改项目实施数量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工业技改项目管理信息系统覆盖率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工业强基示范项目建设数量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扶持企业技术创新</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组织实施全县工业行业技术基础工作，加快以企业为主体的技术创新体系建设。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建立工业企业技术创新体系，提升工业企业技术水平。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创新示范企业数量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认定实验室数量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指导开发千项新产品、新技术数量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优评选数量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产学研合作项目数量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促进工业节能减排与资源综合利用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指导企业节能管理，组织节能减排新产品、新技术、新设备、新材料的推广应用。组织实施工业</w:t>
            </w:r>
            <w:r>
              <w:rPr>
                <w:rFonts w:hint="cs" w:ascii="方正书宋_GBK" w:eastAsia="方正书宋_GBK"/>
              </w:rPr>
              <w:t>“</w:t>
            </w:r>
            <w:r>
              <w:rPr>
                <w:rFonts w:hint="eastAsia" w:ascii="方正书宋_GBK" w:eastAsia="方正书宋_GBK"/>
              </w:rPr>
              <w:t>三废</w:t>
            </w:r>
            <w:r>
              <w:rPr>
                <w:rFonts w:hint="cs" w:ascii="方正书宋_GBK" w:eastAsia="方正书宋_GBK"/>
              </w:rPr>
              <w:t>”</w:t>
            </w:r>
            <w:r>
              <w:rPr>
                <w:rFonts w:hint="eastAsia" w:ascii="方正书宋_GBK" w:eastAsia="方正书宋_GBK"/>
              </w:rPr>
              <w:t>资源综合利用项目管理、全县尾矿综合利用试点示范工程，推进企业能源管理中心建设。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推动工业企业节能降耗减排，提升资源综合利用，促进绿色循环低碳发展。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工业能耗降低率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大宗工业固废综合利用率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示范企业创建数量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清洁生产园区创建数量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能源管理中心建设数量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新能源汽车推广应用计划完成程度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节能环保技术应用数量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推进工业行业淘汰落后产能、压减过剩产能</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指导全县工业行业淘汰落后产能和化解过剩产能工作，制定下达年度淘汰落后和过剩产能计划并组织实施，开展监督检查。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消化一批、转移一批、整合一批、淘汰一批过剩产能，推进产业转型升级。</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计划下达情况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协调推进工业强县建设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协调推进实施工业强县战略，打好工业转型升级攻坚战。</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完善工业协调推进机制，推进产业结构战略性调整和优化升级，走新型工业化道路。</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十大工业基地收入占规模以上企业工业总产值的比重</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工业增加值增长率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示范基地创建数量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实施工业和信息化运行监测管理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监测分析全县工业运行；负责全县钢铁、石化、建材、装备、纺织、医药、轻工食品、电子信息、软件信息服务业等工业行业管理。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提升行业管理水平，促进行业健康发展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工业经济运行监测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监测分析工业日常运行，协调解决行业运行发展中的问题。指导全县减轻企业负担工作，组织协调和监督检查。开展电子信息产业和相关服务业统计工作。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做好工业运行监测分析、预警，切实减轻企业负担，确保完成全县工业经济增长目标，促进工业持续健康平稳发展。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经济运行质量评价情况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经济运行分析和预测预警及时率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培育规模以上企业的目标任务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产需对接方案目标任务的完成率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工业运行监测率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政策落实评估情况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组织开展工业和信息化对外交流与合作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开展对外经济交流与合作，指导和推动工业企业参加展洽活动，积极开拓国内、国外市场，促进贸易成交和技术交流，追踪前沿动态。</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促进工业企业开展对外经济交流与合作，提升工业对外开放水平。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产业转移平台建设数量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企业参加展洽数量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展会贸易成交同比增长</w:t>
            </w: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组织各类展洽会次数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境外招商、洽谈次数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Theme="minorEastAsia"/>
                <w:b/>
              </w:rPr>
            </w:pPr>
            <w:r>
              <w:rPr>
                <w:rFonts w:hint="eastAsia" w:ascii="方正书宋_GBK" w:eastAsia="方正书宋_GBK"/>
                <w:b/>
              </w:rPr>
              <w:t>　　组织开展工业企业对标行动</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开展对标示范工程，建立政策驱动和督导考核机制，指导企业在研发、制造、经营等环节与同行业先进水平对标。开展管理提升工程，推进工业企业管理创新。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建立完善对标体系，逐步缩小与国内外同行业先进水平的差距，创建一批行业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和</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培育示范企业数量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指标更新和公布个数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为企业免费咨询服务数量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国家或省级行业</w:t>
            </w:r>
            <w:r>
              <w:rPr>
                <w:rFonts w:hint="cs" w:ascii="方正书宋_GBK" w:eastAsia="方正书宋_GBK"/>
              </w:rPr>
              <w:t>“</w:t>
            </w:r>
            <w:r>
              <w:rPr>
                <w:rFonts w:hint="eastAsia" w:ascii="方正书宋_GBK" w:eastAsia="方正书宋_GBK"/>
              </w:rPr>
              <w:t>第一</w:t>
            </w:r>
            <w:r>
              <w:rPr>
                <w:rFonts w:hint="cs" w:ascii="方正书宋_GBK" w:eastAsia="方正书宋_GBK"/>
              </w:rPr>
              <w:t>”</w:t>
            </w:r>
            <w:r>
              <w:rPr>
                <w:rFonts w:hint="eastAsia" w:ascii="方正书宋_GBK" w:eastAsia="方正书宋_GBK"/>
              </w:rPr>
              <w:t>或</w:t>
            </w:r>
            <w:r>
              <w:rPr>
                <w:rFonts w:hint="cs" w:ascii="方正书宋_GBK" w:eastAsia="方正书宋_GBK"/>
              </w:rPr>
              <w:t>“</w:t>
            </w:r>
            <w:r>
              <w:rPr>
                <w:rFonts w:hint="eastAsia" w:ascii="方正书宋_GBK" w:eastAsia="方正书宋_GBK"/>
              </w:rPr>
              <w:t>唯一</w:t>
            </w:r>
            <w:r>
              <w:rPr>
                <w:rFonts w:hint="cs" w:ascii="方正书宋_GBK" w:eastAsia="方正书宋_GBK"/>
              </w:rPr>
              <w:t>”</w:t>
            </w:r>
            <w:r>
              <w:rPr>
                <w:rFonts w:hint="eastAsia" w:ascii="方正书宋_GBK" w:eastAsia="方正书宋_GBK"/>
              </w:rPr>
              <w:t>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加强工业行业质量管理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实施质量兴县战略，制定完善质量政策，推广应用先进质量管理方法，开展品牌培育试点工作；推进全县工业体制改革和管理创新</w:t>
            </w:r>
            <w:r>
              <w:rPr>
                <w:rFonts w:ascii="方正书宋_GBK" w:eastAsia="方正书宋_GBK"/>
              </w:rPr>
              <w:t>,</w:t>
            </w:r>
            <w:r>
              <w:rPr>
                <w:rFonts w:hint="eastAsia" w:ascii="方正书宋_GBK" w:eastAsia="方正书宋_GBK"/>
              </w:rPr>
              <w:t>提高行业综合素质和核心竞争力。推进食品诚信体系建设。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加强企业质量管理，构建工业产品质量和品牌发展长效机制。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名牌数量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评价数量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考核率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诚信体系认定率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指导工业行业安全生产、应急管理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指导全县工业加强安全管理和重点行业排查治理隐患，负责工业安全生产信息管理和宣传教育工作，负责烟花爆竹企业的新建、扩建、改建审批等；负责应急管理、医药储备、产业安全和国防动员相关工作。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加强安全生产管理，严防发生重特大生产安全责任事故；协调相关工业及医药流通企业落实工业应急物资和医药储备任务。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目标管理责任落实</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促进中小企业和民营经济发展</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推动中小微企业和民营经济持续、健康发展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中小和民营企业公共服务体系建设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推动中小和民营企业公共服务平台网络建设，为中小企业提供融资担保（包括金融机构风险补偿）、人才引进与培养、诚信评价、法律服务等公共服务。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为中小和民营企业提供的公共服务事项和效果不断提高；提高融资担保规模，贷款担保逐年增加；中小和民营企业规模数量及效益水平明显改善；提升中小、民营企业从业人员经营管理水平。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平台网络服务企业数量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服务机构数量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w:t>
            </w:r>
            <w:r>
              <w:rPr>
                <w:rFonts w:hint="cs" w:ascii="方正书宋_GBK" w:eastAsia="方正书宋_GBK"/>
              </w:rPr>
              <w:t>“</w:t>
            </w:r>
            <w:r>
              <w:rPr>
                <w:rFonts w:hint="eastAsia" w:ascii="方正书宋_GBK" w:eastAsia="方正书宋_GBK"/>
              </w:rPr>
              <w:t>订单式</w:t>
            </w:r>
            <w:r>
              <w:rPr>
                <w:rFonts w:hint="cs" w:ascii="方正书宋_GBK" w:eastAsia="方正书宋_GBK"/>
              </w:rPr>
              <w:t>”</w:t>
            </w:r>
            <w:r>
              <w:rPr>
                <w:rFonts w:hint="eastAsia" w:ascii="方正书宋_GBK" w:eastAsia="方正书宋_GBK"/>
              </w:rPr>
              <w:t>服务场次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行政许可办结率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年度完成担保贷款额</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人才培训基地数量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网络学堂建设个数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百千万</w:t>
            </w:r>
            <w:r>
              <w:rPr>
                <w:rFonts w:hint="cs" w:ascii="方正书宋_GBK" w:eastAsia="方正书宋_GBK"/>
              </w:rPr>
              <w:t>”</w:t>
            </w:r>
            <w:r>
              <w:rPr>
                <w:rFonts w:hint="eastAsia" w:ascii="方正书宋_GBK" w:eastAsia="方正书宋_GBK"/>
              </w:rPr>
              <w:t>人才工程培训人数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金色阳光</w:t>
            </w:r>
            <w:r>
              <w:rPr>
                <w:rFonts w:hint="cs" w:ascii="方正书宋_GBK" w:eastAsia="方正书宋_GBK"/>
              </w:rPr>
              <w:t>”</w:t>
            </w:r>
            <w:r>
              <w:rPr>
                <w:rFonts w:hint="eastAsia" w:ascii="方正书宋_GBK" w:eastAsia="方正书宋_GBK"/>
              </w:rPr>
              <w:t>法律服务行动场数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促进产业集群和县域工业发展</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指导集群内公共技术服务平台建设，促进中小企业专业化发展及为大企业配套，统筹指导创业辅导机构和辅导队伍的建设和管理。促进县域工业发展。</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提升产业集群发展档次和水平，加强创业辅导建设，促进县域工业发展。推进创业辅导基地建设</w:t>
            </w:r>
            <w:r>
              <w:rPr>
                <w:rFonts w:ascii="方正书宋_GBK" w:eastAsia="方正书宋_GBK"/>
              </w:rPr>
              <w:t>,</w:t>
            </w:r>
            <w:r>
              <w:rPr>
                <w:rFonts w:hint="eastAsia" w:ascii="方正书宋_GBK" w:eastAsia="方正书宋_GBK"/>
              </w:rPr>
              <w:t>激发全民创业热情。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公共技术服务平台数量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产业集群区域品牌增加量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服务企业数量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创业辅导基地增加量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开展中小企业和民营经济运行监测</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建立健全民营经济运行统计和监测分析体系；加强规划引导，促进中小企业、民营经济健康发展。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出台规划</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监测点上报率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数据分析和发布及时性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专题宣传期数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课题研究数量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实施无线电行业监管</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贯彻执行国家无线电管理有关法律法规，拟定全县无线电管理具体规定并监督实施，为促进经济社会发展和保障国家安全服务。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加强无线电管理，保障各项无线电业务的正常运行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无线电行业运行监管</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审批权限和业务范围审核全县无线电台（站）的建设布局和台址，规划和指配无线电台（站）频率和呼号，核发无线电台执照；对全县无线电台（站）的设置、使用和无线电发射设备的研制、生产、进口、销售实施监督和管理；按规定核收和上缴无线电频谱、卫星轨道资源有偿使用相关费用；组织实施无线电监测，协调处理电磁环境干扰事宜，维护空中电波秩序，依法组织实施无线电管制以及重大活动无线电安全保障、航空及铁路、水上无线电频率保护、无线电干扰查处、无线电频率国际和国内协调等。组织专业技术人员培训。</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无线电安全保障高效、干扰查处及时、频率协调有力，保持全县优良电磁环境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违规行为查处</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无线电安全率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人员培训率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提升无线电监管条件和技术手段</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不断加强无线电监管条件和技术手段建设和设升级改造与运行维护，包括无线电专用的房屋建筑物、特种车辆、技术设备、网络建设等，为行业监管提供必备的基础条件和先进的技术手段。</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提高无线电监测网覆盖率和无线电设备的检测能力，快速准确定位无线电干扰信号。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监测网覆盖率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捕捉违规信号准确率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工信政务管理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负责系统（内部）综合业务管理和机关（内部）综合事务管理。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提升工业和信息化综合事务管理水平。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28.56</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依法做好监控化学品日常监管和行政许可审批；完善工业和信息化政策法规体系建设；培育专业化人才，提升工业和信息化人才队伍水平。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专家入库数量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职业技能鉴定人数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综合事务管理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地方金融机构建设与协调合作，金融生态环境建设。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提高我县金融业对外开放水平，净化金融市场，维护社会稳定，促进金融产业健康发展。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金融生态环境建设</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依法加强金融监管，整顿和规范金融市场秩序，协调非法集资、非法证券、非法保险等案件的查处、善后处置和维护金融稳定，指导全县金融生态环境和社会信用体系建设。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严守不发生系统性、区域性金融风险的底线，净化金融市场，防止非法集资活动的蔓延，维护社会稳定。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完成考核评级</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tcPr>
          <w:p>
            <w:pPr>
              <w:spacing w:line="300" w:lineRule="exact"/>
              <w:jc w:val="left"/>
              <w:rPr>
                <w:rFonts w:ascii="方正书宋_GBK" w:eastAsia="方正书宋_GBK"/>
                <w:b/>
              </w:rPr>
            </w:pPr>
          </w:p>
        </w:tc>
        <w:tc>
          <w:tcPr>
            <w:tcW w:w="1276" w:type="dxa"/>
          </w:tcPr>
          <w:p>
            <w:pPr>
              <w:spacing w:line="300" w:lineRule="exact"/>
              <w:jc w:val="left"/>
              <w:rPr>
                <w:rFonts w:ascii="方正书宋_GBK" w:eastAsiaTheme="minorEastAsia"/>
              </w:rPr>
            </w:pPr>
          </w:p>
        </w:tc>
        <w:tc>
          <w:tcPr>
            <w:tcW w:w="2976" w:type="dxa"/>
          </w:tcPr>
          <w:p>
            <w:pPr>
              <w:spacing w:line="300" w:lineRule="exact"/>
              <w:jc w:val="left"/>
              <w:rPr>
                <w:rFonts w:ascii="方正书宋_GBK" w:eastAsia="方正书宋_GBK"/>
              </w:rPr>
            </w:pPr>
          </w:p>
        </w:tc>
        <w:tc>
          <w:tcPr>
            <w:tcW w:w="2976" w:type="dxa"/>
          </w:tcPr>
          <w:p>
            <w:pPr>
              <w:spacing w:line="300" w:lineRule="exact"/>
              <w:jc w:val="left"/>
              <w:rPr>
                <w:rFonts w:ascii="方正书宋_GBK" w:eastAsia="方正书宋_GBK"/>
              </w:rPr>
            </w:pPr>
          </w:p>
        </w:tc>
        <w:tc>
          <w:tcPr>
            <w:tcW w:w="1417" w:type="dxa"/>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Theme="minorEastAsia"/>
              </w:rPr>
              <w:t>100</w:t>
            </w:r>
            <w:r>
              <w:rPr>
                <w:rFonts w:hint="eastAsia" w:ascii="方正书宋_GBK" w:eastAsiaTheme="minorEastAsia"/>
                <w:lang w:val="en-US" w:eastAsia="zh-CN"/>
              </w:rPr>
              <w:t>%</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vAlign w:val="center"/>
          </w:tcPr>
          <w:p>
            <w:pPr>
              <w:spacing w:line="300" w:lineRule="exact"/>
              <w:jc w:val="center"/>
              <w:rPr>
                <w:rFonts w:ascii="方正书宋_GBK" w:eastAsia="方正书宋_GBK"/>
              </w:rPr>
            </w:pPr>
            <w:r>
              <w:rPr>
                <w:rFonts w:hint="eastAsia" w:ascii="微软雅黑" w:hAnsi="微软雅黑" w:eastAsia="微软雅黑" w:cs="微软雅黑"/>
              </w:rPr>
              <w:t>&lt;</w:t>
            </w:r>
            <w:r>
              <w:rPr>
                <w:rFonts w:hint="eastAsia" w:ascii="方正书宋_GBK" w:eastAsiaTheme="minorEastAsia"/>
              </w:rPr>
              <w:t>60%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jc w:val="left"/>
        <w:rPr>
          <w:rFonts w:ascii="仿宋" w:hAnsi="仿宋" w:eastAsia="仿宋" w:cs="Times New Roman"/>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 w:hAnsi="仿宋" w:eastAsia="仿宋" w:cs="仿宋_GB2312"/>
          <w:kern w:val="0"/>
          <w:sz w:val="32"/>
          <w:szCs w:val="32"/>
        </w:rPr>
        <w:t>2019</w:t>
      </w:r>
      <w:r>
        <w:rPr>
          <w:rFonts w:ascii="仿宋" w:hAnsi="仿宋" w:eastAsia="仿宋" w:cs="仿宋_GB2312"/>
          <w:kern w:val="0"/>
          <w:sz w:val="32"/>
          <w:szCs w:val="32"/>
        </w:rPr>
        <w:t>年我</w:t>
      </w:r>
      <w:r>
        <w:rPr>
          <w:rFonts w:hint="eastAsia" w:ascii="仿宋" w:hAnsi="仿宋" w:eastAsia="仿宋" w:cs="仿宋_GB2312"/>
          <w:kern w:val="0"/>
          <w:sz w:val="32"/>
          <w:szCs w:val="32"/>
        </w:rPr>
        <w:t>办</w:t>
      </w:r>
      <w:r>
        <w:rPr>
          <w:rFonts w:ascii="仿宋" w:hAnsi="仿宋" w:eastAsia="仿宋" w:cs="仿宋_GB2312"/>
          <w:kern w:val="0"/>
          <w:sz w:val="32"/>
          <w:szCs w:val="32"/>
        </w:rPr>
        <w:t>采购事项为</w:t>
      </w:r>
      <w:r>
        <w:rPr>
          <w:rFonts w:hint="eastAsia" w:ascii="仿宋" w:hAnsi="仿宋" w:eastAsia="仿宋" w:cs="仿宋_GB2312"/>
          <w:kern w:val="0"/>
          <w:sz w:val="32"/>
          <w:szCs w:val="32"/>
          <w:lang w:val="en-US" w:eastAsia="zh-CN"/>
        </w:rPr>
        <w:t>3.75</w:t>
      </w:r>
      <w:r>
        <w:rPr>
          <w:rFonts w:hint="eastAsia" w:ascii="仿宋" w:hAnsi="仿宋" w:eastAsia="仿宋" w:cs="仿宋_GB2312"/>
          <w:kern w:val="0"/>
          <w:sz w:val="32"/>
          <w:szCs w:val="32"/>
        </w:rPr>
        <w:t>万元，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highlight w:val="none"/>
        </w:rPr>
        <w:t>电脑</w:t>
      </w:r>
      <w:r>
        <w:rPr>
          <w:rFonts w:hint="eastAsia" w:ascii="仿宋" w:hAnsi="仿宋" w:eastAsia="仿宋" w:cs="仿宋_GB2312"/>
          <w:kern w:val="0"/>
          <w:sz w:val="32"/>
          <w:szCs w:val="32"/>
          <w:highlight w:val="none"/>
          <w:lang w:val="en-US" w:eastAsia="zh-CN"/>
        </w:rPr>
        <w:t>5台共计2.25万元</w:t>
      </w:r>
      <w:r>
        <w:rPr>
          <w:rFonts w:hint="eastAsia" w:ascii="仿宋" w:hAnsi="仿宋" w:eastAsia="仿宋" w:cs="仿宋_GB2312"/>
          <w:kern w:val="0"/>
          <w:sz w:val="32"/>
          <w:szCs w:val="32"/>
          <w:highlight w:val="none"/>
        </w:rPr>
        <w:t>、空调</w:t>
      </w:r>
      <w:r>
        <w:rPr>
          <w:rFonts w:hint="eastAsia" w:ascii="仿宋" w:hAnsi="仿宋" w:eastAsia="仿宋" w:cs="仿宋_GB2312"/>
          <w:kern w:val="0"/>
          <w:sz w:val="32"/>
          <w:szCs w:val="32"/>
          <w:highlight w:val="none"/>
          <w:lang w:val="en-US" w:eastAsia="zh-CN"/>
        </w:rPr>
        <w:t>3台共计1.</w:t>
      </w:r>
      <w:r>
        <w:rPr>
          <w:rFonts w:hint="eastAsia" w:ascii="仿宋" w:hAnsi="仿宋" w:eastAsia="仿宋" w:cs="仿宋_GB2312"/>
          <w:kern w:val="0"/>
          <w:sz w:val="32"/>
          <w:szCs w:val="32"/>
          <w:highlight w:val="none"/>
        </w:rPr>
        <w:t>5</w:t>
      </w:r>
      <w:r>
        <w:rPr>
          <w:rFonts w:ascii="仿宋" w:hAnsi="仿宋" w:eastAsia="仿宋" w:cs="仿宋_GB2312"/>
          <w:kern w:val="0"/>
          <w:sz w:val="32"/>
          <w:szCs w:val="32"/>
          <w:highlight w:val="none"/>
        </w:rPr>
        <w:t>万</w:t>
      </w:r>
      <w:r>
        <w:rPr>
          <w:rFonts w:ascii="仿宋" w:hAnsi="仿宋" w:eastAsia="仿宋" w:cs="仿宋_GB2312"/>
          <w:kern w:val="0"/>
          <w:sz w:val="32"/>
          <w:szCs w:val="32"/>
        </w:rPr>
        <w:t>元。</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6"/>
        <w:tblW w:w="129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955"/>
        <w:gridCol w:w="786"/>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095"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786"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4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95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786"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40" w:type="dxa"/>
            <w:vMerge w:val="continue"/>
            <w:vAlign w:val="center"/>
          </w:tcPr>
          <w:p>
            <w:pPr>
              <w:spacing w:line="560" w:lineRule="exact"/>
              <w:jc w:val="left"/>
              <w:outlineLvl w:val="0"/>
              <w:rPr>
                <w:rFonts w:ascii="宋体" w:hAnsi="宋体" w:eastAsia="宋体" w:cs="Times New Roman"/>
              </w:rPr>
            </w:pPr>
          </w:p>
        </w:tc>
        <w:tc>
          <w:tcPr>
            <w:tcW w:w="955"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continue"/>
            <w:vAlign w:val="center"/>
          </w:tcPr>
          <w:p>
            <w:pPr>
              <w:spacing w:line="560" w:lineRule="exact"/>
              <w:jc w:val="left"/>
              <w:outlineLvl w:val="0"/>
              <w:rPr>
                <w:rFonts w:ascii="宋体" w:hAnsi="宋体" w:eastAsia="宋体" w:cs="Times New Roman"/>
              </w:rPr>
            </w:pPr>
          </w:p>
        </w:tc>
        <w:tc>
          <w:tcPr>
            <w:tcW w:w="80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39"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eastAsia="宋体" w:cs="Times New Roman"/>
                <w:b/>
                <w:bCs/>
              </w:rPr>
            </w:pPr>
          </w:p>
        </w:tc>
        <w:tc>
          <w:tcPr>
            <w:tcW w:w="95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电脑</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0.45</w:t>
            </w:r>
          </w:p>
        </w:tc>
        <w:tc>
          <w:tcPr>
            <w:tcW w:w="804"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2.25</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140" w:type="dxa"/>
            <w:vAlign w:val="center"/>
          </w:tcPr>
          <w:p>
            <w:pPr>
              <w:spacing w:line="560" w:lineRule="exact"/>
              <w:jc w:val="center"/>
              <w:rPr>
                <w:rFonts w:ascii="宋体" w:hAnsi="宋体" w:eastAsia="宋体" w:cs="Times New Roman"/>
                <w:b/>
                <w:bCs/>
              </w:rPr>
            </w:pPr>
          </w:p>
        </w:tc>
        <w:tc>
          <w:tcPr>
            <w:tcW w:w="955"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空调</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0.35</w:t>
            </w:r>
          </w:p>
        </w:tc>
        <w:tc>
          <w:tcPr>
            <w:tcW w:w="804"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tbl>
      <w:tblPr>
        <w:tblStyle w:val="6"/>
        <w:tblW w:w="13077" w:type="dxa"/>
        <w:tblInd w:w="-106" w:type="dxa"/>
        <w:tblLayout w:type="fixed"/>
        <w:tblCellMar>
          <w:top w:w="0" w:type="dxa"/>
          <w:left w:w="108" w:type="dxa"/>
          <w:bottom w:w="0" w:type="dxa"/>
          <w:right w:w="108" w:type="dxa"/>
        </w:tblCellMar>
      </w:tblPr>
      <w:tblGrid>
        <w:gridCol w:w="5932"/>
        <w:gridCol w:w="1314"/>
        <w:gridCol w:w="5831"/>
      </w:tblGrid>
      <w:tr>
        <w:tblPrEx>
          <w:tblLayout w:type="fixed"/>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widowControl/>
              <w:jc w:val="left"/>
              <w:rPr>
                <w:rFonts w:ascii="宋体" w:hAnsi="宋体" w:eastAsia="宋体" w:cs="Times New Roman"/>
                <w:b/>
                <w:bCs/>
                <w:kern w:val="0"/>
                <w:sz w:val="32"/>
                <w:szCs w:val="32"/>
              </w:rPr>
            </w:pPr>
            <w:r>
              <w:rPr>
                <w:rFonts w:hint="eastAsia" w:ascii="仿宋_GB2312" w:hAnsi="宋体" w:eastAsia="仿宋_GB2312" w:cs="宋体"/>
                <w:color w:val="333333"/>
                <w:kern w:val="0"/>
                <w:sz w:val="32"/>
                <w:szCs w:val="32"/>
              </w:rPr>
              <w:t xml:space="preserve">    </w:t>
            </w: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316.7</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其中：车辆价值132万元，其它资产办公用电脑、办公家具、专用设备等价值184.7万元。2019年我单位拟购置10万元。</w:t>
            </w: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7246"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583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截止时间：2018年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Layout w:type="fixed"/>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583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316.7</w:t>
            </w: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608</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512</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132</w:t>
            </w: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223</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184.7</w:t>
            </w: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5"/>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6</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6048B"/>
    <w:multiLevelType w:val="multilevel"/>
    <w:tmpl w:val="4126048B"/>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47B8A1F"/>
    <w:multiLevelType w:val="singleLevel"/>
    <w:tmpl w:val="447B8A1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24AAA"/>
    <w:rsid w:val="00015E72"/>
    <w:rsid w:val="00081A74"/>
    <w:rsid w:val="0009730A"/>
    <w:rsid w:val="000A796E"/>
    <w:rsid w:val="000E0F7A"/>
    <w:rsid w:val="000E5B4A"/>
    <w:rsid w:val="000E7888"/>
    <w:rsid w:val="000F1902"/>
    <w:rsid w:val="00101C7A"/>
    <w:rsid w:val="00131928"/>
    <w:rsid w:val="001475B8"/>
    <w:rsid w:val="001A3CB4"/>
    <w:rsid w:val="001E0232"/>
    <w:rsid w:val="00206B22"/>
    <w:rsid w:val="0022450F"/>
    <w:rsid w:val="002307B5"/>
    <w:rsid w:val="00260C1D"/>
    <w:rsid w:val="00274FC3"/>
    <w:rsid w:val="00293823"/>
    <w:rsid w:val="002B3BE6"/>
    <w:rsid w:val="002C0317"/>
    <w:rsid w:val="003014AD"/>
    <w:rsid w:val="00325594"/>
    <w:rsid w:val="0037750D"/>
    <w:rsid w:val="003944D5"/>
    <w:rsid w:val="003C4C5D"/>
    <w:rsid w:val="003D1126"/>
    <w:rsid w:val="003D1369"/>
    <w:rsid w:val="003D22B1"/>
    <w:rsid w:val="003D6A06"/>
    <w:rsid w:val="004003FB"/>
    <w:rsid w:val="00410735"/>
    <w:rsid w:val="00453A06"/>
    <w:rsid w:val="00466D5A"/>
    <w:rsid w:val="0050311E"/>
    <w:rsid w:val="00524AAA"/>
    <w:rsid w:val="005412A2"/>
    <w:rsid w:val="0056074B"/>
    <w:rsid w:val="005730D6"/>
    <w:rsid w:val="005A06B7"/>
    <w:rsid w:val="005C54E9"/>
    <w:rsid w:val="005F0510"/>
    <w:rsid w:val="005F4345"/>
    <w:rsid w:val="0068144F"/>
    <w:rsid w:val="006B010A"/>
    <w:rsid w:val="006E46DB"/>
    <w:rsid w:val="00700CF0"/>
    <w:rsid w:val="007442FE"/>
    <w:rsid w:val="00747D9E"/>
    <w:rsid w:val="00752371"/>
    <w:rsid w:val="00756FEA"/>
    <w:rsid w:val="007775CB"/>
    <w:rsid w:val="0079522C"/>
    <w:rsid w:val="007B4EB3"/>
    <w:rsid w:val="007C484E"/>
    <w:rsid w:val="007C55B8"/>
    <w:rsid w:val="007D3992"/>
    <w:rsid w:val="007F0D2E"/>
    <w:rsid w:val="007F3221"/>
    <w:rsid w:val="00801502"/>
    <w:rsid w:val="00825F97"/>
    <w:rsid w:val="008327A0"/>
    <w:rsid w:val="008350CE"/>
    <w:rsid w:val="00850FAF"/>
    <w:rsid w:val="00894E53"/>
    <w:rsid w:val="008D12CC"/>
    <w:rsid w:val="00933068"/>
    <w:rsid w:val="00947159"/>
    <w:rsid w:val="00966F27"/>
    <w:rsid w:val="00973104"/>
    <w:rsid w:val="00975484"/>
    <w:rsid w:val="00990CB9"/>
    <w:rsid w:val="009B2D48"/>
    <w:rsid w:val="009C264C"/>
    <w:rsid w:val="009E43C4"/>
    <w:rsid w:val="009F0612"/>
    <w:rsid w:val="00A12AE7"/>
    <w:rsid w:val="00A15ADE"/>
    <w:rsid w:val="00A312E6"/>
    <w:rsid w:val="00A56070"/>
    <w:rsid w:val="00A6455D"/>
    <w:rsid w:val="00A95F51"/>
    <w:rsid w:val="00A964A2"/>
    <w:rsid w:val="00AB561A"/>
    <w:rsid w:val="00AC6968"/>
    <w:rsid w:val="00B1391C"/>
    <w:rsid w:val="00B13EFE"/>
    <w:rsid w:val="00B50088"/>
    <w:rsid w:val="00B500A4"/>
    <w:rsid w:val="00B51ADF"/>
    <w:rsid w:val="00B56C1F"/>
    <w:rsid w:val="00B700D7"/>
    <w:rsid w:val="00B74748"/>
    <w:rsid w:val="00B77503"/>
    <w:rsid w:val="00B86900"/>
    <w:rsid w:val="00BA40C6"/>
    <w:rsid w:val="00BA6B82"/>
    <w:rsid w:val="00C0614B"/>
    <w:rsid w:val="00C07BA6"/>
    <w:rsid w:val="00C72492"/>
    <w:rsid w:val="00C7442A"/>
    <w:rsid w:val="00C75332"/>
    <w:rsid w:val="00C75C4B"/>
    <w:rsid w:val="00CD0F72"/>
    <w:rsid w:val="00CE23A2"/>
    <w:rsid w:val="00D27A25"/>
    <w:rsid w:val="00D312BA"/>
    <w:rsid w:val="00D4265F"/>
    <w:rsid w:val="00D65964"/>
    <w:rsid w:val="00D73351"/>
    <w:rsid w:val="00D92570"/>
    <w:rsid w:val="00E000C9"/>
    <w:rsid w:val="00E24B37"/>
    <w:rsid w:val="00E474B2"/>
    <w:rsid w:val="00E87B0C"/>
    <w:rsid w:val="00E91C36"/>
    <w:rsid w:val="00EB6428"/>
    <w:rsid w:val="00EE03EC"/>
    <w:rsid w:val="00F006DB"/>
    <w:rsid w:val="00F14752"/>
    <w:rsid w:val="00F311AF"/>
    <w:rsid w:val="00F3468E"/>
    <w:rsid w:val="00F66032"/>
    <w:rsid w:val="00F91172"/>
    <w:rsid w:val="00FB5EA2"/>
    <w:rsid w:val="00FF56B6"/>
    <w:rsid w:val="047B3522"/>
    <w:rsid w:val="064C1A9B"/>
    <w:rsid w:val="0B913BC3"/>
    <w:rsid w:val="0BA97B64"/>
    <w:rsid w:val="0F4355C9"/>
    <w:rsid w:val="12654FB6"/>
    <w:rsid w:val="12FA352D"/>
    <w:rsid w:val="136C5EA5"/>
    <w:rsid w:val="1C194D45"/>
    <w:rsid w:val="20F52E0B"/>
    <w:rsid w:val="20FA42F4"/>
    <w:rsid w:val="23D6273B"/>
    <w:rsid w:val="26077058"/>
    <w:rsid w:val="274F6BA1"/>
    <w:rsid w:val="2AED1D53"/>
    <w:rsid w:val="2BAD103C"/>
    <w:rsid w:val="2FB3509A"/>
    <w:rsid w:val="32176E72"/>
    <w:rsid w:val="351F3F91"/>
    <w:rsid w:val="39F04820"/>
    <w:rsid w:val="3AE440BC"/>
    <w:rsid w:val="4123017A"/>
    <w:rsid w:val="42316A0B"/>
    <w:rsid w:val="431C4053"/>
    <w:rsid w:val="44745D14"/>
    <w:rsid w:val="4A0E5021"/>
    <w:rsid w:val="4A687489"/>
    <w:rsid w:val="4A9E4531"/>
    <w:rsid w:val="4DAF4256"/>
    <w:rsid w:val="553C59BA"/>
    <w:rsid w:val="596221DD"/>
    <w:rsid w:val="5EFE3E28"/>
    <w:rsid w:val="61537635"/>
    <w:rsid w:val="67867B89"/>
    <w:rsid w:val="6D317ED3"/>
    <w:rsid w:val="74380403"/>
    <w:rsid w:val="7460160E"/>
    <w:rsid w:val="773D0B5E"/>
    <w:rsid w:val="783F6E48"/>
    <w:rsid w:val="78ED672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 w:type="paragraph" w:styleId="10">
    <w:name w:val="List Paragraph"/>
    <w:basedOn w:val="1"/>
    <w:qFormat/>
    <w:uiPriority w:val="99"/>
    <w:pPr>
      <w:ind w:firstLine="420" w:firstLineChars="200"/>
    </w:p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2265</Words>
  <Characters>12915</Characters>
  <Lines>107</Lines>
  <Paragraphs>30</Paragraphs>
  <TotalTime>5</TotalTime>
  <ScaleCrop>false</ScaleCrop>
  <LinksUpToDate>false</LinksUpToDate>
  <CharactersWithSpaces>15150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2019-01-25T09:48:00Z</dcterms:created>
  <dc:creator>旭东</dc:creator>
  <cp:lastModifiedBy>Administrator</cp:lastModifiedBy>
  <dcterms:modified xsi:type="dcterms:W3CDTF">2021-05-19T03:23:17Z</dcterms:modified>
  <dc:title>2017年部门预算公开督导整改要求</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