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成安县辛义乡人民政府</w:t>
      </w:r>
    </w:p>
    <w:p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2019年部门预算公开情况说明</w:t>
      </w:r>
    </w:p>
    <w:p>
      <w:pPr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按照《中华人民共和国预算法》有关规定和财政部关于印发《地方预决算公开操作规程》的通知，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现将成安县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辛义乡人民政府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2019年部门预算公开如下：</w:t>
      </w:r>
    </w:p>
    <w:p>
      <w:pPr>
        <w:spacing w:line="600" w:lineRule="exact"/>
        <w:ind w:firstLine="640"/>
        <w:rPr>
          <w:rFonts w:ascii="黑体" w:hAnsi="黑体" w:eastAsia="黑体" w:cs="楷体"/>
          <w:bCs/>
          <w:sz w:val="32"/>
          <w:szCs w:val="32"/>
        </w:rPr>
      </w:pPr>
      <w:r>
        <w:rPr>
          <w:rFonts w:hint="eastAsia" w:ascii="黑体" w:hAnsi="黑体" w:eastAsia="黑体" w:cs="楷体"/>
          <w:bCs/>
          <w:sz w:val="32"/>
          <w:szCs w:val="32"/>
        </w:rPr>
        <w:t>一、部门职责及机构设置情况</w:t>
      </w:r>
    </w:p>
    <w:p>
      <w:pPr>
        <w:widowControl/>
        <w:spacing w:line="600" w:lineRule="exact"/>
        <w:ind w:firstLine="643" w:firstLineChars="200"/>
        <w:jc w:val="left"/>
        <w:rPr>
          <w:rFonts w:ascii="楷体" w:hAnsi="楷体" w:eastAsia="楷体" w:cs="楷体"/>
          <w:b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>（一）主要职责及机构设置情况</w:t>
      </w:r>
    </w:p>
    <w:p>
      <w:pPr>
        <w:widowControl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部门职责：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1、宣传、贯彻党的路线、方针、政策和上级党组织的指示、决定，执行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党员代表大会决议，讨论决定本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的重大问题。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2、抓好自身和所属党组织的思想、组织和作风建设。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3、领导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经济建设，制定本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经济和社会发展规划并组织实施。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4、领导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社会主义精神文明和民主法制建设。加强农村社会治安综合治理，贯彻执行党和国家的计划生育政策。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5、领导并支持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政府依法行使各项行政管理职权。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6、领导人大主席团及经济组织、人民武装和共青团、妇联等人民团体的工作。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7、领导上级有关部门派驻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单位的党的建设，领导、支持　协调上级有关部门派驻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单位的工作。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8、完成上级党组织交办的其他任务。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9、促进经济发展，增加农民收入。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10、强化公共服务，着力改善民生。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11、加强社会管理，维护农村稳定。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12、推进基层民主，促进农村和谐。</w:t>
      </w:r>
    </w:p>
    <w:p>
      <w:pPr>
        <w:autoSpaceDE w:val="0"/>
        <w:autoSpaceDN w:val="0"/>
        <w:adjustRightInd w:val="0"/>
        <w:spacing w:line="600" w:lineRule="exact"/>
        <w:ind w:firstLine="643" w:firstLineChars="200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机构设置：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内设机构及职责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成安县辛义乡人民政府，预算编码是808002，内设5</w:t>
      </w: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个内部机构。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1、党政综合办公室（编制7名，其中：股级职数3名）</w:t>
      </w:r>
    </w:p>
    <w:p>
      <w:pPr>
        <w:spacing w:line="600" w:lineRule="exact"/>
        <w:ind w:firstLine="616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主要职责：负责承办党委、人大、纪检、组织、宣传、统战、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法、共青团、妇联、武装、农村工作；承办党委交办的其它事项，协调各办公室的工作关系；负责农业生产的指导、管理、协调、服务及社会主义新农村的规划和建设工作；负责政府日常事务和机关后勤工作；承办党委、政府交办的其他事项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2、经济发展办公室（挂城镇乡村建设办公室牌子，编制4名，其中：股级职数2名）</w:t>
      </w:r>
    </w:p>
    <w:p>
      <w:pPr>
        <w:spacing w:line="600" w:lineRule="exact"/>
        <w:ind w:firstLine="572" w:firstLineChars="179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主要职责：负责规划、指导、协调和服务乡村企业及个体企业的发展；指导和管理农业综合服务中心工作；协调与经济发展相关的其他工作。</w:t>
      </w:r>
    </w:p>
    <w:p>
      <w:pPr>
        <w:spacing w:line="600" w:lineRule="exact"/>
        <w:ind w:firstLine="572" w:firstLineChars="179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贯彻执行党和国家有关城镇乡村建设、规划工作的方针、政策及法规；研究制定本乡镇辖区内建设各行业的发展规划；起草乡镇有关建设、规划方面的地方性政策并组织实施。编制城镇及乡村建设资金使用计划安排和资金筹措、管理工作，负责查处乡镇各类违法占地和违法建设行为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社会事务办公室（编制4名，其中：股级职数2名）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主要职责：协调本辖区法庭、公安派出所等执法部门工作；负责司法调解、法律宣传教育、社会治安综合治理、民族宗教、民政、环境保护工作；负责乡村文化广播、卫生院、中小学等事业单位的协调服务工作。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计划生育办公室（编制4名，其中：股级职数2名）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主要职责：认真贯彻党和国家人口和计划生育方针、政策，贯彻落实《中华人民共和国人口与计划生育法》、《河北省人口与计划生育条例》等法律法规。贯彻执行党和国家的计划生育政策，落实人口计划，制定本乡镇的计划生育工作规划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5、综合治理办公室（编制3名，其中：股级职数1名）</w:t>
      </w:r>
    </w:p>
    <w:p>
      <w:pPr>
        <w:spacing w:line="600" w:lineRule="exact"/>
        <w:ind w:firstLine="572" w:firstLineChars="179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职责：负责贯彻执行上级社会治安综合治理机构的工作部署，制定本辖区社会治安综合治理措施的落实，接受群众来访解决本辖区内存在的影响社会安定的重大隐患。控制避免集体访、越级访及重大恶性案件发生，协调督促有关部门开展综合工作。及时向乡镇党委、政府和县综治办报告工作、提出工作建议、反馈有关信息和经验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6、财政所（编制4名，其中：股级职数2名）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职责：负责编制乡镇财政收支计划，统管乡村财务；负责乡村两级财政性资金使用的监督管理；契税、耕地占用税等财政收入的征收，以及各类涉农财政性补贴资金的发放和管理工作；负责乡镇分税制和统收统支加激励办法的实施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7、农村综合服务中心（编制14名，其中：股级职数3名）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主要职责：负责农业技术推广及病虫害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防治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、畜牧业发展和防疫工作，抗旱防涝、打井配套及农田水利基本建设工作；编制、等级、填报各种统计报表，制定村集体财政管理制度，负责村集体资产的清查、登记，农村财务管理及审计，农民负担监督管理，农业承包合同的签订及农业服务工作，负责本乡镇劳动力市场的管理，组织好劳务输出工作；开发农村社区就业岗位，组织实施农村社区就业项目；负责退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员及农村养老保险的社会化管理和服务。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8、计划生育服务中心（编制14名，其中股级职数3名）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主要职责：加强培训，提高乡村计生人员的政治和业务素质；负责育龄妇女的普查、妇女病防治、计生服务、四术及协会等项工作。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9、文化宣传服务中心（编制2名，其中：股级职数1名）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主要职责：贯彻执行党和国家关于文化、广播、宣传等工作的方针、政策、法规；综合管理文化艺术事业，组织、协调重大文化艺术活动；负责文化市场的监督管理工作。</w:t>
      </w:r>
    </w:p>
    <w:p>
      <w:pPr>
        <w:widowControl/>
        <w:spacing w:line="60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widowControl/>
        <w:spacing w:line="60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widowControl/>
        <w:spacing w:line="60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widowControl/>
        <w:spacing w:line="60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部门机构设置情况</w:t>
      </w:r>
    </w:p>
    <w:p>
      <w:pPr>
        <w:widowControl/>
        <w:spacing w:line="6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96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3"/>
        <w:gridCol w:w="1734"/>
        <w:gridCol w:w="1766"/>
        <w:gridCol w:w="31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3003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_GB2312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sz w:val="32"/>
                <w:szCs w:val="32"/>
              </w:rPr>
              <w:t>单位名称</w:t>
            </w:r>
          </w:p>
        </w:tc>
        <w:tc>
          <w:tcPr>
            <w:tcW w:w="1734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_GB2312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sz w:val="32"/>
                <w:szCs w:val="32"/>
              </w:rPr>
              <w:t>单位性质</w:t>
            </w:r>
          </w:p>
        </w:tc>
        <w:tc>
          <w:tcPr>
            <w:tcW w:w="176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_GB2312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sz w:val="32"/>
                <w:szCs w:val="32"/>
              </w:rPr>
              <w:t>单位规格</w:t>
            </w:r>
          </w:p>
        </w:tc>
        <w:tc>
          <w:tcPr>
            <w:tcW w:w="3117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_GB2312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sz w:val="32"/>
                <w:szCs w:val="32"/>
              </w:rPr>
              <w:t>经费保障形式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3003" w:type="dxa"/>
            <w:vMerge w:val="continue"/>
            <w:vAlign w:val="center"/>
          </w:tcPr>
          <w:p>
            <w:pPr>
              <w:spacing w:line="600" w:lineRule="exact"/>
              <w:jc w:val="left"/>
              <w:outlineLvl w:val="0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734" w:type="dxa"/>
            <w:vMerge w:val="continue"/>
            <w:vAlign w:val="center"/>
          </w:tcPr>
          <w:p>
            <w:pPr>
              <w:spacing w:line="600" w:lineRule="exact"/>
              <w:jc w:val="left"/>
              <w:outlineLvl w:val="0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766" w:type="dxa"/>
            <w:vMerge w:val="continue"/>
            <w:vAlign w:val="center"/>
          </w:tcPr>
          <w:p>
            <w:pPr>
              <w:spacing w:line="600" w:lineRule="exact"/>
              <w:jc w:val="left"/>
              <w:outlineLvl w:val="0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3117" w:type="dxa"/>
            <w:vMerge w:val="continue"/>
            <w:vAlign w:val="center"/>
          </w:tcPr>
          <w:p>
            <w:pPr>
              <w:spacing w:line="600" w:lineRule="exact"/>
              <w:jc w:val="left"/>
              <w:outlineLvl w:val="0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003" w:type="dxa"/>
            <w:vAlign w:val="center"/>
          </w:tcPr>
          <w:p>
            <w:pPr>
              <w:spacing w:line="600" w:lineRule="exact"/>
              <w:jc w:val="left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党政综合办公室</w:t>
            </w:r>
          </w:p>
        </w:tc>
        <w:tc>
          <w:tcPr>
            <w:tcW w:w="1734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行政</w:t>
            </w:r>
          </w:p>
        </w:tc>
        <w:tc>
          <w:tcPr>
            <w:tcW w:w="1766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股级</w:t>
            </w:r>
          </w:p>
        </w:tc>
        <w:tc>
          <w:tcPr>
            <w:tcW w:w="3117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财政拨款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003" w:type="dxa"/>
            <w:vAlign w:val="center"/>
          </w:tcPr>
          <w:p>
            <w:pPr>
              <w:spacing w:line="600" w:lineRule="exact"/>
              <w:jc w:val="left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经济发展办公室</w:t>
            </w:r>
          </w:p>
        </w:tc>
        <w:tc>
          <w:tcPr>
            <w:tcW w:w="1734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行政</w:t>
            </w:r>
          </w:p>
        </w:tc>
        <w:tc>
          <w:tcPr>
            <w:tcW w:w="1766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股级</w:t>
            </w:r>
          </w:p>
        </w:tc>
        <w:tc>
          <w:tcPr>
            <w:tcW w:w="3117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财政拨款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003" w:type="dxa"/>
            <w:vAlign w:val="center"/>
          </w:tcPr>
          <w:p>
            <w:pPr>
              <w:spacing w:line="600" w:lineRule="exact"/>
              <w:jc w:val="left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社会事务办公室</w:t>
            </w:r>
          </w:p>
        </w:tc>
        <w:tc>
          <w:tcPr>
            <w:tcW w:w="1734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行政</w:t>
            </w:r>
          </w:p>
        </w:tc>
        <w:tc>
          <w:tcPr>
            <w:tcW w:w="1766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股级</w:t>
            </w:r>
          </w:p>
        </w:tc>
        <w:tc>
          <w:tcPr>
            <w:tcW w:w="3117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财政拨款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003" w:type="dxa"/>
            <w:vAlign w:val="center"/>
          </w:tcPr>
          <w:p>
            <w:pPr>
              <w:spacing w:line="600" w:lineRule="exact"/>
              <w:jc w:val="left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财政所</w:t>
            </w:r>
          </w:p>
        </w:tc>
        <w:tc>
          <w:tcPr>
            <w:tcW w:w="1734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事业</w:t>
            </w:r>
          </w:p>
        </w:tc>
        <w:tc>
          <w:tcPr>
            <w:tcW w:w="1766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股级</w:t>
            </w:r>
          </w:p>
        </w:tc>
        <w:tc>
          <w:tcPr>
            <w:tcW w:w="3117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财政性资金基本保证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003" w:type="dxa"/>
            <w:vAlign w:val="center"/>
          </w:tcPr>
          <w:p>
            <w:pPr>
              <w:spacing w:line="600" w:lineRule="exact"/>
              <w:jc w:val="left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农村综合服务中心</w:t>
            </w:r>
          </w:p>
        </w:tc>
        <w:tc>
          <w:tcPr>
            <w:tcW w:w="1734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事业</w:t>
            </w:r>
          </w:p>
        </w:tc>
        <w:tc>
          <w:tcPr>
            <w:tcW w:w="1766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股级</w:t>
            </w:r>
          </w:p>
        </w:tc>
        <w:tc>
          <w:tcPr>
            <w:tcW w:w="3117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财政性资金基本保证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003" w:type="dxa"/>
            <w:vAlign w:val="center"/>
          </w:tcPr>
          <w:p>
            <w:pPr>
              <w:spacing w:line="600" w:lineRule="exact"/>
              <w:jc w:val="left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计划生育服务中心</w:t>
            </w:r>
          </w:p>
        </w:tc>
        <w:tc>
          <w:tcPr>
            <w:tcW w:w="1734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事业</w:t>
            </w:r>
          </w:p>
        </w:tc>
        <w:tc>
          <w:tcPr>
            <w:tcW w:w="1766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股级</w:t>
            </w:r>
          </w:p>
        </w:tc>
        <w:tc>
          <w:tcPr>
            <w:tcW w:w="3117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财政性资金基本保证</w:t>
            </w:r>
          </w:p>
        </w:tc>
      </w:tr>
    </w:tbl>
    <w:p>
      <w:pPr>
        <w:spacing w:line="600" w:lineRule="exact"/>
        <w:ind w:firstLine="572" w:firstLineChars="179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经费保障形式包括：财政拨款（行政）、财政性资金基本保证（全额事业）、财政性资金定额或定向补助（差额事业）、财政性资金零补助（自收自支）</w:t>
      </w:r>
    </w:p>
    <w:p>
      <w:pPr>
        <w:spacing w:line="600" w:lineRule="exact"/>
        <w:ind w:firstLine="640"/>
        <w:rPr>
          <w:rFonts w:ascii="黑体" w:hAnsi="黑体" w:eastAsia="黑体" w:cs="楷体"/>
          <w:bCs/>
          <w:sz w:val="32"/>
          <w:szCs w:val="32"/>
        </w:rPr>
      </w:pPr>
      <w:r>
        <w:rPr>
          <w:rFonts w:hint="eastAsia" w:ascii="黑体" w:hAnsi="黑体" w:eastAsia="黑体" w:cs="楷体"/>
          <w:bCs/>
          <w:sz w:val="32"/>
          <w:szCs w:val="32"/>
        </w:rPr>
        <w:t>二、部门预算安排的总体情况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按照预算管理有关规定，目前我部门预算的编制实行综合预算制度，即全部收入和支出都反映在预算中。</w:t>
      </w:r>
    </w:p>
    <w:p>
      <w:pPr>
        <w:spacing w:line="600" w:lineRule="exact"/>
        <w:ind w:firstLine="64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1、收入说明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2019年预算收入214.74万元，其中：一般公共预算收入214.74万元，政府性基金收入0万元，国有资本经营收入0万元，事业收入0万元，其他收入0万元。</w:t>
      </w:r>
    </w:p>
    <w:p>
      <w:pPr>
        <w:spacing w:line="600" w:lineRule="exact"/>
        <w:ind w:firstLine="64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2、支出说明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2019年支出预算214.74万元，其中基本支出214.74万元，包括人员经费和日常公用经费；项目支出0万元。</w:t>
      </w:r>
    </w:p>
    <w:p>
      <w:pPr>
        <w:spacing w:line="600" w:lineRule="exact"/>
        <w:ind w:firstLine="64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3、比上年增减变化情况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2019年预算收支安排214.74万元，较2018年预算减少2.86万元，主要为财政供养人员减少。</w:t>
      </w:r>
    </w:p>
    <w:p>
      <w:pPr>
        <w:autoSpaceDE w:val="0"/>
        <w:autoSpaceDN w:val="0"/>
        <w:adjustRightInd w:val="0"/>
        <w:spacing w:line="600" w:lineRule="exact"/>
        <w:ind w:left="198" w:firstLine="640" w:firstLineChars="200"/>
        <w:jc w:val="left"/>
        <w:rPr>
          <w:rFonts w:ascii="黑体" w:hAnsi="黑体" w:eastAsia="黑体" w:cs="楷体"/>
          <w:bCs/>
          <w:sz w:val="32"/>
          <w:szCs w:val="32"/>
        </w:rPr>
      </w:pPr>
      <w:r>
        <w:rPr>
          <w:rFonts w:hint="eastAsia" w:ascii="黑体" w:hAnsi="黑体" w:eastAsia="黑体" w:cs="楷体"/>
          <w:bCs/>
          <w:sz w:val="32"/>
          <w:szCs w:val="32"/>
        </w:rPr>
        <w:t>三、机关运行经费安排情况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机关运行经费共计安排26.25万元，主要用于办公区的日常维修、办公用房水电费、邮电费、办公用房取暖费、办公用房物业管理费等日常运行支出。</w:t>
      </w:r>
    </w:p>
    <w:p>
      <w:pPr>
        <w:autoSpaceDE w:val="0"/>
        <w:autoSpaceDN w:val="0"/>
        <w:adjustRightInd w:val="0"/>
        <w:spacing w:line="600" w:lineRule="exact"/>
        <w:ind w:left="198" w:firstLine="640" w:firstLineChars="200"/>
        <w:jc w:val="left"/>
        <w:rPr>
          <w:rFonts w:ascii="黑体" w:hAnsi="黑体" w:eastAsia="黑体" w:cs="楷体"/>
          <w:bCs/>
          <w:sz w:val="32"/>
          <w:szCs w:val="32"/>
        </w:rPr>
      </w:pPr>
      <w:r>
        <w:rPr>
          <w:rFonts w:hint="eastAsia" w:ascii="黑体" w:hAnsi="黑体" w:eastAsia="黑体" w:cs="楷体"/>
          <w:bCs/>
          <w:sz w:val="32"/>
          <w:szCs w:val="32"/>
        </w:rPr>
        <w:t>四、财政拨款“三公”经费预算情况及增减变化原因</w:t>
      </w:r>
    </w:p>
    <w:p>
      <w:pPr>
        <w:autoSpaceDE w:val="0"/>
        <w:autoSpaceDN w:val="0"/>
        <w:adjustRightInd w:val="0"/>
        <w:spacing w:line="600" w:lineRule="exact"/>
        <w:ind w:left="198" w:firstLine="640" w:firstLineChars="200"/>
        <w:rPr>
          <w:rFonts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757" w:right="1531" w:bottom="1474" w:left="1531" w:header="851" w:footer="992" w:gutter="0"/>
          <w:cols w:space="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2019年，我单位“三公”经费预算安排1万元，其中因公出国（境）费0万元,较上年数持平；公务用车购置及运维费1万元（其中：公务用车购置费为0万元，公务用车运行费1万元) ，较上年减少6.5%，主要是公车改革，车辆油修费减少；公务接待费0万元，较上年持平，“三公”经费较上年减少6.5%。</w:t>
      </w:r>
    </w:p>
    <w:p>
      <w:pPr>
        <w:spacing w:line="600" w:lineRule="exact"/>
        <w:ind w:firstLine="640"/>
        <w:rPr>
          <w:rFonts w:ascii="黑体" w:hAnsi="黑体" w:eastAsia="黑体" w:cs="楷体"/>
          <w:bCs/>
          <w:sz w:val="32"/>
          <w:szCs w:val="32"/>
        </w:rPr>
      </w:pPr>
      <w:r>
        <w:rPr>
          <w:rFonts w:hint="eastAsia" w:ascii="黑体" w:hAnsi="黑体" w:eastAsia="黑体" w:cs="楷体"/>
          <w:bCs/>
          <w:sz w:val="32"/>
          <w:szCs w:val="32"/>
        </w:rPr>
        <w:t>五、绩效预算信息</w:t>
      </w:r>
    </w:p>
    <w:p>
      <w:pPr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  <w:bookmarkStart w:id="0" w:name="_Toc471398463"/>
      <w:r>
        <w:rPr>
          <w:rFonts w:hint="eastAsia" w:ascii="仿宋" w:hAnsi="仿宋" w:eastAsia="仿宋" w:cs="仿宋"/>
          <w:sz w:val="32"/>
          <w:szCs w:val="32"/>
        </w:rPr>
        <w:t>（一）总体绩效目标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64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以习近平新时代中国特色社会主义思想为指导，全面贯彻落实党的十九大精神，以党的建设为统揽，紧扣乡村振兴战略，坚定信心、砥砺奋进，持续推进和改善民生，维护社会和谐稳定，提升群众幸福指数。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64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完成县委对本年度各项考评指标任务。在今年收支预算内，确保完成以下整体目标：目标1：围绕项目建设，突出发展农业经济；目标2：全力推动社会各项事业，促进经济社会协调发展；目标3：巩固农村环境整治工作成果，建设美丽、宜居新</w:t>
      </w:r>
      <w:r>
        <w:rPr>
          <w:rFonts w:hint="eastAsia" w:ascii="仿宋_GB2312" w:hAnsi="仿宋_GB2312" w:eastAsia="仿宋_GB2312"/>
          <w:sz w:val="32"/>
          <w:lang w:eastAsia="zh-CN"/>
        </w:rPr>
        <w:t>乡</w:t>
      </w:r>
      <w:r>
        <w:rPr>
          <w:rFonts w:hint="eastAsia" w:ascii="仿宋_GB2312" w:hAnsi="仿宋_GB2312" w:eastAsia="仿宋_GB2312"/>
          <w:sz w:val="32"/>
        </w:rPr>
        <w:t>；目标4：巩固</w:t>
      </w:r>
      <w:r>
        <w:rPr>
          <w:rFonts w:ascii="仿宋_GB2312" w:hAnsi="仿宋_GB2312" w:eastAsia="仿宋_GB2312"/>
          <w:sz w:val="32"/>
        </w:rPr>
        <w:t>精准扶贫</w:t>
      </w:r>
      <w:r>
        <w:rPr>
          <w:rFonts w:hint="eastAsia" w:ascii="仿宋_GB2312" w:hAnsi="仿宋_GB2312" w:eastAsia="仿宋_GB2312"/>
          <w:sz w:val="32"/>
        </w:rPr>
        <w:t>成果，</w:t>
      </w:r>
      <w:r>
        <w:rPr>
          <w:rFonts w:ascii="仿宋_GB2312" w:hAnsi="仿宋_GB2312" w:eastAsia="仿宋_GB2312"/>
          <w:sz w:val="32"/>
        </w:rPr>
        <w:t>全力推进</w:t>
      </w:r>
      <w:r>
        <w:rPr>
          <w:rFonts w:hint="eastAsia" w:ascii="仿宋_GB2312" w:hAnsi="仿宋_GB2312" w:eastAsia="仿宋_GB2312"/>
          <w:sz w:val="32"/>
        </w:rPr>
        <w:t>乡村振兴工作</w:t>
      </w:r>
      <w:r>
        <w:rPr>
          <w:rFonts w:ascii="仿宋_GB2312" w:hAnsi="仿宋_GB2312" w:eastAsia="仿宋_GB2312"/>
          <w:sz w:val="32"/>
        </w:rPr>
        <w:t>。</w:t>
      </w:r>
    </w:p>
    <w:p>
      <w:pPr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ascii="仿宋" w:hAnsi="仿宋" w:eastAsia="仿宋" w:cs="仿宋"/>
          <w:sz w:val="32"/>
          <w:szCs w:val="32"/>
        </w:rPr>
        <w:t>分项绩效目标</w:t>
      </w:r>
    </w:p>
    <w:p>
      <w:pPr>
        <w:keepNext/>
        <w:keepLines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640"/>
        <w:jc w:val="left"/>
        <w:rPr>
          <w:rFonts w:ascii="仿宋_GB2312" w:hAnsi="仿宋_GB2312" w:eastAsia="仿宋_GB2312"/>
          <w:sz w:val="32"/>
        </w:rPr>
      </w:pPr>
      <w:r>
        <w:rPr>
          <w:rFonts w:ascii="仿宋_GB2312" w:hAnsi="仿宋_GB2312" w:eastAsia="仿宋_GB2312"/>
          <w:sz w:val="32"/>
        </w:rPr>
        <w:t>1、促进经济发展、增加农民收入职责绩效目标：持续推动乡村经济发展，以壮大村集体经济、促进农民持续增收为目标，大力扶持壮大有机农业种植、肉鸡养殖产业、苗木种植合作组织发展，充分发挥示范引领作用，促进乡域经济发展和农民增收。持续提升贫困群众满意度，巩固脱贫成果、完善防贫机制，扎实有效推进脱贫攻坚工作，困难群众满意度达到95%以上。</w:t>
      </w:r>
    </w:p>
    <w:p>
      <w:pPr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</w:rPr>
        <w:t>2、</w:t>
      </w:r>
      <w:r>
        <w:rPr>
          <w:rFonts w:hint="eastAsia" w:ascii="仿宋_GB2312" w:eastAsia="仿宋_GB2312"/>
          <w:sz w:val="32"/>
          <w:szCs w:val="32"/>
        </w:rPr>
        <w:t>强化公共服务、着力改善民生职责绩效目标：加强农田水利、基础设施建设，做好农村人居环境整治工作，2019年硬化道路不低于5条；做好农村社会保障工作，提升为民服务能力，其中正常工作保障率、惠农补贴落实率达到95%以上。</w:t>
      </w:r>
    </w:p>
    <w:p>
      <w:pPr>
        <w:keepNext/>
        <w:keepLines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707"/>
        <w:jc w:val="left"/>
        <w:rPr>
          <w:rFonts w:ascii="仿宋_GB2312" w:hAnsi="仿宋_GB2312" w:eastAsia="仿宋_GB2312"/>
          <w:sz w:val="32"/>
        </w:rPr>
      </w:pPr>
      <w:r>
        <w:rPr>
          <w:rFonts w:ascii="仿宋_GB2312" w:hAnsi="仿宋_GB2312" w:eastAsia="仿宋_GB2312"/>
          <w:sz w:val="32"/>
        </w:rPr>
        <w:t>3、</w:t>
      </w:r>
      <w:r>
        <w:rPr>
          <w:rFonts w:hint="eastAsia" w:ascii="仿宋_GB2312" w:eastAsia="仿宋_GB2312"/>
          <w:sz w:val="32"/>
          <w:szCs w:val="32"/>
        </w:rPr>
        <w:t>加强社会管理、维护农村稳定职责绩效目标：全面贯彻落实党的路线方针政策，抓好疫情防控、大气治理、扫黑除恶、信访稳定、殡葬改革等工作，其中乡辖中小企业环保达标率、秸秆还田率、政策宣传普及率达到95%以上，火化率100%，文明办丧祭祀100%。</w:t>
      </w:r>
    </w:p>
    <w:p>
      <w:pPr>
        <w:ind w:firstLine="707" w:firstLineChars="221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推进基层民主、促进农村和谐职责：扎实开展党的主题教育活动，不断加强农村党支部书记、村两委干部、党员干部和优秀青年四支队伍规范化管理和学习教育培训力度，提升党员干部履职尽责能力和综合素质，做好两委换届工作，全年举办各类培训不低于5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，村民满意度达到93%以上，两委换届任务完成率100%。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（三）工作保障措施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640"/>
        <w:rPr>
          <w:rFonts w:ascii="仿宋_GB2312" w:hAnsi="仿宋_GB2312" w:eastAsia="仿宋_GB2312"/>
          <w:sz w:val="32"/>
        </w:rPr>
      </w:pPr>
      <w:r>
        <w:rPr>
          <w:rFonts w:ascii="仿宋_GB2312" w:hAnsi="仿宋_GB2312" w:eastAsia="仿宋_GB2312"/>
          <w:sz w:val="32"/>
        </w:rPr>
        <w:t>1、促进经济发展、增加农民收入：全力推进农业农村全面转型，依托我乡西阳寺有机农业示范园、全自动肉鸡养殖产业，以“村集体+合作社+农户”的形式，促进周边传统种植、养殖业向规模化、产业化方向发展，提高经济发展的质量和水平，新增规模化产业不少于一户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640"/>
        <w:rPr>
          <w:rFonts w:ascii="仿宋_GB2312" w:hAnsi="仿宋_GB2312" w:eastAsia="仿宋_GB2312"/>
          <w:sz w:val="32"/>
        </w:rPr>
      </w:pPr>
      <w:r>
        <w:rPr>
          <w:rFonts w:ascii="仿宋_GB2312" w:hAnsi="仿宋_GB2312" w:eastAsia="仿宋_GB2312"/>
          <w:sz w:val="32"/>
        </w:rPr>
        <w:t>2、强化公共服务、着力改善民生：全力做好农村社会保障工作，确保精准扶贫、耕地地力保护补贴等各项惠农政策精准落实到户，不错一人；不断加强农田水利、基础设施建设，改善农民生产生活环境；优化便民服务流程，通过“一站式”服务、办事代理制等多种形式，努力实现群众小事不出门，大事不出乡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640"/>
        <w:rPr>
          <w:rFonts w:ascii="仿宋_GB2312" w:hAnsi="仿宋_GB2312" w:eastAsia="仿宋_GB2312"/>
          <w:sz w:val="32"/>
        </w:rPr>
      </w:pPr>
      <w:r>
        <w:rPr>
          <w:rFonts w:ascii="仿宋_GB2312" w:hAnsi="仿宋_GB2312" w:eastAsia="仿宋_GB2312"/>
          <w:sz w:val="32"/>
        </w:rPr>
        <w:t>3、加强社会管理、维护农村稳定：全力抓好农村环境卫生整治、大气污染防治、卫片执法等工作，促进农村经济社会的健康、和谐、可持续发展；加强社会治安综合治理，抓细扫黑除恶工作，消除社会不稳定因素，确保人民群众生命财产安全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640"/>
        <w:rPr>
          <w:rFonts w:ascii="仿宋_GB2312" w:hAnsi="仿宋_GB2312" w:eastAsia="仿宋_GB2312"/>
          <w:sz w:val="32"/>
        </w:rPr>
      </w:pPr>
      <w:r>
        <w:rPr>
          <w:rFonts w:ascii="仿宋_GB2312" w:hAnsi="仿宋_GB2312" w:eastAsia="仿宋_GB2312"/>
          <w:sz w:val="32"/>
        </w:rPr>
        <w:t>4、推进基层民主、促进农村和谐：全力加大对党员干部的学习教育培训力度，特别是新任村“两委”干部，提升党员干部履职尽责能力和综合素质。健全完善村务公开制度，切规范民主决策机制，实维护农民合法权益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640"/>
        <w:rPr>
          <w:rFonts w:ascii="仿宋_GB2312" w:hAnsi="仿宋_GB2312" w:eastAsia="仿宋_GB2312"/>
          <w:sz w:val="32"/>
        </w:rPr>
      </w:pPr>
      <w:r>
        <w:rPr>
          <w:rFonts w:ascii="仿宋_GB2312" w:hAnsi="仿宋_GB2312" w:eastAsia="仿宋_GB2312"/>
          <w:sz w:val="32"/>
        </w:rPr>
        <w:t>5、改善生态环境、提升乡风文明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640"/>
        <w:rPr>
          <w:rFonts w:ascii="仿宋_GB2312" w:hAnsi="仿宋_GB2312" w:eastAsia="仿宋_GB2312"/>
          <w:sz w:val="32"/>
        </w:rPr>
      </w:pPr>
      <w:r>
        <w:rPr>
          <w:rFonts w:ascii="仿宋_GB2312" w:hAnsi="仿宋_GB2312" w:eastAsia="仿宋_GB2312"/>
          <w:sz w:val="32"/>
        </w:rPr>
        <w:t>围绕“产业兴旺、生态宜居、乡风文明、治理有效、生活富裕”的目标，推进农村人居环境整治行动，做好垃圾整理，污水处理，村容村貌提升等工作，使农村变得更加生态，更加宜居，村民素质明显提升，村风民俗文明进步，让乡村迸发勃勃生机。</w:t>
      </w:r>
    </w:p>
    <w:p>
      <w:pPr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</w:p>
    <w:tbl>
      <w:tblPr>
        <w:tblStyle w:val="4"/>
        <w:tblW w:w="1478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276"/>
        <w:gridCol w:w="3402"/>
        <w:gridCol w:w="3402"/>
        <w:gridCol w:w="565"/>
        <w:gridCol w:w="852"/>
        <w:gridCol w:w="737"/>
        <w:gridCol w:w="737"/>
        <w:gridCol w:w="622"/>
        <w:gridCol w:w="115"/>
        <w:gridCol w:w="7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2" w:type="dxa"/>
          <w:trHeight w:val="90" w:hRule="atLeast"/>
          <w:tblHeader/>
          <w:jc w:val="center"/>
        </w:trPr>
        <w:tc>
          <w:tcPr>
            <w:tcW w:w="10986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808成安县辛义乡人民政府</w:t>
            </w:r>
          </w:p>
        </w:tc>
        <w:tc>
          <w:tcPr>
            <w:tcW w:w="294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341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职责活动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年度预算数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内容描述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绩效目标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绩效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指标</w:t>
            </w:r>
          </w:p>
        </w:tc>
        <w:tc>
          <w:tcPr>
            <w:tcW w:w="2948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评价标准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left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left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left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left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left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优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良</w:t>
            </w: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促进经济发展、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增加农民收入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68.7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学制定乡村发展规划，推动产业结构调整，根据本地产业优势，培育壮大本地支柱产业；营造良好的发展环境、扶持典型、示范引导，提高经济发展的质量和水平；加强农村基础设施建设和新型农村服务体系建设，落实强农惠农措施，促进农业发展，增加农民收入；大力发展民管经济，增强农村集体经济实力，培育和发展农村经济合作组织、经济实体、行业协会和中介组织，尊重农民的生产经营自主权，提高农民的自我发展能力；搞好农业新技术示范，促进农业新技术推广；搞好政策、信息、咨询服务，宣传国家投资方向、重点支持的产业产品，培训经济人才，及时为农民提供产、供、销等市场信息,发布经济致富信息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科学制定乡村发展规划，全力推进农业农村全面转型，提高经济发展的质量和水平。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促进经济发展、增加农民收入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≥90%</w:t>
            </w: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≥80%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＜80%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强化公共服务、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着力改善民生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62.2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60" w:lineRule="atLeas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拓展服务渠道，改进服务方式，通过“一站式”服务、办事代理制等多种形式，方便群众办事；推进依法行政，严格依法履行职责；推行行政机关首问办理制度，强化责任意识；着力解决群众生产生活中的突出问题，切实维护农民合法权益；加强农村市场体系建设，增强市场服务能力；加强农田水利基本建设，增强农业抗御自然灾害的能力；加强基础设施建设，改善农民生产生活环境；搞好科技、信息服务，提高农民运用现代信息技术水平；加强对农村劳动力的职业技能培训，做好农村社会保障工作，扩大农村新型合作医疗覆盖面，提高农民参合率，建立健全农村困难群众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最低生活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保障制度，做好烈军属、五保户养老金的社会化发放和申领资格认证，解除农民后顾之忧；做好育龄妇女普查和生殖健康检查；保证粮食直补，农资直补等各项惠农政策落实到户。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60" w:lineRule="atLeas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加强农田水利、基础设施建设；做好农村社会保障工作，提升为民服务能力。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pacing w:line="360" w:lineRule="atLeas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强化公共服务、着力改善民生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≥90%</w:t>
            </w: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≥80%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＜80%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>
            <w:pPr>
              <w:spacing w:line="376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　　加强社会管理、维护农村稳定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76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55.8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76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抓好农村思想政治建设和精神文明建设，加强农村教育、卫生、文化、体育、环境保护等社会事业的管理，促进农村经济社会的健康、和谐、可持续发展；加强计划生育管理，确保基本国策各项工作落到实处；加强安全生产管理，做好各项安全生产的监督检查、隐患排查，落实安全生产责任制；加强社会治安综合治理，综合发挥人民调解、行政调解和司法调解的作用，及时化解农村社会矛盾，消除社会不稳定因素；协助司法机关打击各类刑事犯罪活动，妥善处理突发性、群体性事件，确保人民群众生命财产安全；切实解决好农村征地、集体资产管理等方面损坏农民利益的突出问题，确保社会稳定；指导村民自治，积极稳妥有序推进农村新民居建设，促进社会组织健康发展，增强社会自治功能，完善村规民约，深化农村平安创建工作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76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全面贯彻落实党的路线、方针、政策，抓好农村环境卫生整治、扫黑除恶等工作。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加强社会管理、维护农村稳定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≥90%</w:t>
            </w: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≥80%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＜80%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推进基层民主、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促进农村和谐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28.04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坚持党的领导，保障农民群众的选举权；健全完善村党组织领导的充满活力的村民自治机构，保障村民的参与权；健全村务公开制度，保障农民群众的知情权；规范民主决策机制，拓展村民民主参与村级事务的渠道，调动村民群众生产生活中的突出问题，切实维护农民合法权益；创新方法，不断深化基层民主管理内涵，着力解决基层民主管理中的薄弱问题，进一步密切党群干群关系、巩固党的执政基础，促进和谐社会建设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全力加大对党员干部的学习教育培训力度，提升党员干部履职尽责能力和综合素质，密切党群干群关系、巩固党的执政基础，促进和谐社会建设。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推进基层民主、促进农村和谐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≥90%</w:t>
            </w: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≥80%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＜80%</w:t>
            </w:r>
          </w:p>
        </w:tc>
      </w:tr>
    </w:tbl>
    <w:p>
      <w:pPr>
        <w:spacing w:line="600" w:lineRule="exact"/>
        <w:jc w:val="left"/>
        <w:rPr>
          <w:rFonts w:ascii="仿宋" w:hAnsi="仿宋" w:eastAsia="仿宋" w:cs="仿宋"/>
          <w:sz w:val="32"/>
          <w:szCs w:val="32"/>
        </w:rPr>
        <w:sectPr>
          <w:pgSz w:w="16838" w:h="23811"/>
          <w:pgMar w:top="1701" w:right="1134" w:bottom="1701" w:left="1134" w:header="851" w:footer="992" w:gutter="0"/>
          <w:cols w:space="0" w:num="1"/>
          <w:docGrid w:type="linesAndChars" w:linePitch="315" w:charSpace="0"/>
        </w:sectPr>
      </w:pPr>
    </w:p>
    <w:bookmarkEnd w:id="0"/>
    <w:p>
      <w:pPr>
        <w:tabs>
          <w:tab w:val="left" w:pos="455"/>
        </w:tabs>
        <w:autoSpaceDE w:val="0"/>
        <w:autoSpaceDN w:val="0"/>
        <w:adjustRightInd w:val="0"/>
        <w:spacing w:afterLines="100" w:line="440" w:lineRule="exact"/>
        <w:ind w:firstLine="640" w:firstLineChars="200"/>
        <w:jc w:val="left"/>
        <w:rPr>
          <w:rFonts w:ascii="黑体" w:hAnsi="黑体" w:eastAsia="黑体" w:cs="楷体"/>
          <w:bCs/>
          <w:sz w:val="32"/>
          <w:szCs w:val="32"/>
        </w:rPr>
      </w:pPr>
      <w:r>
        <w:rPr>
          <w:rFonts w:hint="eastAsia" w:ascii="黑体" w:hAnsi="黑体" w:eastAsia="黑体" w:cs="楷体"/>
          <w:bCs/>
          <w:sz w:val="32"/>
          <w:szCs w:val="32"/>
        </w:rPr>
        <w:t>六、政府采购预算情况</w:t>
      </w:r>
    </w:p>
    <w:p>
      <w:pPr>
        <w:tabs>
          <w:tab w:val="left" w:pos="455"/>
        </w:tabs>
        <w:autoSpaceDE w:val="0"/>
        <w:autoSpaceDN w:val="0"/>
        <w:adjustRightInd w:val="0"/>
        <w:spacing w:afterLines="100" w:line="440" w:lineRule="exact"/>
        <w:ind w:firstLine="560" w:firstLineChars="200"/>
        <w:jc w:val="left"/>
        <w:rPr>
          <w:rFonts w:ascii="黑体" w:hAnsi="黑体" w:eastAsia="黑体" w:cs="楷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2019年我单位政府采购事项为打印机一台，价值0.3万元</w:t>
      </w:r>
      <w:r>
        <w:rPr>
          <w:rFonts w:hint="eastAsia" w:ascii="黑体" w:hAnsi="黑体" w:eastAsia="黑体" w:cs="楷体"/>
          <w:bCs/>
          <w:sz w:val="32"/>
          <w:szCs w:val="32"/>
        </w:rPr>
        <w:t>。</w:t>
      </w:r>
    </w:p>
    <w:tbl>
      <w:tblPr>
        <w:tblStyle w:val="4"/>
        <w:tblpPr w:leftFromText="180" w:rightFromText="180" w:vertAnchor="text" w:horzAnchor="margin" w:tblpXSpec="center" w:tblpY="705"/>
        <w:tblOverlap w:val="never"/>
        <w:tblW w:w="957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709"/>
        <w:gridCol w:w="708"/>
        <w:gridCol w:w="567"/>
        <w:gridCol w:w="709"/>
        <w:gridCol w:w="567"/>
        <w:gridCol w:w="709"/>
        <w:gridCol w:w="850"/>
        <w:gridCol w:w="709"/>
        <w:gridCol w:w="567"/>
        <w:gridCol w:w="425"/>
        <w:gridCol w:w="467"/>
        <w:gridCol w:w="4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tblHeader/>
        </w:trPr>
        <w:tc>
          <w:tcPr>
            <w:tcW w:w="5353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1" w:name="_Toc471398468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部门（单位）名称：辛义乡人民政府</w:t>
            </w:r>
          </w:p>
        </w:tc>
        <w:tc>
          <w:tcPr>
            <w:tcW w:w="4224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tblHeader/>
        </w:trPr>
        <w:tc>
          <w:tcPr>
            <w:tcW w:w="20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政府采购项目来源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采购物品名称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政府采购目录序号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数量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数量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单价</w:t>
            </w:r>
          </w:p>
        </w:tc>
        <w:tc>
          <w:tcPr>
            <w:tcW w:w="4224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政府采购金额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项目名称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预算资金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8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总计</w:t>
            </w:r>
          </w:p>
        </w:tc>
        <w:tc>
          <w:tcPr>
            <w:tcW w:w="301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当年部门预算安排资金</w:t>
            </w:r>
          </w:p>
        </w:tc>
        <w:tc>
          <w:tcPr>
            <w:tcW w:w="49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其他渠道资金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tblHeader/>
        </w:trPr>
        <w:tc>
          <w:tcPr>
            <w:tcW w:w="1242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8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合计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一般公共预算拨款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基金预算拨款</w:t>
            </w: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财政专户核拨</w:t>
            </w:r>
          </w:p>
        </w:tc>
        <w:tc>
          <w:tcPr>
            <w:tcW w:w="4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其他来源收入</w:t>
            </w:r>
          </w:p>
        </w:tc>
        <w:tc>
          <w:tcPr>
            <w:tcW w:w="497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合　计</w:t>
            </w: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0.3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0.3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0.3</w:t>
            </w:r>
          </w:p>
        </w:tc>
        <w:tc>
          <w:tcPr>
            <w:tcW w:w="567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67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97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2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日常公用经费</w:t>
            </w: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打印机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A02010199</w:t>
            </w:r>
          </w:p>
        </w:tc>
        <w:tc>
          <w:tcPr>
            <w:tcW w:w="567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0.3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0.3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0.3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0.3</w:t>
            </w:r>
          </w:p>
        </w:tc>
        <w:tc>
          <w:tcPr>
            <w:tcW w:w="567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67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97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600" w:lineRule="exact"/>
        <w:ind w:firstLine="640" w:firstLineChars="20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部门政府采购预算</w:t>
      </w:r>
      <w:bookmarkEnd w:id="1"/>
    </w:p>
    <w:p>
      <w:pPr>
        <w:spacing w:beforeLines="120" w:afterLines="50" w:line="600" w:lineRule="exact"/>
        <w:jc w:val="center"/>
        <w:outlineLvl w:val="0"/>
        <w:rPr>
          <w:rFonts w:ascii="黑体" w:hAnsi="黑体" w:eastAsia="黑体" w:cs="楷体"/>
          <w:bCs/>
          <w:sz w:val="32"/>
          <w:szCs w:val="32"/>
        </w:rPr>
      </w:pPr>
    </w:p>
    <w:p>
      <w:pPr>
        <w:spacing w:beforeLines="120" w:afterLines="50" w:line="600" w:lineRule="exact"/>
        <w:jc w:val="center"/>
        <w:outlineLvl w:val="0"/>
        <w:rPr>
          <w:rFonts w:ascii="黑体" w:hAnsi="黑体" w:eastAsia="黑体" w:cs="楷体"/>
          <w:bCs/>
          <w:sz w:val="32"/>
          <w:szCs w:val="32"/>
        </w:rPr>
      </w:pPr>
    </w:p>
    <w:p>
      <w:pPr>
        <w:spacing w:beforeLines="120" w:afterLines="50" w:line="600" w:lineRule="exact"/>
        <w:jc w:val="center"/>
        <w:outlineLvl w:val="0"/>
        <w:rPr>
          <w:rFonts w:ascii="黑体" w:hAnsi="黑体" w:eastAsia="黑体" w:cs="楷体"/>
          <w:bCs/>
          <w:sz w:val="32"/>
          <w:szCs w:val="32"/>
        </w:rPr>
      </w:pPr>
    </w:p>
    <w:p>
      <w:pPr>
        <w:spacing w:beforeLines="120" w:afterLines="50" w:line="600" w:lineRule="exact"/>
        <w:jc w:val="center"/>
        <w:outlineLvl w:val="0"/>
        <w:rPr>
          <w:rFonts w:ascii="黑体" w:hAnsi="黑体" w:eastAsia="黑体" w:cs="楷体"/>
          <w:bCs/>
          <w:sz w:val="32"/>
          <w:szCs w:val="32"/>
        </w:rPr>
      </w:pPr>
    </w:p>
    <w:p>
      <w:pPr>
        <w:spacing w:beforeLines="120" w:afterLines="50" w:line="600" w:lineRule="exact"/>
        <w:jc w:val="center"/>
        <w:outlineLvl w:val="0"/>
        <w:rPr>
          <w:rFonts w:ascii="黑体" w:hAnsi="黑体" w:eastAsia="黑体" w:cs="楷体"/>
          <w:bCs/>
          <w:sz w:val="32"/>
          <w:szCs w:val="32"/>
        </w:rPr>
      </w:pPr>
    </w:p>
    <w:p>
      <w:pPr>
        <w:spacing w:beforeLines="120" w:afterLines="50" w:line="600" w:lineRule="exact"/>
        <w:jc w:val="center"/>
        <w:outlineLvl w:val="0"/>
        <w:rPr>
          <w:rFonts w:ascii="黑体" w:hAnsi="黑体" w:eastAsia="黑体" w:cs="楷体"/>
          <w:bCs/>
          <w:sz w:val="32"/>
          <w:szCs w:val="32"/>
        </w:rPr>
      </w:pPr>
    </w:p>
    <w:p>
      <w:pPr>
        <w:spacing w:beforeLines="120" w:afterLines="50" w:line="600" w:lineRule="exact"/>
        <w:jc w:val="center"/>
        <w:outlineLvl w:val="0"/>
        <w:rPr>
          <w:rFonts w:ascii="黑体" w:hAnsi="黑体" w:eastAsia="黑体" w:cs="楷体"/>
          <w:bCs/>
          <w:sz w:val="32"/>
          <w:szCs w:val="32"/>
        </w:rPr>
      </w:pPr>
    </w:p>
    <w:p>
      <w:pPr>
        <w:spacing w:beforeLines="120" w:afterLines="50" w:line="40" w:lineRule="exact"/>
        <w:jc w:val="left"/>
        <w:outlineLvl w:val="0"/>
        <w:rPr>
          <w:rFonts w:ascii="黑体" w:hAnsi="黑体" w:eastAsia="黑体" w:cs="楷体"/>
          <w:bCs/>
          <w:sz w:val="32"/>
          <w:szCs w:val="32"/>
        </w:rPr>
      </w:pPr>
      <w:r>
        <w:rPr>
          <w:rFonts w:hint="eastAsia" w:ascii="黑体" w:hAnsi="黑体" w:eastAsia="黑体" w:cs="楷体"/>
          <w:bCs/>
          <w:sz w:val="32"/>
          <w:szCs w:val="32"/>
        </w:rPr>
        <w:t>七、国有资产信息</w:t>
      </w:r>
    </w:p>
    <w:p>
      <w:pPr>
        <w:spacing w:line="560" w:lineRule="exact"/>
        <w:ind w:firstLine="64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辛义乡人民政府（含所属单位）上年末固定资产金额为128.63528万元，本年度拟购置固定资产主要为计算机设备、打印机等，已列入政府采购预算。2019年我单位拟购置固定资产0.3万元。详见下表。</w:t>
      </w:r>
    </w:p>
    <w:p>
      <w:pPr>
        <w:spacing w:beforeLines="120" w:afterLines="50" w:line="40" w:lineRule="exact"/>
        <w:jc w:val="center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部门固定资产占用情况表</w:t>
      </w:r>
    </w:p>
    <w:p>
      <w:pPr>
        <w:autoSpaceDE w:val="0"/>
        <w:autoSpaceDN w:val="0"/>
        <w:adjustRightInd w:val="0"/>
        <w:spacing w:line="60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编制部门：成安县辛义乡人民政府             截止时间：2018年12月31日</w:t>
      </w:r>
    </w:p>
    <w:tbl>
      <w:tblPr>
        <w:tblStyle w:val="4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9"/>
        <w:gridCol w:w="753"/>
        <w:gridCol w:w="41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数量</w:t>
            </w:r>
          </w:p>
        </w:tc>
        <w:tc>
          <w:tcPr>
            <w:tcW w:w="4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价值（金额单位：万元）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资产总额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——</w:t>
            </w:r>
          </w:p>
        </w:tc>
        <w:tc>
          <w:tcPr>
            <w:tcW w:w="4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128.63528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、房屋（平方米）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800</w:t>
            </w:r>
          </w:p>
        </w:tc>
        <w:tc>
          <w:tcPr>
            <w:tcW w:w="4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其中：办公用房（平方米）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800</w:t>
            </w:r>
          </w:p>
        </w:tc>
        <w:tc>
          <w:tcPr>
            <w:tcW w:w="4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、车辆（台、辆）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11.48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、单价在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50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万元以上的设备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4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、其他固定资产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4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107.15528</w:t>
            </w:r>
          </w:p>
        </w:tc>
      </w:tr>
    </w:tbl>
    <w:p>
      <w:pPr>
        <w:spacing w:line="600" w:lineRule="exact"/>
        <w:jc w:val="center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黑体" w:hAnsi="黑体" w:eastAsia="黑体" w:cs="楷体"/>
          <w:bCs/>
          <w:sz w:val="32"/>
          <w:szCs w:val="32"/>
        </w:rPr>
      </w:pPr>
      <w:r>
        <w:rPr>
          <w:rFonts w:hint="eastAsia" w:ascii="黑体" w:hAnsi="黑体" w:eastAsia="黑体" w:cs="楷体"/>
          <w:bCs/>
          <w:sz w:val="32"/>
          <w:szCs w:val="32"/>
        </w:rPr>
        <w:t>八、名词解释</w:t>
      </w:r>
    </w:p>
    <w:p>
      <w:pPr>
        <w:pStyle w:val="12"/>
        <w:widowControl/>
        <w:spacing w:line="600" w:lineRule="exact"/>
        <w:ind w:left="1559" w:leftChars="304" w:hanging="921" w:hangingChars="288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1、财政拨款收入：指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财政当年拨付的资金。</w:t>
      </w:r>
    </w:p>
    <w:p>
      <w:pPr>
        <w:pStyle w:val="12"/>
        <w:widowControl/>
        <w:spacing w:line="600" w:lineRule="exact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“三公”经费：包括因公出国（境）费、公务接待费和公务用车购置及运行费。因公出国（境）费，指单位工作人员公务出国（境）的住宿费、差旅费、伙食补助费、杂费、培训费等支出。公务接待费，指单位按规定开支的各类公务接待（含外宾接待）支出。公务用车购置及运行费，指单位公务用车购置费及租用费、燃料费、维修费、等支出，公务用车指用于履行公务的机动车辆，包括领导干部专车、一般公务用车和执法执勤等业务用车。</w:t>
      </w:r>
    </w:p>
    <w:p>
      <w:pPr>
        <w:pStyle w:val="12"/>
        <w:widowControl/>
        <w:spacing w:line="600" w:lineRule="exact"/>
        <w:ind w:firstLine="64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3、年初结转和结余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指以前年度尚未完成，结转到本年仍按照原规定用途继续使用的资金，或项目已完成等产生的结余资金。 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 </w:t>
      </w:r>
    </w:p>
    <w:p>
      <w:pPr>
        <w:pStyle w:val="12"/>
        <w:widowControl/>
        <w:spacing w:line="600" w:lineRule="exact"/>
        <w:ind w:firstLine="64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4、基本支出：指单位为了保障其正常运转、完成日常工作任务而发生的人员支出和公用支出。 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 </w:t>
      </w:r>
    </w:p>
    <w:p>
      <w:pPr>
        <w:pStyle w:val="12"/>
        <w:widowControl/>
        <w:spacing w:line="600" w:lineRule="exact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5、项目支出：指单位为了特定的工作任务和事业发展目标，在基本支出之外所发生的支出。</w:t>
      </w:r>
    </w:p>
    <w:p>
      <w:pPr>
        <w:tabs>
          <w:tab w:val="left" w:pos="11490"/>
        </w:tabs>
        <w:spacing w:line="600" w:lineRule="exact"/>
        <w:ind w:firstLine="640" w:firstLineChars="200"/>
        <w:rPr>
          <w:rFonts w:ascii="黑体" w:hAnsi="黑体" w:eastAsia="黑体" w:cs="楷体"/>
          <w:b/>
          <w:sz w:val="32"/>
          <w:szCs w:val="32"/>
        </w:rPr>
      </w:pPr>
      <w:r>
        <w:rPr>
          <w:rFonts w:hint="eastAsia" w:ascii="黑体" w:hAnsi="黑体" w:eastAsia="黑体" w:cs="楷体"/>
          <w:b/>
          <w:sz w:val="32"/>
          <w:szCs w:val="32"/>
        </w:rPr>
        <w:t>九、其它需要说明的事项</w:t>
      </w:r>
    </w:p>
    <w:p>
      <w:pPr>
        <w:tabs>
          <w:tab w:val="left" w:pos="11490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无其它需要说明的事项。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134" w:right="794" w:bottom="1134" w:left="794" w:header="851" w:footer="992" w:gutter="0"/>
      <w:cols w:space="0" w:num="1"/>
      <w:docGrid w:type="linesAndChar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3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O0jWkC3AQAASAMAAA4AAAAAAAAAAAAAAAAALgIAAGRycy9lMm9Eb2MueG1s&#10;UEsBAi0AFAAGAAgAAAAhAAxK8O7WAAAABQEAAA8AAAAAAAAAAAAAAAAAEQQAAGRycy9kb3ducmV2&#10;LnhtbFBLBQYAAAAABAAEAPMAAAAU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eastAsiaTheme="minor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F0FD5"/>
    <w:multiLevelType w:val="singleLevel"/>
    <w:tmpl w:val="586F0FD5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6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1506F"/>
    <w:rsid w:val="0001506F"/>
    <w:rsid w:val="00052A7A"/>
    <w:rsid w:val="000F628B"/>
    <w:rsid w:val="00124C8E"/>
    <w:rsid w:val="0014278F"/>
    <w:rsid w:val="00197237"/>
    <w:rsid w:val="001C00B1"/>
    <w:rsid w:val="00206DD8"/>
    <w:rsid w:val="00257AE9"/>
    <w:rsid w:val="00367B30"/>
    <w:rsid w:val="003B4591"/>
    <w:rsid w:val="003E1BEB"/>
    <w:rsid w:val="003E5496"/>
    <w:rsid w:val="004D51AC"/>
    <w:rsid w:val="00511EB9"/>
    <w:rsid w:val="006D4C19"/>
    <w:rsid w:val="006E633F"/>
    <w:rsid w:val="00765F86"/>
    <w:rsid w:val="00790C43"/>
    <w:rsid w:val="00800730"/>
    <w:rsid w:val="00A33923"/>
    <w:rsid w:val="00A606B4"/>
    <w:rsid w:val="00B03F3C"/>
    <w:rsid w:val="00B47D30"/>
    <w:rsid w:val="00BA3A0F"/>
    <w:rsid w:val="00C069F3"/>
    <w:rsid w:val="00CD6BE6"/>
    <w:rsid w:val="00D31117"/>
    <w:rsid w:val="00E50C6B"/>
    <w:rsid w:val="00E76C84"/>
    <w:rsid w:val="00EC2A57"/>
    <w:rsid w:val="00EF77C8"/>
    <w:rsid w:val="00F01FC2"/>
    <w:rsid w:val="00FA4683"/>
    <w:rsid w:val="00FA72DD"/>
    <w:rsid w:val="08632D79"/>
    <w:rsid w:val="0ADD5DFA"/>
    <w:rsid w:val="0FC066DD"/>
    <w:rsid w:val="17F82F46"/>
    <w:rsid w:val="1FF66FEA"/>
    <w:rsid w:val="29A86EC0"/>
    <w:rsid w:val="37C7068E"/>
    <w:rsid w:val="3E032990"/>
    <w:rsid w:val="475D2A9C"/>
    <w:rsid w:val="514C3D74"/>
    <w:rsid w:val="57C40667"/>
    <w:rsid w:val="5CB1653A"/>
    <w:rsid w:val="602A4B95"/>
    <w:rsid w:val="644D0B88"/>
    <w:rsid w:val="73774CC6"/>
    <w:rsid w:val="747E02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7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  <w:style w:type="character" w:customStyle="1" w:styleId="9">
    <w:name w:val="font61"/>
    <w:basedOn w:val="5"/>
    <w:qFormat/>
    <w:uiPriority w:val="0"/>
    <w:rPr>
      <w:rFonts w:hint="default" w:ascii="方正书宋_GBK" w:hAnsi="方正书宋_GBK" w:eastAsia="方正书宋_GBK" w:cs="方正书宋_GBK"/>
      <w:b/>
      <w:color w:val="000000"/>
      <w:sz w:val="22"/>
      <w:szCs w:val="22"/>
      <w:u w:val="none"/>
    </w:rPr>
  </w:style>
  <w:style w:type="character" w:customStyle="1" w:styleId="10">
    <w:name w:val="font11"/>
    <w:basedOn w:val="5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1">
    <w:name w:val="font01"/>
    <w:basedOn w:val="5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paragraph" w:customStyle="1" w:styleId="12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1000</Words>
  <Characters>5705</Characters>
  <Lines>47</Lines>
  <Paragraphs>13</Paragraphs>
  <TotalTime>60</TotalTime>
  <ScaleCrop>false</ScaleCrop>
  <LinksUpToDate>false</LinksUpToDate>
  <CharactersWithSpaces>6692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2017-11-13T10:06:00Z</dcterms:created>
  <dc:creator>lenovo</dc:creator>
  <cp:lastModifiedBy>lenovo</cp:lastModifiedBy>
  <dcterms:modified xsi:type="dcterms:W3CDTF">2025-11-20T05:46:03Z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