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vertAlign w:val="superscript"/>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成安县发展和改革局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2019年部门预算公开情况说明</w:t>
      </w:r>
    </w:p>
    <w:p>
      <w:pPr>
        <w:widowControl/>
        <w:spacing w:line="360" w:lineRule="auto"/>
        <w:ind w:firstLine="640" w:firstLineChars="200"/>
        <w:jc w:val="left"/>
        <w:rPr>
          <w:rFonts w:ascii="仿宋_GB2312" w:hAnsi="Calibri" w:eastAsia="仿宋_GB2312" w:cs="仿宋_GB2312"/>
          <w:sz w:val="32"/>
          <w:szCs w:val="32"/>
        </w:rPr>
      </w:pPr>
    </w:p>
    <w:p>
      <w:pPr>
        <w:widowControl/>
        <w:spacing w:line="360" w:lineRule="auto"/>
        <w:ind w:firstLine="640" w:firstLineChars="200"/>
        <w:jc w:val="left"/>
        <w:rPr>
          <w:rFonts w:ascii="仿宋_GB2312" w:hAnsi="Calibri" w:eastAsia="仿宋_GB2312" w:cs="仿宋_GB2312"/>
          <w:sz w:val="32"/>
          <w:szCs w:val="32"/>
        </w:rPr>
      </w:pPr>
      <w:r>
        <w:rPr>
          <w:rFonts w:ascii="仿宋_GB2312" w:hAnsi="Calibri" w:eastAsia="仿宋_GB2312" w:cs="仿宋_GB2312"/>
          <w:sz w:val="32"/>
          <w:szCs w:val="32"/>
        </w:rPr>
        <w:t>按照《</w:t>
      </w:r>
      <w:r>
        <w:rPr>
          <w:rFonts w:hint="eastAsia" w:ascii="仿宋_GB2312" w:hAnsi="Calibri" w:eastAsia="仿宋_GB2312" w:cs="仿宋_GB2312"/>
          <w:sz w:val="32"/>
          <w:szCs w:val="32"/>
          <w:lang w:eastAsia="zh-CN"/>
        </w:rPr>
        <w:t>中华人民共和国</w:t>
      </w:r>
      <w:r>
        <w:rPr>
          <w:rFonts w:ascii="仿宋_GB2312" w:hAnsi="Calibri" w:eastAsia="仿宋_GB2312" w:cs="仿宋_GB2312"/>
          <w:sz w:val="32"/>
          <w:szCs w:val="32"/>
        </w:rPr>
        <w:t>预算法》有关规定</w:t>
      </w:r>
      <w:r>
        <w:rPr>
          <w:rFonts w:hint="eastAsia" w:ascii="仿宋_GB2312" w:hAnsi="Calibri" w:eastAsia="仿宋_GB2312" w:cs="仿宋_GB2312"/>
          <w:sz w:val="32"/>
          <w:szCs w:val="32"/>
        </w:rPr>
        <w:t>和</w:t>
      </w:r>
      <w:r>
        <w:rPr>
          <w:rFonts w:ascii="仿宋_GB2312" w:hAnsi="Calibri" w:eastAsia="仿宋_GB2312" w:cs="仿宋_GB2312"/>
          <w:sz w:val="32"/>
          <w:szCs w:val="32"/>
        </w:rPr>
        <w:t>财政部关于印发《地方预决算公开操作规程》的通知，现将</w:t>
      </w:r>
      <w:r>
        <w:rPr>
          <w:rFonts w:hint="eastAsia" w:ascii="仿宋_GB2312" w:hAnsi="Calibri" w:eastAsia="仿宋_GB2312" w:cs="仿宋_GB2312"/>
          <w:sz w:val="32"/>
          <w:szCs w:val="32"/>
        </w:rPr>
        <w:t>成安县发展改革</w:t>
      </w:r>
      <w:r>
        <w:rPr>
          <w:rFonts w:ascii="仿宋_GB2312" w:hAnsi="Calibri" w:eastAsia="仿宋_GB2312" w:cs="仿宋_GB2312"/>
          <w:sz w:val="32"/>
          <w:szCs w:val="32"/>
        </w:rPr>
        <w:t>局201</w:t>
      </w:r>
      <w:r>
        <w:rPr>
          <w:rFonts w:hint="eastAsia" w:ascii="仿宋_GB2312" w:hAnsi="Calibri" w:eastAsia="仿宋_GB2312" w:cs="仿宋_GB2312"/>
          <w:sz w:val="32"/>
          <w:szCs w:val="32"/>
        </w:rPr>
        <w:t>9</w:t>
      </w:r>
      <w:r>
        <w:rPr>
          <w:rFonts w:ascii="仿宋_GB2312" w:hAnsi="Calibri" w:eastAsia="仿宋_GB2312" w:cs="仿宋_GB2312"/>
          <w:sz w:val="32"/>
          <w:szCs w:val="32"/>
        </w:rPr>
        <w:t>年部门预算公开如下</w:t>
      </w:r>
      <w:r>
        <w:rPr>
          <w:rFonts w:hint="eastAsia" w:ascii="仿宋_GB2312" w:hAnsi="Calibri" w:eastAsia="仿宋_GB2312" w:cs="仿宋_GB2312"/>
          <w:sz w:val="32"/>
          <w:szCs w:val="32"/>
        </w:rPr>
        <w:t>：</w:t>
      </w:r>
    </w:p>
    <w:p>
      <w:pPr>
        <w:widowControl/>
        <w:numPr>
          <w:ilvl w:val="0"/>
          <w:numId w:val="1"/>
        </w:numPr>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部门职责及机构设置情况</w:t>
      </w:r>
    </w:p>
    <w:p>
      <w:pPr>
        <w:ind w:firstLine="640" w:firstLineChars="200"/>
        <w:jc w:val="left"/>
        <w:rPr>
          <w:rFonts w:ascii="仿宋" w:hAnsi="仿宋" w:eastAsia="仿宋"/>
          <w:sz w:val="32"/>
          <w:szCs w:val="32"/>
        </w:rPr>
      </w:pPr>
      <w:r>
        <w:rPr>
          <w:rFonts w:hint="eastAsia" w:ascii="仿宋" w:hAnsi="仿宋" w:eastAsia="仿宋"/>
          <w:sz w:val="32"/>
          <w:szCs w:val="32"/>
        </w:rPr>
        <w:t>成安县发展和改革局主要职责：贯彻执行国</w:t>
      </w:r>
      <w:bookmarkStart w:id="0" w:name="_GoBack"/>
      <w:bookmarkEnd w:id="0"/>
      <w:r>
        <w:rPr>
          <w:rFonts w:hint="eastAsia" w:ascii="仿宋" w:hAnsi="仿宋" w:eastAsia="仿宋"/>
          <w:sz w:val="32"/>
          <w:szCs w:val="32"/>
        </w:rPr>
        <w:t>家、省、市</w:t>
      </w:r>
      <w:r>
        <w:rPr>
          <w:rFonts w:hint="eastAsia" w:ascii="仿宋" w:hAnsi="仿宋" w:eastAsia="仿宋"/>
          <w:sz w:val="32"/>
          <w:szCs w:val="32"/>
          <w:lang w:eastAsia="zh-CN"/>
        </w:rPr>
        <w:t>、县</w:t>
      </w:r>
      <w:r>
        <w:rPr>
          <w:rFonts w:hint="eastAsia" w:ascii="仿宋" w:hAnsi="仿宋" w:eastAsia="仿宋"/>
          <w:sz w:val="32"/>
          <w:szCs w:val="32"/>
        </w:rPr>
        <w:t>国民经济和社会发展的战列、方针、政策，拟订并组织实施全县国民经济和社会发展战略、中长期规划和年度计划，统筹协调经济社会发展，研究分析经济形势，提出全县国民经济发展总体水平调控和优化重大经济结构的目标。负责全县财政、金融、投资等方面的情况预测。参与制定全县财政税收、金融投资、农村建设、畜牧养殖、土地政策、投资目标、城建规划、文化教育、信息监管、建筑监管等与全县人民息息相关的工作。承担着全县发展规划编制，重点项目建设推进，固定资产投资管理，上级资金争取，东部振兴、政务网和公开透明网建设、经济信息化建设等各项重点工作。编制成安发展改革“十四五”规划，对于全县抢抓机遇，实现又好又快发展出谋划策。</w:t>
      </w:r>
    </w:p>
    <w:p>
      <w:pPr>
        <w:autoSpaceDE w:val="0"/>
        <w:autoSpaceDN w:val="0"/>
        <w:adjustRightInd w:val="0"/>
        <w:ind w:firstLine="640" w:firstLineChars="200"/>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2902"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rPr>
            </w:pPr>
          </w:p>
        </w:tc>
        <w:tc>
          <w:tcPr>
            <w:tcW w:w="1134" w:type="dxa"/>
            <w:vMerge w:val="continue"/>
            <w:vAlign w:val="center"/>
          </w:tcPr>
          <w:p>
            <w:pPr>
              <w:spacing w:line="300" w:lineRule="exact"/>
              <w:jc w:val="left"/>
              <w:outlineLvl w:val="0"/>
              <w:rPr>
                <w:rFonts w:ascii="Times New Roman" w:hAnsi="Times New Roman" w:eastAsia="宋体" w:cs="Times New Roman"/>
              </w:rPr>
            </w:pPr>
          </w:p>
        </w:tc>
        <w:tc>
          <w:tcPr>
            <w:tcW w:w="1276" w:type="dxa"/>
            <w:vMerge w:val="continue"/>
            <w:vAlign w:val="center"/>
          </w:tcPr>
          <w:p>
            <w:pPr>
              <w:spacing w:line="300" w:lineRule="exact"/>
              <w:jc w:val="left"/>
              <w:outlineLvl w:val="0"/>
              <w:rPr>
                <w:rFonts w:ascii="Times New Roman" w:hAnsi="Times New Roman" w:eastAsia="宋体" w:cs="Times New Roman"/>
              </w:rPr>
            </w:pPr>
          </w:p>
        </w:tc>
        <w:tc>
          <w:tcPr>
            <w:tcW w:w="2902" w:type="dxa"/>
            <w:vMerge w:val="continue"/>
            <w:vAlign w:val="center"/>
          </w:tcPr>
          <w:p>
            <w:pPr>
              <w:spacing w:line="300" w:lineRule="exact"/>
              <w:jc w:val="left"/>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成安县发展和改革局</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行政</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财政性资全额补助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1"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粮食和物资储备局</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财政性资全额补助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3317"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商务局</w:t>
            </w:r>
          </w:p>
        </w:tc>
        <w:tc>
          <w:tcPr>
            <w:tcW w:w="1134"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事业</w:t>
            </w:r>
          </w:p>
        </w:tc>
        <w:tc>
          <w:tcPr>
            <w:tcW w:w="1276"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正科</w:t>
            </w:r>
          </w:p>
        </w:tc>
        <w:tc>
          <w:tcPr>
            <w:tcW w:w="2902" w:type="dxa"/>
            <w:vAlign w:val="center"/>
          </w:tcPr>
          <w:p>
            <w:pPr>
              <w:spacing w:line="300" w:lineRule="exact"/>
              <w:jc w:val="center"/>
              <w:rPr>
                <w:rFonts w:ascii="Times New Roman" w:hAnsi="Times New Roman" w:eastAsia="方正书宋_GBK" w:cs="方正书宋_GBK"/>
                <w:bCs/>
              </w:rPr>
            </w:pPr>
            <w:r>
              <w:rPr>
                <w:rFonts w:hint="eastAsia" w:ascii="Times New Roman" w:hAnsi="Times New Roman" w:eastAsia="方正书宋_GBK" w:cs="方正书宋_GBK"/>
                <w:bCs/>
              </w:rPr>
              <w:t>财政性资全额补助</w:t>
            </w:r>
          </w:p>
        </w:tc>
      </w:tr>
    </w:tbl>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成安县发展和改革局，预算编码是303，内设3个内部机构。</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1、粮食和物资储备局</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 xml:space="preserve">主要负责：全县粮食流通和物资储备工作。 </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2、商务局</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主要负责：全县的招商引资。</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3、发改局</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主要负责：全县发展规划目标定制和全县经济运行监督检测。</w:t>
      </w:r>
    </w:p>
    <w:p>
      <w:pPr>
        <w:widowControl/>
        <w:spacing w:line="360" w:lineRule="auto"/>
        <w:ind w:firstLine="640" w:firstLineChars="200"/>
        <w:jc w:val="left"/>
        <w:rPr>
          <w:rFonts w:ascii="Calibri" w:hAnsi="Calibri" w:eastAsia="仿宋_GB2312" w:cs="Calibri"/>
          <w:b/>
          <w:kern w:val="0"/>
          <w:sz w:val="32"/>
          <w:szCs w:val="32"/>
        </w:rPr>
      </w:pPr>
      <w:r>
        <w:rPr>
          <w:rFonts w:hint="eastAsia" w:ascii="Calibri" w:hAnsi="Calibri" w:eastAsia="仿宋_GB2312" w:cs="Calibri"/>
          <w:b/>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成安县发展和改革局，人员编制78名，其中领导职数9个。</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ind w:firstLine="640" w:firstLineChars="200"/>
        <w:rPr>
          <w:rFonts w:ascii="宋体" w:hAnsi="宋体" w:eastAsia="宋体" w:cs="宋体"/>
          <w:kern w:val="0"/>
          <w:sz w:val="18"/>
          <w:szCs w:val="18"/>
        </w:rPr>
      </w:pPr>
      <w:r>
        <w:rPr>
          <w:rFonts w:ascii="仿宋" w:hAnsi="仿宋" w:eastAsia="仿宋" w:cs="仿宋"/>
          <w:bCs/>
          <w:kern w:val="0"/>
          <w:sz w:val="32"/>
          <w:szCs w:val="32"/>
        </w:rPr>
        <w:t>201</w:t>
      </w:r>
      <w:r>
        <w:rPr>
          <w:rFonts w:hint="eastAsia" w:ascii="仿宋" w:hAnsi="仿宋" w:eastAsia="仿宋" w:cs="仿宋"/>
          <w:bCs/>
          <w:kern w:val="0"/>
          <w:sz w:val="32"/>
          <w:szCs w:val="32"/>
        </w:rPr>
        <w:t>9年预算收入</w:t>
      </w:r>
      <w:r>
        <w:rPr>
          <w:rFonts w:hint="eastAsia" w:ascii="宋体" w:hAnsi="宋体" w:eastAsia="宋体" w:cs="宋体"/>
          <w:kern w:val="0"/>
          <w:sz w:val="32"/>
          <w:szCs w:val="32"/>
        </w:rPr>
        <w:t>5941.75</w:t>
      </w:r>
      <w:r>
        <w:rPr>
          <w:rFonts w:hint="eastAsia" w:ascii="仿宋" w:hAnsi="仿宋" w:eastAsia="仿宋" w:cs="仿宋"/>
          <w:bCs/>
          <w:kern w:val="0"/>
          <w:sz w:val="32"/>
          <w:szCs w:val="32"/>
        </w:rPr>
        <w:t>万元，其中：项目预算收入5219.89 ，一般基本预算收入</w:t>
      </w:r>
      <w:r>
        <w:rPr>
          <w:rFonts w:hint="eastAsia" w:ascii="宋体" w:hAnsi="宋体" w:eastAsia="宋体" w:cs="宋体"/>
          <w:kern w:val="0"/>
          <w:sz w:val="32"/>
          <w:szCs w:val="32"/>
        </w:rPr>
        <w:t>721.86</w:t>
      </w:r>
      <w:r>
        <w:rPr>
          <w:rFonts w:hint="eastAsia" w:ascii="仿宋" w:hAnsi="仿宋" w:eastAsia="仿宋" w:cs="仿宋"/>
          <w:bCs/>
          <w:kern w:val="0"/>
          <w:sz w:val="32"/>
          <w:szCs w:val="32"/>
        </w:rPr>
        <w:t>万元，政府性基金收入0万元，国有资本经营收入0万元，事业收入0万元，其他收入0万元。</w:t>
      </w:r>
    </w:p>
    <w:p>
      <w:pPr>
        <w:spacing w:line="560" w:lineRule="exact"/>
        <w:ind w:firstLine="640"/>
        <w:rPr>
          <w:rFonts w:ascii="华文楷体" w:hAnsi="华文楷体" w:eastAsia="华文楷体" w:cs="仿宋"/>
          <w:b/>
          <w:bCs/>
          <w:kern w:val="0"/>
          <w:sz w:val="32"/>
          <w:szCs w:val="32"/>
        </w:rPr>
      </w:pPr>
      <w:r>
        <w:rPr>
          <w:rFonts w:ascii="华文楷体" w:hAnsi="华文楷体" w:eastAsia="华文楷体" w:cs="仿宋"/>
          <w:b/>
          <w:bCs/>
          <w:kern w:val="0"/>
          <w:sz w:val="32"/>
          <w:szCs w:val="32"/>
        </w:rPr>
        <w:t>2</w:t>
      </w:r>
      <w:r>
        <w:rPr>
          <w:rFonts w:hint="eastAsia" w:ascii="华文楷体" w:hAnsi="华文楷体" w:eastAsia="华文楷体" w:cs="仿宋"/>
          <w:b/>
          <w:bCs/>
          <w:kern w:val="0"/>
          <w:sz w:val="32"/>
          <w:szCs w:val="32"/>
        </w:rPr>
        <w:t>、支出说明</w:t>
      </w:r>
    </w:p>
    <w:p>
      <w:pPr>
        <w:spacing w:line="560" w:lineRule="exact"/>
        <w:ind w:firstLine="640"/>
        <w:rPr>
          <w:rFonts w:ascii="Times New Roman" w:hAnsi="Times New Roman" w:eastAsia="方正仿宋_GBK" w:cs="Times New Roman"/>
          <w:sz w:val="32"/>
          <w:szCs w:val="32"/>
        </w:rPr>
      </w:pPr>
      <w:r>
        <w:rPr>
          <w:rFonts w:ascii="仿宋" w:hAnsi="仿宋" w:eastAsia="仿宋" w:cs="仿宋"/>
          <w:bCs/>
          <w:kern w:val="0"/>
          <w:sz w:val="32"/>
          <w:szCs w:val="32"/>
        </w:rPr>
        <w:t>201</w:t>
      </w:r>
      <w:r>
        <w:rPr>
          <w:rFonts w:hint="eastAsia" w:ascii="仿宋" w:hAnsi="仿宋" w:eastAsia="仿宋" w:cs="仿宋"/>
          <w:bCs/>
          <w:kern w:val="0"/>
          <w:sz w:val="32"/>
          <w:szCs w:val="32"/>
        </w:rPr>
        <w:t>9年支出预算</w:t>
      </w:r>
      <w:r>
        <w:rPr>
          <w:rFonts w:hint="eastAsia" w:ascii="宋体" w:hAnsi="宋体" w:eastAsia="宋体" w:cs="宋体"/>
          <w:kern w:val="0"/>
          <w:sz w:val="32"/>
          <w:szCs w:val="32"/>
        </w:rPr>
        <w:t>5941.75</w:t>
      </w:r>
      <w:r>
        <w:rPr>
          <w:rFonts w:hint="eastAsia" w:ascii="仿宋" w:hAnsi="仿宋" w:eastAsia="仿宋" w:cs="仿宋"/>
          <w:bCs/>
          <w:kern w:val="0"/>
          <w:sz w:val="32"/>
          <w:szCs w:val="32"/>
        </w:rPr>
        <w:t>万元，其中基本支出</w:t>
      </w:r>
      <w:r>
        <w:rPr>
          <w:rFonts w:hint="eastAsia" w:ascii="宋体" w:hAnsi="宋体" w:eastAsia="宋体" w:cs="宋体"/>
          <w:kern w:val="0"/>
          <w:sz w:val="32"/>
          <w:szCs w:val="32"/>
        </w:rPr>
        <w:t>721.86</w:t>
      </w:r>
      <w:r>
        <w:rPr>
          <w:rFonts w:hint="eastAsia" w:ascii="仿宋" w:hAnsi="仿宋" w:eastAsia="仿宋" w:cs="仿宋"/>
          <w:bCs/>
          <w:kern w:val="0"/>
          <w:sz w:val="32"/>
          <w:szCs w:val="32"/>
        </w:rPr>
        <w:t>万元，包括人员经费671.61万元，日常公用经费50.25万元，项目支出5219.89万元</w:t>
      </w:r>
      <w:r>
        <w:rPr>
          <w:rFonts w:hint="eastAsia" w:ascii="Times New Roman" w:hAnsi="Times New Roman" w:eastAsia="方正仿宋_GBK" w:cs="方正仿宋_GBK"/>
          <w:sz w:val="32"/>
          <w:szCs w:val="32"/>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widowControl/>
        <w:spacing w:line="360" w:lineRule="auto"/>
        <w:ind w:firstLine="640" w:firstLineChars="200"/>
        <w:jc w:val="left"/>
        <w:rPr>
          <w:rFonts w:ascii="仿宋_GB2312" w:hAnsi="Calibri" w:eastAsia="仿宋_GB2312" w:cs="仿宋_GB2312"/>
          <w:kern w:val="0"/>
          <w:sz w:val="32"/>
          <w:szCs w:val="32"/>
        </w:rPr>
      </w:pPr>
      <w:r>
        <w:rPr>
          <w:rFonts w:ascii="宋体" w:hAnsi="宋体" w:eastAsia="宋体" w:cs="Times New Roman"/>
          <w:sz w:val="32"/>
          <w:szCs w:val="32"/>
        </w:rPr>
        <w:t>2</w:t>
      </w:r>
      <w:r>
        <w:rPr>
          <w:rFonts w:ascii="仿宋" w:hAnsi="仿宋" w:eastAsia="仿宋" w:cs="仿宋"/>
          <w:bCs/>
          <w:kern w:val="0"/>
          <w:sz w:val="32"/>
          <w:szCs w:val="32"/>
        </w:rPr>
        <w:t>01</w:t>
      </w:r>
      <w:r>
        <w:rPr>
          <w:rFonts w:hint="eastAsia" w:ascii="仿宋" w:hAnsi="仿宋" w:eastAsia="仿宋" w:cs="仿宋"/>
          <w:bCs/>
          <w:kern w:val="0"/>
          <w:sz w:val="32"/>
          <w:szCs w:val="32"/>
        </w:rPr>
        <w:t>9年预算收支安排</w:t>
      </w:r>
      <w:r>
        <w:rPr>
          <w:rFonts w:hint="eastAsia" w:ascii="宋体" w:hAnsi="宋体" w:eastAsia="宋体" w:cs="宋体"/>
          <w:kern w:val="0"/>
          <w:sz w:val="32"/>
          <w:szCs w:val="32"/>
        </w:rPr>
        <w:t>5941.75</w:t>
      </w:r>
      <w:r>
        <w:rPr>
          <w:rFonts w:hint="eastAsia" w:ascii="仿宋" w:hAnsi="仿宋" w:eastAsia="仿宋" w:cs="仿宋"/>
          <w:bCs/>
          <w:kern w:val="0"/>
          <w:sz w:val="32"/>
          <w:szCs w:val="32"/>
        </w:rPr>
        <w:t>万元，较</w:t>
      </w:r>
      <w:r>
        <w:rPr>
          <w:rFonts w:ascii="仿宋" w:hAnsi="仿宋" w:eastAsia="仿宋" w:cs="仿宋"/>
          <w:bCs/>
          <w:kern w:val="0"/>
          <w:sz w:val="32"/>
          <w:szCs w:val="32"/>
        </w:rPr>
        <w:t>201</w:t>
      </w:r>
      <w:r>
        <w:rPr>
          <w:rFonts w:hint="eastAsia" w:ascii="仿宋" w:hAnsi="仿宋" w:eastAsia="仿宋" w:cs="仿宋"/>
          <w:bCs/>
          <w:kern w:val="0"/>
          <w:sz w:val="32"/>
          <w:szCs w:val="32"/>
        </w:rPr>
        <w:t>8年预算增加5765.89万元，其中：基本支出增加549.59万元，项目增加5000万元，主要因机构改革增加项目和人员工资及经费支出。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机关运行经费共计安排50.25万元，主要用于办公区的日常维修、办公用房水电费、邮电费、办公用房取暖费、办公用房物业管理费等日常运行支出。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ascii="仿宋" w:hAnsi="仿宋" w:eastAsia="仿宋" w:cs="仿宋"/>
          <w:bCs/>
          <w:kern w:val="0"/>
          <w:sz w:val="32"/>
          <w:szCs w:val="32"/>
        </w:rPr>
        <w:t>201</w:t>
      </w:r>
      <w:r>
        <w:rPr>
          <w:rFonts w:hint="eastAsia" w:ascii="仿宋" w:hAnsi="仿宋" w:eastAsia="仿宋" w:cs="仿宋"/>
          <w:bCs/>
          <w:kern w:val="0"/>
          <w:sz w:val="32"/>
          <w:szCs w:val="32"/>
        </w:rPr>
        <w:t>9年，我单位“三公”经费预算安排4.5万元，其中因公出国（境）费0万元与去年持平；公务用车购置及运维费4.5万元（其中：公务用车购置费为0万元，公务用车运行费4.5万元</w:t>
      </w:r>
      <w:r>
        <w:rPr>
          <w:rFonts w:ascii="仿宋" w:hAnsi="仿宋" w:eastAsia="仿宋" w:cs="仿宋"/>
          <w:bCs/>
          <w:kern w:val="0"/>
          <w:sz w:val="32"/>
          <w:szCs w:val="32"/>
        </w:rPr>
        <w:t>)</w:t>
      </w:r>
      <w:r>
        <w:rPr>
          <w:rFonts w:hint="eastAsia" w:ascii="仿宋" w:hAnsi="仿宋" w:eastAsia="仿宋" w:cs="仿宋"/>
          <w:bCs/>
          <w:kern w:val="0"/>
          <w:sz w:val="32"/>
          <w:szCs w:val="32"/>
        </w:rPr>
        <w:t>；公务接待费0万元与去年持平。公务用车维护费2019年较2018年减少了5%，2019年实行车补，油修费用预算</w:t>
      </w:r>
      <w:r>
        <w:rPr>
          <w:rFonts w:hint="eastAsia" w:ascii="仿宋" w:hAnsi="仿宋" w:eastAsia="仿宋" w:cs="仿宋"/>
          <w:bCs/>
          <w:kern w:val="0"/>
          <w:sz w:val="32"/>
          <w:szCs w:val="32"/>
          <w:lang w:eastAsia="zh-CN"/>
        </w:rPr>
        <w:t>安</w:t>
      </w:r>
      <w:r>
        <w:rPr>
          <w:rFonts w:hint="eastAsia" w:ascii="仿宋" w:hAnsi="仿宋" w:eastAsia="仿宋" w:cs="仿宋"/>
          <w:bCs/>
          <w:kern w:val="0"/>
          <w:sz w:val="32"/>
          <w:szCs w:val="32"/>
        </w:rPr>
        <w:t>排减少。</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widowControl/>
        <w:spacing w:line="360" w:lineRule="atLeas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(一)总体绩效目标</w:t>
      </w:r>
    </w:p>
    <w:p>
      <w:pPr>
        <w:widowControl/>
        <w:spacing w:line="360" w:lineRule="atLeas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增强规划和计划的前瞻性、科学性、可操作性；规划目标全面、先进、可行；组织落实措施得力，调度有序。确保重点领域和区域经济社会规划与国民经济和社会发展规划、计划的衔接和协调；与北京、天津开展战略合作，推动合作协议的落实，深化拓展合作领域，实质性推动一批重大合作事项进展；加强项目监管，保证建设项目工程质量和建设资金安全及有效使用，维护国家和社会公共利益。处罚项目建设中重大突出违法问题；招投标管理制度完善，操作实施规范，应依法必须招投标项目覆盖全面；行业协会管理体制科学规范，行业协会与政府、企业间桥梁、纽带、参谋、助手作用充分发挥。</w:t>
      </w:r>
    </w:p>
    <w:p>
      <w:pPr>
        <w:widowControl/>
        <w:spacing w:line="360" w:lineRule="atLeas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分项</w:t>
      </w:r>
      <w:r>
        <w:rPr>
          <w:rFonts w:hint="eastAsia" w:ascii="仿宋" w:hAnsi="仿宋" w:eastAsia="仿宋" w:cs="宋体"/>
          <w:color w:val="000000"/>
          <w:kern w:val="0"/>
          <w:sz w:val="32"/>
          <w:szCs w:val="32"/>
        </w:rPr>
        <w:t>绩效目标</w:t>
      </w:r>
    </w:p>
    <w:p>
      <w:pPr>
        <w:widowControl/>
        <w:spacing w:line="36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经济社会发展计划切实体现县委、县政府决策目标和部署确保重点领域和区域经济社会规划与国民经济和社会发展规划、计划的衔接和协调稳步提高1、全县利用外资、境外投资规模和水平。引进县外资金技术人才明显增加；2、推进经济社会健康协调发展，提升全县经济、装备动员能力。协调推进文化、教育、体育、卫生、养老、社会救助等基本公共服务体系建设，促进全县社会公共服务均等化；3、推进全县统一的信用信息数据库和共享、公示平台；4、与北京、天津开展战略合作，推动合作协议的落实，深化拓展合作领域，实质性推动一批重大合作事项进展。</w:t>
      </w:r>
    </w:p>
    <w:p>
      <w:pPr>
        <w:widowControl/>
        <w:spacing w:line="360" w:lineRule="atLeast"/>
        <w:ind w:firstLine="160" w:firstLineChars="50"/>
        <w:rPr>
          <w:rFonts w:ascii="仿宋" w:hAnsi="仿宋" w:eastAsia="仿宋" w:cs="宋体"/>
          <w:color w:val="000000"/>
          <w:kern w:val="0"/>
          <w:sz w:val="32"/>
          <w:szCs w:val="32"/>
        </w:rPr>
      </w:pPr>
      <w:r>
        <w:rPr>
          <w:rFonts w:hint="eastAsia" w:ascii="仿宋" w:hAnsi="仿宋" w:eastAsia="仿宋" w:cs="宋体"/>
          <w:color w:val="000000"/>
          <w:kern w:val="0"/>
          <w:sz w:val="32"/>
          <w:szCs w:val="32"/>
        </w:rPr>
        <w:t>5、加强区域经济发展管理工作，提高县域经济发展水平，改善重点流域水环境；6、掌握我县农业资源现状及动态变化，培育壮大我县战略性新兴产业，提高自主创新能力，促进产业转型升级；7、加快物流产业聚集区建设；争取省和国家经贸流通领域和服务业产业发展引导资金；加快物流产业聚集区、已列入物流发展规划的重点项目、农产品物流项目交易设施改造升级及大型冷链物流项目建设；</w:t>
      </w:r>
    </w:p>
    <w:p>
      <w:pPr>
        <w:widowControl/>
        <w:spacing w:line="360" w:lineRule="atLeast"/>
        <w:ind w:firstLine="160" w:firstLineChars="50"/>
        <w:rPr>
          <w:rFonts w:ascii="仿宋" w:hAnsi="仿宋" w:eastAsia="仿宋" w:cs="宋体"/>
          <w:color w:val="000000"/>
          <w:kern w:val="0"/>
          <w:sz w:val="32"/>
          <w:szCs w:val="32"/>
        </w:rPr>
      </w:pPr>
      <w:r>
        <w:rPr>
          <w:rFonts w:hint="eastAsia" w:ascii="仿宋" w:hAnsi="仿宋" w:eastAsia="仿宋" w:cs="宋体"/>
          <w:color w:val="000000"/>
          <w:kern w:val="0"/>
          <w:sz w:val="32"/>
          <w:szCs w:val="32"/>
        </w:rPr>
        <w:t>8、发挥专项资金的引导和激励的作用，通过采取补助、奖励等方式调动企业节能降耗的积极性，确保完成节能、降碳目标任务；电能使用效率不断提高；积极助推节能减排和大气污染防治；确保实现年度单位GDP能耗下降率；9、按时编制并提交年度预算内基建项目安排建议，并落实到具体项目；足额保证县委、县政府确定的重点基建投资项目；落实与中央、省投资项目配套；及时下达预算内基建项目投资计划，提高县级政务设施服务保障能力；10、承办县委、县政府交办的其它事项。</w:t>
      </w:r>
    </w:p>
    <w:p>
      <w:pPr>
        <w:autoSpaceDE w:val="0"/>
        <w:autoSpaceDN w:val="0"/>
        <w:adjustRightInd w:val="0"/>
        <w:spacing w:line="560" w:lineRule="exact"/>
        <w:ind w:left="198"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rPr>
        <w:t xml:space="preserve">（三）工作保障措施 </w:t>
      </w:r>
    </w:p>
    <w:p>
      <w:pPr>
        <w:autoSpaceDE w:val="0"/>
        <w:autoSpaceDN w:val="0"/>
        <w:adjustRightInd w:val="0"/>
        <w:spacing w:line="560" w:lineRule="exact"/>
        <w:ind w:left="198"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1、严格</w:t>
      </w:r>
      <w:r>
        <w:rPr>
          <w:rFonts w:hint="eastAsia" w:ascii="仿宋" w:hAnsi="仿宋" w:eastAsia="仿宋"/>
          <w:sz w:val="32"/>
          <w:szCs w:val="32"/>
        </w:rPr>
        <w:t>落实县委县政府决策部署，依据发展规划和年度计划，确保重点领域和区域经济社会规划与国民经济和社会发展规划衔接和协调；2、增强规划前瞻性、科学性、可操作性；规划目标全面、先进、可行；组织落实措施得力，调度有序；3、配合国家首都经济圈发展规划，做好与国家规划的有效衔接；4、加强重点项目谋划、协调、督导，推动重点项目顺利实施。加强项目监管，保证建设项目工程质量和建设资金安全及有效使用，维护国家和社会公共利益。</w:t>
      </w:r>
    </w:p>
    <w:p>
      <w:pPr>
        <w:autoSpaceDE w:val="0"/>
        <w:autoSpaceDN w:val="0"/>
        <w:adjustRightInd w:val="0"/>
        <w:spacing w:line="560" w:lineRule="exact"/>
        <w:ind w:left="198" w:firstLine="640" w:firstLineChars="200"/>
        <w:jc w:val="center"/>
        <w:rPr>
          <w:rFonts w:ascii="仿宋" w:hAnsi="仿宋" w:eastAsia="仿宋" w:cs="仿宋"/>
          <w:bCs/>
          <w:kern w:val="0"/>
          <w:sz w:val="32"/>
          <w:szCs w:val="32"/>
        </w:rPr>
      </w:pPr>
      <w:r>
        <w:rPr>
          <w:rFonts w:hint="eastAsia" w:ascii="仿宋" w:hAnsi="仿宋" w:eastAsia="仿宋" w:cs="仿宋"/>
          <w:bCs/>
          <w:kern w:val="0"/>
          <w:sz w:val="32"/>
          <w:szCs w:val="32"/>
        </w:rPr>
        <w:t>部门职责-工作活动绩效目标</w:t>
      </w:r>
    </w:p>
    <w:tbl>
      <w:tblPr>
        <w:tblStyle w:val="6"/>
        <w:tblW w:w="14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112"/>
        <w:gridCol w:w="3140"/>
        <w:gridCol w:w="2976"/>
        <w:gridCol w:w="1417"/>
        <w:gridCol w:w="972"/>
        <w:gridCol w:w="851"/>
        <w:gridCol w:w="850"/>
        <w:gridCol w:w="9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ascii="方正小标宋_GBK" w:eastAsia="方正小标宋_GBK"/>
                <w:sz w:val="24"/>
              </w:rPr>
              <w:t>303</w:t>
            </w:r>
            <w:r>
              <w:rPr>
                <w:rFonts w:hint="eastAsia" w:ascii="方正小标宋_GBK" w:eastAsia="方正小标宋_GBK"/>
                <w:sz w:val="24"/>
              </w:rPr>
              <w:t>成安县发展改革局</w:t>
            </w:r>
          </w:p>
        </w:tc>
        <w:tc>
          <w:tcPr>
            <w:tcW w:w="3584"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职责活动</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年度预算数</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绩效指标</w:t>
            </w:r>
          </w:p>
        </w:tc>
        <w:tc>
          <w:tcPr>
            <w:tcW w:w="3584" w:type="dxa"/>
            <w:gridSpan w:val="4"/>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20" w:firstLineChars="200"/>
              <w:jc w:val="left"/>
              <w:outlineLvl w:val="0"/>
            </w:pPr>
          </w:p>
        </w:tc>
        <w:tc>
          <w:tcPr>
            <w:tcW w:w="1112" w:type="dxa"/>
            <w:vMerge w:val="continue"/>
            <w:shd w:val="clear" w:color="auto" w:fill="auto"/>
            <w:vAlign w:val="center"/>
          </w:tcPr>
          <w:p>
            <w:pPr>
              <w:spacing w:line="300" w:lineRule="exact"/>
              <w:ind w:firstLine="420" w:firstLineChars="200"/>
              <w:jc w:val="left"/>
              <w:outlineLvl w:val="0"/>
            </w:pPr>
          </w:p>
        </w:tc>
        <w:tc>
          <w:tcPr>
            <w:tcW w:w="3140" w:type="dxa"/>
            <w:vMerge w:val="continue"/>
            <w:shd w:val="clear" w:color="auto" w:fill="auto"/>
            <w:vAlign w:val="center"/>
          </w:tcPr>
          <w:p>
            <w:pPr>
              <w:spacing w:line="300" w:lineRule="exact"/>
              <w:ind w:firstLine="420" w:firstLineChars="200"/>
              <w:jc w:val="left"/>
              <w:outlineLvl w:val="0"/>
            </w:pPr>
          </w:p>
        </w:tc>
        <w:tc>
          <w:tcPr>
            <w:tcW w:w="2976" w:type="dxa"/>
            <w:vMerge w:val="continue"/>
            <w:shd w:val="clear" w:color="auto" w:fill="auto"/>
            <w:vAlign w:val="center"/>
          </w:tcPr>
          <w:p>
            <w:pPr>
              <w:spacing w:line="300" w:lineRule="exact"/>
              <w:ind w:firstLine="420" w:firstLineChars="200"/>
              <w:jc w:val="left"/>
              <w:outlineLvl w:val="0"/>
            </w:pPr>
          </w:p>
        </w:tc>
        <w:tc>
          <w:tcPr>
            <w:tcW w:w="1417" w:type="dxa"/>
            <w:vMerge w:val="continue"/>
            <w:shd w:val="clear" w:color="auto" w:fill="auto"/>
            <w:vAlign w:val="center"/>
          </w:tcPr>
          <w:p>
            <w:pPr>
              <w:spacing w:line="300" w:lineRule="exact"/>
              <w:ind w:firstLine="420" w:firstLineChars="200"/>
              <w:jc w:val="left"/>
              <w:outlineLvl w:val="0"/>
            </w:pPr>
          </w:p>
        </w:tc>
        <w:tc>
          <w:tcPr>
            <w:tcW w:w="972"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优</w:t>
            </w:r>
          </w:p>
        </w:tc>
        <w:tc>
          <w:tcPr>
            <w:tcW w:w="85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良</w:t>
            </w:r>
          </w:p>
        </w:tc>
        <w:tc>
          <w:tcPr>
            <w:tcW w:w="850"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中</w:t>
            </w:r>
          </w:p>
        </w:tc>
        <w:tc>
          <w:tcPr>
            <w:tcW w:w="91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组织编制经济社会发展规划和计划</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组织拟订县级经济社会发展规划。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增强规划和计划的前瞻性、科学性、可操作性；规划目标全面、先进、可行；组织落实措施得力，调度有序。</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经济社会发展中长期规划编制</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6.00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组织拟定县级经济社会发展中长期规划统筹协调县级专项规划和区域规划。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规划和计划前瞻性、科学性、可操作性较强；规划目标全面、先进、可行。</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各类经济社会发展中长期规划编制完成率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年度经济社会发展计划编制</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根据县级经济社会发展战略规划，拟定县级年度经济社会发展计划</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经济社会发展计划切实体现县委、县政府决策目标和部署</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县人大代表表决通过率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重点领域和区域经济社会规划编制</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编制和拟订县域发展等重点经济区计划和产业政策，研究提出落实措施、调控手段和力度等建议；提出经济与社会协调发展、相互促进的政策，协调社会事业发展的重大问题。</w:t>
            </w:r>
          </w:p>
          <w:p>
            <w:pPr>
              <w:spacing w:line="300" w:lineRule="exact"/>
              <w:ind w:firstLine="420" w:firstLineChars="200"/>
              <w:jc w:val="left"/>
              <w:rPr>
                <w:rFonts w:ascii="方正书宋_GBK" w:eastAsia="方正书宋_GBK"/>
              </w:rPr>
            </w:pPr>
            <w:r>
              <w:rPr>
                <w:rFonts w:hint="eastAsia" w:ascii="方正书宋_GBK" w:eastAsia="方正书宋_GBK"/>
              </w:rPr>
              <w:t>编制和拟订县级现代服务业、综合交通（铁路、公路、机场、港口等）、能源发展（石油、天然气、煤炭、电力等）、社会发展（文教卫体旅等）、人口发展、口岸、生态建设、以工代赈扶贫、县外援助等重点领域、国民经济重要产业和沿海、临空、京津冀、县域发展等重点经济区战略规划、计划和产业政策，研究提出落实措施、调控手段和力度等建议；提出经济与社会协调发展、相互促进的政策，协调社会事业发展的重大问题。</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确保重点领域和区域经济社会规划与国民经济和社会发展规划、计划的衔接和协调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重点领域和区域经济社会规划编制完成率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列入省级以上规划项目数量</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促进县级区域经济发展</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研究提出区域经济协调发展、加快城镇化发展的政策建议；负责区域经济合作统筹协调。</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w:t>
            </w:r>
            <w:r>
              <w:rPr>
                <w:rFonts w:hint="eastAsia" w:ascii="方正书宋_GBK" w:eastAsia="方正书宋_GBK"/>
              </w:rPr>
              <w:t>促进沿海地区实现率先发展</w:t>
            </w:r>
            <w:r>
              <w:rPr>
                <w:rFonts w:ascii="方正书宋_GBK" w:eastAsia="方正书宋_GBK"/>
              </w:rPr>
              <w:t>,</w:t>
            </w:r>
            <w:r>
              <w:rPr>
                <w:rFonts w:hint="eastAsia" w:ascii="方正书宋_GBK" w:eastAsia="方正书宋_GBK"/>
              </w:rPr>
              <w:t>推动京津冀协同发展。</w:t>
            </w:r>
          </w:p>
          <w:p>
            <w:pPr>
              <w:spacing w:line="300" w:lineRule="exact"/>
              <w:ind w:firstLine="420" w:firstLineChars="200"/>
              <w:jc w:val="left"/>
              <w:rPr>
                <w:rFonts w:ascii="方正书宋_GBK" w:eastAsia="方正书宋_GBK"/>
              </w:rPr>
            </w:pPr>
            <w:r>
              <w:rPr>
                <w:rFonts w:ascii="方正书宋_GBK" w:eastAsia="方正书宋_GBK"/>
              </w:rPr>
              <w:t>"</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推动京津冀协同发展</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配合国家首都经济圈发展规划，做好与国家规划的有效衔接；组织争取国家政策、资金等支持。</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发展规划出台情况</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与京冀对接活动的组织及项目组织、督导、调研情况</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与津冀对接活动的组织及项目组织、督导、调研情况</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推动沿海地区率先发展</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协调解决沿海地区发展规划实施中的重大问题，推进县内腹地产业规划与沿海地区发展规划的衔接。</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促进各项鼓励支持政策落实，推进沿海规划实施，加快沿海地区项目建设。</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组织召开联络员会议</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现场调研督导政策落实</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督导项目建设</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推进区域经济与可持续发展</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负责资源型城市转型与可持续发展工作；组织实施主体功能区规划；安排重点流域治理和区域环境综合整治项目</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加强区域经济发展管理工作，提高县域经济发展水平，改善重点流域水环境。</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区域经济可持续发展规划实施完成情况</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组织推进农业资源区划</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建立农业资源监测制度；负责农业资源可持续发展和高效利用实验示范工作；综合管理农业遥感技术的利用。</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掌握我县农业资源现状及动态变化。</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专题研究报告数量</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固定资产投资调控与管理</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固定资产投资调控与管理</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县级预算内基本建设投资项目管理</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落实县委县政府决策部署，依据发展规划和年度计划，编制县级预算内基本建设投资计划；统筹提出县级预算内基本建设资金安排的农林水、生态建设、农业科技、社会事业、公共安全等基础设施建设项目资金安排建议</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时编制并提交年度预算内基建项目安排建议，并落实到具体项目；足额保证县委、县政府确定的重点基建投资项目；落实与中央、省投资项目配套；及时下达预算内基建项目投资计划，提高县级政务设施服务保障能力</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重点基建投资项目计划完成率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资金细化程度</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下达预算内基建项目投资计划的及时性</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建设项目手续完备率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突破概算投资的项目个数</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按期投入使用的项目占比</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组织实施县级重点项目管理和稽察</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组织筛选和实施县级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加强重点项目谋划、协调、督导，推动重点项目顺利实施。加强项目监管，保证建设项目工程质量和建设资金安全及有效使用，维护国家和社会公共利益。处罚项目建设中重大突出违法问题</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项目开工率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监督稽察覆盖率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发展和改革政务管理</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p>
            <w:pPr>
              <w:spacing w:line="300" w:lineRule="exact"/>
              <w:ind w:firstLine="420" w:firstLineChars="200"/>
              <w:jc w:val="left"/>
              <w:rPr>
                <w:rFonts w:ascii="方正书宋_GBK" w:eastAsia="方正书宋_GBK"/>
              </w:rPr>
            </w:pPr>
            <w:r>
              <w:rPr>
                <w:rFonts w:hint="eastAsia" w:ascii="方正书宋_GBK" w:eastAsia="方正书宋_GBK"/>
              </w:rPr>
              <w:t>保障发展改革一般性日常业务开展和机关事务的基本运转。</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综合业务管理</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Theme="minorEastAsia" w:hAnsiTheme="minorEastAsia"/>
              </w:rPr>
              <w:t>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p>
            <w:pPr>
              <w:spacing w:line="300" w:lineRule="exact"/>
              <w:ind w:firstLine="420" w:firstLineChars="200"/>
              <w:jc w:val="left"/>
              <w:rPr>
                <w:rFonts w:ascii="方正书宋_GBK" w:eastAsia="方正书宋_GBK"/>
              </w:rPr>
            </w:pPr>
            <w:r>
              <w:rPr>
                <w:rFonts w:hint="eastAsia" w:ascii="方正书宋_GBK" w:eastAsia="方正书宋_GBK"/>
              </w:rPr>
              <w:t>负责县级依法必须招标项目的招标投标公告发布、方案核准以及评标专家库、招标代理机构等实施监督管理；按照县政府政策要求，加强行业协会管理和指导，负责县级行业协会发展规划、布局调整、相关政策制定、监督和协调管理，组织实施县级政府购买行业协会服务的管理。</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招投标管理制度完善，操作实施规范，应依法必须招投标项目覆盖全面；行业协会管理体制科学规范，行业协会与政府、企业间桥梁、纽带、参谋、助手作用发挥充分，完成政府购买行业协会服务评价管理。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项目招投标基本制度全面规范，应实施项目全面覆盖</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政府购买行业协会服务评价合格率</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政务网建设</w:t>
            </w:r>
          </w:p>
        </w:tc>
        <w:tc>
          <w:tcPr>
            <w:tcW w:w="1112" w:type="dxa"/>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3140"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保证政府综合大楼网络运行</w:t>
            </w:r>
          </w:p>
        </w:tc>
        <w:tc>
          <w:tcPr>
            <w:tcW w:w="2976"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保证政府综合办公大楼网路运行</w:t>
            </w:r>
          </w:p>
        </w:tc>
        <w:tc>
          <w:tcPr>
            <w:tcW w:w="1417" w:type="dxa"/>
            <w:shd w:val="clear" w:color="auto" w:fill="auto"/>
            <w:vAlign w:val="center"/>
          </w:tcPr>
          <w:p>
            <w:pPr>
              <w:spacing w:line="300" w:lineRule="exact"/>
              <w:ind w:firstLine="420" w:firstLineChars="200"/>
              <w:jc w:val="left"/>
              <w:rPr>
                <w:rFonts w:ascii="方正书宋_GBK" w:eastAsia="方正书宋_GBK"/>
              </w:rPr>
            </w:pPr>
          </w:p>
        </w:tc>
        <w:tc>
          <w:tcPr>
            <w:tcW w:w="972" w:type="dxa"/>
            <w:shd w:val="clear" w:color="auto" w:fill="auto"/>
            <w:vAlign w:val="center"/>
          </w:tcPr>
          <w:p>
            <w:pPr>
              <w:spacing w:line="300" w:lineRule="exact"/>
              <w:ind w:firstLine="420" w:firstLineChars="200"/>
              <w:jc w:val="left"/>
              <w:rPr>
                <w:rFonts w:ascii="方正书宋_GBK" w:eastAsia="方正书宋_GBK"/>
              </w:rPr>
            </w:pPr>
          </w:p>
        </w:tc>
        <w:tc>
          <w:tcPr>
            <w:tcW w:w="851" w:type="dxa"/>
            <w:shd w:val="clear" w:color="auto" w:fill="auto"/>
            <w:vAlign w:val="center"/>
          </w:tcPr>
          <w:p>
            <w:pPr>
              <w:spacing w:line="300" w:lineRule="exact"/>
              <w:ind w:firstLine="420" w:firstLineChars="200"/>
              <w:jc w:val="left"/>
              <w:rPr>
                <w:rFonts w:ascii="方正书宋_GBK" w:eastAsia="方正书宋_GBK"/>
              </w:rPr>
            </w:pPr>
          </w:p>
        </w:tc>
        <w:tc>
          <w:tcPr>
            <w:tcW w:w="850" w:type="dxa"/>
            <w:shd w:val="clear" w:color="auto" w:fill="auto"/>
            <w:vAlign w:val="center"/>
          </w:tcPr>
          <w:p>
            <w:pPr>
              <w:spacing w:line="300" w:lineRule="exact"/>
              <w:ind w:firstLine="420" w:firstLineChars="200"/>
              <w:jc w:val="left"/>
              <w:rPr>
                <w:rFonts w:ascii="方正书宋_GBK" w:eastAsia="方正书宋_GBK"/>
              </w:rPr>
            </w:pPr>
          </w:p>
        </w:tc>
        <w:tc>
          <w:tcPr>
            <w:tcW w:w="911" w:type="dxa"/>
            <w:shd w:val="clear" w:color="auto" w:fill="auto"/>
            <w:vAlign w:val="center"/>
          </w:tcPr>
          <w:p>
            <w:pPr>
              <w:spacing w:line="300" w:lineRule="exact"/>
              <w:ind w:firstLine="420" w:firstLineChars="200"/>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20" w:firstLineChars="200"/>
              <w:jc w:val="left"/>
              <w:rPr>
                <w:rFonts w:ascii="方正书宋_GBK" w:eastAsia="方正书宋_GBK"/>
                <w:b/>
              </w:rPr>
            </w:pPr>
            <w:r>
              <w:rPr>
                <w:rFonts w:hint="eastAsia" w:ascii="方正书宋_GBK" w:eastAsia="方正书宋_GBK"/>
                <w:b/>
              </w:rPr>
              <w:t>　　管理综合大楼网络运行</w:t>
            </w:r>
          </w:p>
        </w:tc>
        <w:tc>
          <w:tcPr>
            <w:tcW w:w="1112" w:type="dxa"/>
            <w:vMerge w:val="restart"/>
            <w:shd w:val="clear" w:color="auto" w:fill="auto"/>
            <w:vAlign w:val="center"/>
          </w:tcPr>
          <w:p>
            <w:pPr>
              <w:spacing w:line="300" w:lineRule="exact"/>
              <w:ind w:firstLine="420" w:firstLineChars="200"/>
              <w:jc w:val="left"/>
              <w:rPr>
                <w:rFonts w:ascii="方正书宋_GBK" w:eastAsia="方正书宋_GBK"/>
              </w:rPr>
            </w:pPr>
            <w:r>
              <w:rPr>
                <w:rFonts w:ascii="方正书宋_GBK" w:eastAsia="方正书宋_GBK"/>
              </w:rPr>
              <w:t>2.50</w:t>
            </w:r>
          </w:p>
        </w:tc>
        <w:tc>
          <w:tcPr>
            <w:tcW w:w="3140"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保证政府综合办公楼网路正常运行</w:t>
            </w:r>
          </w:p>
        </w:tc>
        <w:tc>
          <w:tcPr>
            <w:tcW w:w="2976" w:type="dxa"/>
            <w:vMerge w:val="restart"/>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政务网管理</w:t>
            </w: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保证政务网运行</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20" w:firstLineChars="200"/>
              <w:jc w:val="left"/>
              <w:rPr>
                <w:rFonts w:ascii="方正书宋_GBK" w:eastAsia="方正书宋_GBK"/>
                <w:b/>
              </w:rPr>
            </w:pPr>
          </w:p>
        </w:tc>
        <w:tc>
          <w:tcPr>
            <w:tcW w:w="1112"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3140"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2976" w:type="dxa"/>
            <w:vMerge w:val="continue"/>
            <w:shd w:val="clear" w:color="auto" w:fill="auto"/>
            <w:vAlign w:val="center"/>
          </w:tcPr>
          <w:p>
            <w:pPr>
              <w:spacing w:line="300" w:lineRule="exact"/>
              <w:ind w:firstLine="420" w:firstLineChars="200"/>
              <w:jc w:val="left"/>
              <w:rPr>
                <w:rFonts w:ascii="方正书宋_GBK" w:eastAsia="方正书宋_GBK"/>
              </w:rPr>
            </w:pPr>
          </w:p>
        </w:tc>
        <w:tc>
          <w:tcPr>
            <w:tcW w:w="1417" w:type="dxa"/>
            <w:shd w:val="clear" w:color="auto" w:fill="auto"/>
            <w:vAlign w:val="center"/>
          </w:tcPr>
          <w:p>
            <w:pPr>
              <w:spacing w:line="300" w:lineRule="exact"/>
              <w:ind w:firstLine="420" w:firstLineChars="200"/>
              <w:jc w:val="left"/>
              <w:rPr>
                <w:rFonts w:ascii="方正书宋_GBK" w:eastAsia="方正书宋_GBK"/>
              </w:rPr>
            </w:pPr>
            <w:r>
              <w:rPr>
                <w:rFonts w:hint="eastAsia" w:ascii="方正书宋_GBK" w:eastAsia="方正书宋_GBK"/>
              </w:rPr>
              <w:t>建设、管理政务网</w:t>
            </w:r>
          </w:p>
        </w:tc>
        <w:tc>
          <w:tcPr>
            <w:tcW w:w="97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85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≥80%</w:t>
            </w:r>
          </w:p>
        </w:tc>
        <w:tc>
          <w:tcPr>
            <w:tcW w:w="8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91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w:t>
            </w:r>
          </w:p>
        </w:tc>
      </w:tr>
    </w:tbl>
    <w:p>
      <w:pPr>
        <w:widowControl/>
        <w:spacing w:line="360" w:lineRule="auto"/>
        <w:ind w:firstLine="640" w:firstLineChars="200"/>
        <w:jc w:val="left"/>
        <w:rPr>
          <w:rFonts w:ascii="黑体" w:hAnsi="黑体" w:eastAsia="黑体" w:cs="Calibri"/>
          <w:b/>
          <w:kern w:val="0"/>
          <w:sz w:val="32"/>
          <w:szCs w:val="32"/>
        </w:rPr>
      </w:pPr>
    </w:p>
    <w:p>
      <w:pPr>
        <w:widowControl/>
        <w:spacing w:line="360" w:lineRule="auto"/>
        <w:ind w:firstLine="640" w:firstLineChars="200"/>
        <w:jc w:val="left"/>
        <w:rPr>
          <w:rFonts w:ascii="黑体" w:hAnsi="黑体" w:eastAsia="黑体" w:cs="Calibri"/>
          <w:b/>
          <w:kern w:val="0"/>
          <w:sz w:val="32"/>
          <w:szCs w:val="32"/>
        </w:rPr>
      </w:pPr>
      <w:r>
        <w:rPr>
          <w:rFonts w:hint="eastAsia" w:ascii="黑体" w:hAnsi="黑体" w:eastAsia="黑体" w:cs="Calibri"/>
          <w:b/>
          <w:kern w:val="0"/>
          <w:sz w:val="32"/>
          <w:szCs w:val="32"/>
        </w:rPr>
        <w:t>六、政府采购预算情况</w:t>
      </w:r>
    </w:p>
    <w:p>
      <w:pPr>
        <w:widowControl/>
        <w:spacing w:line="360" w:lineRule="auto"/>
        <w:ind w:firstLine="640" w:firstLineChars="200"/>
        <w:jc w:val="left"/>
        <w:rPr>
          <w:rFonts w:ascii="仿宋" w:hAnsi="仿宋" w:eastAsia="仿宋" w:cs="Times New Roman"/>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201</w:t>
      </w:r>
      <w:r>
        <w:rPr>
          <w:rFonts w:hint="eastAsia" w:ascii="仿宋_GB2312" w:hAnsi="微软雅黑" w:eastAsia="仿宋_GB2312" w:cs="仿宋_GB2312"/>
          <w:kern w:val="0"/>
          <w:sz w:val="32"/>
          <w:szCs w:val="32"/>
        </w:rPr>
        <w:t>9</w:t>
      </w:r>
      <w:r>
        <w:rPr>
          <w:rFonts w:ascii="仿宋_GB2312" w:hAnsi="微软雅黑" w:eastAsia="仿宋_GB2312" w:cs="仿宋_GB2312"/>
          <w:kern w:val="0"/>
          <w:sz w:val="32"/>
          <w:szCs w:val="32"/>
        </w:rPr>
        <w:t>年我局政府采购事项</w:t>
      </w:r>
      <w:r>
        <w:rPr>
          <w:rFonts w:hint="eastAsia" w:ascii="仿宋_GB2312" w:hAnsi="微软雅黑" w:eastAsia="仿宋_GB2312" w:cs="仿宋_GB2312"/>
          <w:kern w:val="0"/>
          <w:sz w:val="32"/>
          <w:szCs w:val="32"/>
        </w:rPr>
        <w:t>3万元，</w:t>
      </w:r>
      <w:r>
        <w:rPr>
          <w:rFonts w:ascii="仿宋_GB2312" w:hAnsi="Calibri" w:eastAsia="仿宋_GB2312" w:cs="仿宋_GB2312"/>
          <w:kern w:val="0"/>
          <w:sz w:val="32"/>
          <w:szCs w:val="32"/>
        </w:rPr>
        <w:t>本年拟用于政府采购微机等办公设备</w:t>
      </w:r>
      <w:r>
        <w:rPr>
          <w:rFonts w:hint="eastAsia" w:ascii="仿宋_GB2312" w:hAnsi="Calibri" w:eastAsia="仿宋_GB2312" w:cs="仿宋_GB2312"/>
          <w:kern w:val="0"/>
          <w:sz w:val="32"/>
          <w:szCs w:val="32"/>
        </w:rPr>
        <w:t>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,其中空调设备1万元；电脑3台1.2万元；办公桌椅0.8万元</w:t>
      </w:r>
      <w:r>
        <w:rPr>
          <w:rFonts w:ascii="仿宋_GB2312" w:hAnsi="Calibri" w:eastAsia="仿宋_GB2312" w:cs="仿宋_GB2312"/>
          <w:kern w:val="0"/>
          <w:sz w:val="32"/>
          <w:szCs w:val="32"/>
        </w:rPr>
        <w:t>。</w:t>
      </w: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年，我单位安排政府采购预算3万元。具体内容见下表。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4"/>
        <w:gridCol w:w="1054"/>
        <w:gridCol w:w="869"/>
        <w:gridCol w:w="1382"/>
        <w:gridCol w:w="869"/>
        <w:gridCol w:w="869"/>
        <w:gridCol w:w="892"/>
        <w:gridCol w:w="889"/>
        <w:gridCol w:w="889"/>
        <w:gridCol w:w="889"/>
        <w:gridCol w:w="808"/>
        <w:gridCol w:w="871"/>
        <w:gridCol w:w="871"/>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w:t>
            </w:r>
          </w:p>
        </w:tc>
        <w:tc>
          <w:tcPr>
            <w:tcW w:w="2105" w:type="pct"/>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82"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311"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2105" w:type="pct"/>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368"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1510" w:type="pct"/>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28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pPr>
              <w:spacing w:line="560" w:lineRule="exact"/>
              <w:jc w:val="left"/>
              <w:outlineLvl w:val="0"/>
              <w:rPr>
                <w:rFonts w:ascii="宋体" w:hAnsi="宋体" w:eastAsia="宋体" w:cs="Times New Roman"/>
              </w:rPr>
            </w:pPr>
          </w:p>
        </w:tc>
        <w:tc>
          <w:tcPr>
            <w:tcW w:w="368"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continue"/>
            <w:vAlign w:val="center"/>
          </w:tcPr>
          <w:p>
            <w:pPr>
              <w:spacing w:line="560" w:lineRule="exact"/>
              <w:jc w:val="left"/>
              <w:outlineLvl w:val="0"/>
              <w:rPr>
                <w:rFonts w:ascii="宋体" w:hAnsi="宋体" w:eastAsia="宋体" w:cs="Times New Roman"/>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282"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285" w:type="pct"/>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03" w:type="pct"/>
            <w:vAlign w:val="center"/>
          </w:tcPr>
          <w:p>
            <w:pPr>
              <w:spacing w:line="560" w:lineRule="exact"/>
              <w:jc w:val="center"/>
              <w:rPr>
                <w:rFonts w:ascii="宋体" w:hAnsi="宋体" w:eastAsia="宋体" w:cs="Times New Roman"/>
                <w:b/>
                <w:bCs/>
              </w:rPr>
            </w:pPr>
          </w:p>
        </w:tc>
        <w:tc>
          <w:tcPr>
            <w:tcW w:w="482"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24</w:t>
            </w:r>
          </w:p>
        </w:tc>
        <w:tc>
          <w:tcPr>
            <w:tcW w:w="311"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3</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日常公用经费</w:t>
            </w:r>
          </w:p>
        </w:tc>
        <w:tc>
          <w:tcPr>
            <w:tcW w:w="368"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空调</w:t>
            </w:r>
          </w:p>
        </w:tc>
        <w:tc>
          <w:tcPr>
            <w:tcW w:w="482"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A020199</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1"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310" w:type="pct"/>
            <w:vAlign w:val="center"/>
          </w:tcPr>
          <w:p>
            <w:pPr>
              <w:spacing w:line="560" w:lineRule="exact"/>
              <w:jc w:val="center"/>
              <w:rPr>
                <w:rFonts w:ascii="宋体" w:hAnsi="宋体" w:eastAsia="宋体" w:cs="Times New Roman"/>
                <w:b/>
                <w:bCs/>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1</w:t>
            </w:r>
          </w:p>
        </w:tc>
        <w:tc>
          <w:tcPr>
            <w:tcW w:w="282"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304" w:type="pct"/>
            <w:vAlign w:val="center"/>
          </w:tcPr>
          <w:p>
            <w:pPr>
              <w:spacing w:line="560" w:lineRule="exact"/>
              <w:jc w:val="center"/>
              <w:rPr>
                <w:rFonts w:ascii="宋体" w:hAnsi="宋体" w:eastAsia="宋体" w:cs="Times New Roman"/>
                <w:b/>
                <w:bCs/>
              </w:rPr>
            </w:pPr>
          </w:p>
        </w:tc>
        <w:tc>
          <w:tcPr>
            <w:tcW w:w="285" w:type="pct"/>
            <w:vAlign w:val="center"/>
          </w:tcPr>
          <w:p>
            <w:pPr>
              <w:spacing w:line="560" w:lineRule="exact"/>
              <w:jc w:val="center"/>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b/>
                <w:bCs/>
              </w:rPr>
              <w:t>日常公用经费</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桌椅</w:t>
            </w:r>
          </w:p>
        </w:tc>
        <w:tc>
          <w:tcPr>
            <w:tcW w:w="482" w:type="pct"/>
            <w:vAlign w:val="center"/>
          </w:tcPr>
          <w:p>
            <w:pPr>
              <w:spacing w:line="560" w:lineRule="exact"/>
              <w:jc w:val="center"/>
              <w:rPr>
                <w:rFonts w:ascii="宋体" w:hAnsi="宋体" w:eastAsia="宋体" w:cs="Times New Roman"/>
              </w:rPr>
            </w:pPr>
            <w:r>
              <w:rPr>
                <w:rFonts w:hint="eastAsia" w:ascii="宋体" w:hAnsi="宋体" w:eastAsia="宋体" w:cs="Times New Roman"/>
                <w:b/>
                <w:bCs/>
              </w:rPr>
              <w:t>A020199</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套</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20</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0.8</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rPr>
            </w:pPr>
            <w:r>
              <w:rPr>
                <w:rFonts w:hint="eastAsia" w:ascii="宋体" w:hAnsi="宋体" w:eastAsia="宋体" w:cs="Times New Roman"/>
                <w:b/>
                <w:bCs/>
              </w:rPr>
              <w:t>日常公用经费</w:t>
            </w:r>
          </w:p>
        </w:tc>
        <w:tc>
          <w:tcPr>
            <w:tcW w:w="368"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电脑</w:t>
            </w:r>
          </w:p>
        </w:tc>
        <w:tc>
          <w:tcPr>
            <w:tcW w:w="482" w:type="pct"/>
            <w:vAlign w:val="center"/>
          </w:tcPr>
          <w:p>
            <w:pPr>
              <w:spacing w:line="560" w:lineRule="exact"/>
              <w:jc w:val="center"/>
              <w:rPr>
                <w:rFonts w:ascii="宋体" w:hAnsi="宋体" w:eastAsia="宋体" w:cs="Times New Roman"/>
              </w:rPr>
            </w:pPr>
            <w:r>
              <w:rPr>
                <w:rFonts w:hint="eastAsia" w:ascii="宋体" w:hAnsi="宋体" w:eastAsia="宋体" w:cs="Times New Roman"/>
                <w:b/>
                <w:bCs/>
              </w:rPr>
              <w:t>A020199</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台</w:t>
            </w:r>
          </w:p>
        </w:tc>
        <w:tc>
          <w:tcPr>
            <w:tcW w:w="303" w:type="pct"/>
            <w:vAlign w:val="center"/>
          </w:tcPr>
          <w:p>
            <w:pPr>
              <w:spacing w:line="560" w:lineRule="exact"/>
              <w:jc w:val="center"/>
              <w:rPr>
                <w:rFonts w:ascii="宋体" w:hAnsi="宋体" w:eastAsia="宋体" w:cs="Times New Roman"/>
              </w:rPr>
            </w:pPr>
            <w:r>
              <w:rPr>
                <w:rFonts w:hint="eastAsia" w:ascii="宋体" w:hAnsi="宋体" w:eastAsia="宋体" w:cs="Times New Roman"/>
              </w:rPr>
              <w:t>3</w:t>
            </w:r>
          </w:p>
        </w:tc>
        <w:tc>
          <w:tcPr>
            <w:tcW w:w="311" w:type="pct"/>
            <w:vAlign w:val="center"/>
          </w:tcPr>
          <w:p>
            <w:pPr>
              <w:spacing w:line="560" w:lineRule="exact"/>
              <w:jc w:val="center"/>
              <w:rPr>
                <w:rFonts w:ascii="宋体" w:hAnsi="宋体" w:eastAsia="宋体" w:cs="Times New Roman"/>
              </w:rPr>
            </w:pPr>
            <w:r>
              <w:rPr>
                <w:rFonts w:hint="eastAsia" w:ascii="宋体" w:hAnsi="宋体" w:eastAsia="宋体" w:cs="Times New Roman"/>
              </w:rPr>
              <w:t>0.4</w:t>
            </w: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310" w:type="pct"/>
            <w:vAlign w:val="center"/>
          </w:tcPr>
          <w:p>
            <w:pPr>
              <w:spacing w:line="560" w:lineRule="exact"/>
              <w:jc w:val="center"/>
              <w:rPr>
                <w:rFonts w:ascii="宋体" w:hAnsi="宋体" w:eastAsia="宋体" w:cs="Times New Roman"/>
              </w:rPr>
            </w:pPr>
          </w:p>
        </w:tc>
        <w:tc>
          <w:tcPr>
            <w:tcW w:w="310" w:type="pct"/>
            <w:vAlign w:val="center"/>
          </w:tcPr>
          <w:p>
            <w:pPr>
              <w:spacing w:line="560" w:lineRule="exact"/>
              <w:jc w:val="center"/>
              <w:rPr>
                <w:rFonts w:ascii="宋体" w:hAnsi="宋体" w:eastAsia="宋体" w:cs="Times New Roman"/>
              </w:rPr>
            </w:pPr>
            <w:r>
              <w:rPr>
                <w:rFonts w:hint="eastAsia" w:ascii="宋体" w:hAnsi="宋体" w:eastAsia="宋体" w:cs="Times New Roman"/>
              </w:rPr>
              <w:t>1.2</w:t>
            </w:r>
          </w:p>
        </w:tc>
        <w:tc>
          <w:tcPr>
            <w:tcW w:w="282"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304" w:type="pct"/>
            <w:vAlign w:val="center"/>
          </w:tcPr>
          <w:p>
            <w:pPr>
              <w:spacing w:line="560" w:lineRule="exact"/>
              <w:jc w:val="center"/>
              <w:rPr>
                <w:rFonts w:ascii="宋体" w:hAnsi="宋体" w:eastAsia="宋体" w:cs="Times New Roman"/>
              </w:rPr>
            </w:pPr>
          </w:p>
        </w:tc>
        <w:tc>
          <w:tcPr>
            <w:tcW w:w="285" w:type="pct"/>
            <w:vAlign w:val="center"/>
          </w:tcPr>
          <w:p>
            <w:pPr>
              <w:spacing w:line="560" w:lineRule="exact"/>
              <w:jc w:val="center"/>
              <w:rPr>
                <w:rFonts w:ascii="宋体" w:hAnsi="宋体" w:eastAsia="宋体" w:cs="Times New Roman"/>
              </w:rPr>
            </w:pPr>
          </w:p>
        </w:tc>
      </w:tr>
    </w:tbl>
    <w:p>
      <w:pPr>
        <w:widowControl/>
        <w:spacing w:line="360" w:lineRule="auto"/>
        <w:ind w:firstLine="640" w:firstLineChars="200"/>
        <w:jc w:val="left"/>
        <w:rPr>
          <w:rFonts w:ascii="Calibri" w:hAnsi="Calibri" w:eastAsia="仿宋_GB2312" w:cs="Calibri"/>
          <w:b/>
          <w:kern w:val="0"/>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rPr>
          <w:rFonts w:ascii="仿宋_GB2312" w:hAnsi="黑体" w:eastAsia="仿宋_GB2312" w:cs="Times New Roman"/>
          <w:sz w:val="32"/>
          <w:szCs w:val="32"/>
        </w:rPr>
      </w:pPr>
    </w:p>
    <w:tbl>
      <w:tblPr>
        <w:tblStyle w:val="6"/>
        <w:tblW w:w="3956" w:type="pct"/>
        <w:tblInd w:w="1526" w:type="dxa"/>
        <w:tblLayout w:type="autofit"/>
        <w:tblCellMar>
          <w:top w:w="0" w:type="dxa"/>
          <w:left w:w="108" w:type="dxa"/>
          <w:bottom w:w="0" w:type="dxa"/>
          <w:right w:w="108" w:type="dxa"/>
        </w:tblCellMar>
      </w:tblPr>
      <w:tblGrid>
        <w:gridCol w:w="4917"/>
        <w:gridCol w:w="1354"/>
        <w:gridCol w:w="506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65"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编制部门：成安县发展改革局</w:t>
            </w:r>
          </w:p>
        </w:tc>
        <w:tc>
          <w:tcPr>
            <w:tcW w:w="2235"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w:t>
            </w:r>
            <w:r>
              <w:rPr>
                <w:rFonts w:hint="eastAsia" w:ascii="宋体" w:hAnsi="宋体" w:eastAsia="宋体" w:cs="宋体"/>
                <w:kern w:val="0"/>
                <w:sz w:val="22"/>
              </w:rPr>
              <w:t>9年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w:t>
            </w:r>
            <w:r>
              <w:rPr>
                <w:rFonts w:hint="eastAsia" w:ascii="宋体" w:hAnsi="宋体" w:eastAsia="宋体" w:cs="宋体"/>
                <w:kern w:val="0"/>
                <w:sz w:val="22"/>
              </w:rPr>
              <w:t>0日</w:t>
            </w:r>
          </w:p>
        </w:tc>
      </w:tr>
      <w:tr>
        <w:tblPrEx>
          <w:tblCellMar>
            <w:top w:w="0" w:type="dxa"/>
            <w:left w:w="108" w:type="dxa"/>
            <w:bottom w:w="0" w:type="dxa"/>
            <w:right w:w="108" w:type="dxa"/>
          </w:tblCellMar>
        </w:tblPrEx>
        <w:trPr>
          <w:trHeight w:val="645" w:hRule="atLeast"/>
        </w:trPr>
        <w:tc>
          <w:tcPr>
            <w:tcW w:w="21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项目</w:t>
            </w:r>
          </w:p>
        </w:tc>
        <w:tc>
          <w:tcPr>
            <w:tcW w:w="59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223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144</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260平方米</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在政府办公</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其中：办公用房（平方米）</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260平方米</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260平方米</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w:t>
            </w: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16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597"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52</w:t>
            </w:r>
          </w:p>
        </w:tc>
        <w:tc>
          <w:tcPr>
            <w:tcW w:w="2235"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126万元</w:t>
            </w:r>
          </w:p>
        </w:tc>
      </w:tr>
    </w:tbl>
    <w:p>
      <w:pPr>
        <w:widowControl/>
        <w:spacing w:line="360" w:lineRule="auto"/>
        <w:jc w:val="left"/>
        <w:rPr>
          <w:rFonts w:ascii="Calibri" w:hAnsi="Calibri" w:eastAsia="仿宋_GB2312" w:cs="Calibri"/>
          <w:b/>
          <w:kern w:val="0"/>
          <w:sz w:val="32"/>
          <w:szCs w:val="32"/>
        </w:rPr>
      </w:pPr>
    </w:p>
    <w:p>
      <w:pPr>
        <w:widowControl/>
        <w:spacing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144</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其中：房屋价值0万元（政府综合大楼），车辆原价值18万元，其它资产办公用电脑、办公家具。2019年我单位拟购置固定资产3万元。</w:t>
      </w:r>
    </w:p>
    <w:p>
      <w:pPr>
        <w:widowControl/>
        <w:spacing w:line="360" w:lineRule="auto"/>
        <w:ind w:firstLine="640" w:firstLineChars="200"/>
        <w:jc w:val="left"/>
        <w:rPr>
          <w:rFonts w:ascii="仿宋" w:hAnsi="仿宋" w:eastAsia="仿宋"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仿宋" w:hAnsi="仿宋" w:eastAsia="仿宋" w:cs="仿宋"/>
          <w:kern w:val="0"/>
          <w:sz w:val="32"/>
          <w:szCs w:val="32"/>
        </w:rPr>
        <w:t>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0" w:firstLineChars="300"/>
        <w:jc w:val="left"/>
        <w:rPr>
          <w:rFonts w:ascii="仿宋" w:hAnsi="仿宋" w:eastAsia="仿宋" w:cs="仿宋"/>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 </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widowControl/>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九、其他需要说明的事项</w:t>
      </w:r>
    </w:p>
    <w:p>
      <w:pPr>
        <w:widowControl/>
        <w:spacing w:line="360" w:lineRule="auto"/>
        <w:ind w:firstLine="640" w:firstLineChars="200"/>
        <w:jc w:val="left"/>
        <w:rPr>
          <w:rFonts w:ascii="仿宋" w:hAnsi="仿宋" w:eastAsia="仿宋"/>
        </w:rPr>
      </w:pPr>
      <w:r>
        <w:rPr>
          <w:rFonts w:hint="eastAsia" w:ascii="仿宋" w:hAnsi="仿宋" w:eastAsia="仿宋" w:cs="方正仿宋_GBK"/>
          <w:bCs/>
          <w:sz w:val="32"/>
          <w:szCs w:val="32"/>
        </w:rPr>
        <w:t>无其它需要说明的事项。</w:t>
      </w:r>
    </w:p>
    <w:sectPr>
      <w:pgSz w:w="16839" w:h="11907" w:orient="landscape"/>
      <w:pgMar w:top="1021" w:right="1361" w:bottom="1021" w:left="136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12DE9"/>
    <w:multiLevelType w:val="singleLevel"/>
    <w:tmpl w:val="58512DE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GUzMjAxZWIzZjVlYjgwMjNlYjVhMGQwNmU0NjEifQ=="/>
  </w:docVars>
  <w:rsids>
    <w:rsidRoot w:val="00E810D6"/>
    <w:rsid w:val="00024AFE"/>
    <w:rsid w:val="00070B38"/>
    <w:rsid w:val="00074640"/>
    <w:rsid w:val="000A144B"/>
    <w:rsid w:val="000C6FE1"/>
    <w:rsid w:val="000F39A9"/>
    <w:rsid w:val="00107435"/>
    <w:rsid w:val="0012613C"/>
    <w:rsid w:val="001472B5"/>
    <w:rsid w:val="001B417B"/>
    <w:rsid w:val="0026214B"/>
    <w:rsid w:val="00267F2B"/>
    <w:rsid w:val="002D7560"/>
    <w:rsid w:val="002E3A95"/>
    <w:rsid w:val="00311FD2"/>
    <w:rsid w:val="00382467"/>
    <w:rsid w:val="003A5D1D"/>
    <w:rsid w:val="003B5B60"/>
    <w:rsid w:val="0040323D"/>
    <w:rsid w:val="004842DF"/>
    <w:rsid w:val="00484F9C"/>
    <w:rsid w:val="00495A11"/>
    <w:rsid w:val="004A0B0C"/>
    <w:rsid w:val="004C1CF1"/>
    <w:rsid w:val="004E077B"/>
    <w:rsid w:val="00507012"/>
    <w:rsid w:val="00541E77"/>
    <w:rsid w:val="005526AF"/>
    <w:rsid w:val="00596255"/>
    <w:rsid w:val="005A7C3A"/>
    <w:rsid w:val="005B0B27"/>
    <w:rsid w:val="005D136A"/>
    <w:rsid w:val="005D3F75"/>
    <w:rsid w:val="005F1765"/>
    <w:rsid w:val="00616C4E"/>
    <w:rsid w:val="0062621A"/>
    <w:rsid w:val="00674FDF"/>
    <w:rsid w:val="00685811"/>
    <w:rsid w:val="006B2D64"/>
    <w:rsid w:val="006D1C5B"/>
    <w:rsid w:val="00702CB4"/>
    <w:rsid w:val="00746CBE"/>
    <w:rsid w:val="00777EAA"/>
    <w:rsid w:val="00785707"/>
    <w:rsid w:val="00794DF2"/>
    <w:rsid w:val="007A1691"/>
    <w:rsid w:val="007A507B"/>
    <w:rsid w:val="007B1B10"/>
    <w:rsid w:val="007B2FC8"/>
    <w:rsid w:val="007B7171"/>
    <w:rsid w:val="007C109C"/>
    <w:rsid w:val="007D6BF0"/>
    <w:rsid w:val="007F0E99"/>
    <w:rsid w:val="008058DC"/>
    <w:rsid w:val="00810D35"/>
    <w:rsid w:val="00817410"/>
    <w:rsid w:val="008B6EFA"/>
    <w:rsid w:val="008C16CF"/>
    <w:rsid w:val="008C7744"/>
    <w:rsid w:val="008D5286"/>
    <w:rsid w:val="00967EC4"/>
    <w:rsid w:val="009812D4"/>
    <w:rsid w:val="00997C0C"/>
    <w:rsid w:val="009C5C91"/>
    <w:rsid w:val="009D2540"/>
    <w:rsid w:val="00A07D70"/>
    <w:rsid w:val="00A14D67"/>
    <w:rsid w:val="00A41B7F"/>
    <w:rsid w:val="00A44449"/>
    <w:rsid w:val="00A667BA"/>
    <w:rsid w:val="00A836A9"/>
    <w:rsid w:val="00AB1D2B"/>
    <w:rsid w:val="00AF3F6B"/>
    <w:rsid w:val="00B05951"/>
    <w:rsid w:val="00B119AC"/>
    <w:rsid w:val="00B14C5A"/>
    <w:rsid w:val="00B16629"/>
    <w:rsid w:val="00B564CF"/>
    <w:rsid w:val="00B64A25"/>
    <w:rsid w:val="00B904D6"/>
    <w:rsid w:val="00B9100D"/>
    <w:rsid w:val="00BA709F"/>
    <w:rsid w:val="00C027EF"/>
    <w:rsid w:val="00C07935"/>
    <w:rsid w:val="00C566AB"/>
    <w:rsid w:val="00C6227E"/>
    <w:rsid w:val="00CA4E4F"/>
    <w:rsid w:val="00CC4E87"/>
    <w:rsid w:val="00D03F68"/>
    <w:rsid w:val="00D04B72"/>
    <w:rsid w:val="00D42541"/>
    <w:rsid w:val="00D70571"/>
    <w:rsid w:val="00D8460A"/>
    <w:rsid w:val="00D9448E"/>
    <w:rsid w:val="00DA089B"/>
    <w:rsid w:val="00DA59FE"/>
    <w:rsid w:val="00DB7E0D"/>
    <w:rsid w:val="00DD7FB8"/>
    <w:rsid w:val="00DF550A"/>
    <w:rsid w:val="00E0728D"/>
    <w:rsid w:val="00E20971"/>
    <w:rsid w:val="00E27429"/>
    <w:rsid w:val="00E32C07"/>
    <w:rsid w:val="00E80ABC"/>
    <w:rsid w:val="00E810D6"/>
    <w:rsid w:val="00E83088"/>
    <w:rsid w:val="00E95C95"/>
    <w:rsid w:val="00EA340D"/>
    <w:rsid w:val="00ED08C5"/>
    <w:rsid w:val="00EF4B73"/>
    <w:rsid w:val="00F212CE"/>
    <w:rsid w:val="00F21B7E"/>
    <w:rsid w:val="00F32402"/>
    <w:rsid w:val="00F47032"/>
    <w:rsid w:val="00F5181F"/>
    <w:rsid w:val="00F5552E"/>
    <w:rsid w:val="00F61CD9"/>
    <w:rsid w:val="00FA3D3F"/>
    <w:rsid w:val="00FB5D80"/>
    <w:rsid w:val="013B67CD"/>
    <w:rsid w:val="0143370B"/>
    <w:rsid w:val="01CA412B"/>
    <w:rsid w:val="037D399A"/>
    <w:rsid w:val="03B213E5"/>
    <w:rsid w:val="06096D52"/>
    <w:rsid w:val="06184DD8"/>
    <w:rsid w:val="06550E5D"/>
    <w:rsid w:val="06F74C86"/>
    <w:rsid w:val="0726741C"/>
    <w:rsid w:val="08D34D69"/>
    <w:rsid w:val="08EB4082"/>
    <w:rsid w:val="09E50DB9"/>
    <w:rsid w:val="0BB759F9"/>
    <w:rsid w:val="0CBF7A43"/>
    <w:rsid w:val="0DD4180B"/>
    <w:rsid w:val="130B706D"/>
    <w:rsid w:val="139106CF"/>
    <w:rsid w:val="13DE0FA8"/>
    <w:rsid w:val="163506CD"/>
    <w:rsid w:val="17252863"/>
    <w:rsid w:val="175940C0"/>
    <w:rsid w:val="17C16AC9"/>
    <w:rsid w:val="180D78B9"/>
    <w:rsid w:val="1AEF7278"/>
    <w:rsid w:val="1B2A5EA4"/>
    <w:rsid w:val="1CAD1EB8"/>
    <w:rsid w:val="1CC97251"/>
    <w:rsid w:val="1CEB0A1C"/>
    <w:rsid w:val="1E8167C1"/>
    <w:rsid w:val="1EAA0AE1"/>
    <w:rsid w:val="21B66276"/>
    <w:rsid w:val="223B41FA"/>
    <w:rsid w:val="228819EE"/>
    <w:rsid w:val="24782867"/>
    <w:rsid w:val="2716314B"/>
    <w:rsid w:val="288A4B30"/>
    <w:rsid w:val="28E516DB"/>
    <w:rsid w:val="299267B6"/>
    <w:rsid w:val="2AD57C75"/>
    <w:rsid w:val="2BAA47A7"/>
    <w:rsid w:val="2C9E77EC"/>
    <w:rsid w:val="2CDC28D4"/>
    <w:rsid w:val="2DCE40BA"/>
    <w:rsid w:val="2E066AE5"/>
    <w:rsid w:val="2E2777CE"/>
    <w:rsid w:val="2EE04A84"/>
    <w:rsid w:val="31D059F4"/>
    <w:rsid w:val="332A0BBD"/>
    <w:rsid w:val="3387759D"/>
    <w:rsid w:val="351C5D1D"/>
    <w:rsid w:val="36DF5EE5"/>
    <w:rsid w:val="37C93C55"/>
    <w:rsid w:val="38963AA1"/>
    <w:rsid w:val="39461E7C"/>
    <w:rsid w:val="39A75722"/>
    <w:rsid w:val="39CF1CCC"/>
    <w:rsid w:val="3B6E7B6E"/>
    <w:rsid w:val="3C580018"/>
    <w:rsid w:val="3C712CD5"/>
    <w:rsid w:val="3CEC5D53"/>
    <w:rsid w:val="3D99549C"/>
    <w:rsid w:val="3ECE5FDA"/>
    <w:rsid w:val="441C57E9"/>
    <w:rsid w:val="44240E6E"/>
    <w:rsid w:val="44986D47"/>
    <w:rsid w:val="44996141"/>
    <w:rsid w:val="456A5D0D"/>
    <w:rsid w:val="457C0C14"/>
    <w:rsid w:val="45B90BF3"/>
    <w:rsid w:val="460143F1"/>
    <w:rsid w:val="475B18CD"/>
    <w:rsid w:val="4A4F1F05"/>
    <w:rsid w:val="4A933BC2"/>
    <w:rsid w:val="4AB87DE3"/>
    <w:rsid w:val="4B7040C7"/>
    <w:rsid w:val="4C6705AF"/>
    <w:rsid w:val="4CA957E7"/>
    <w:rsid w:val="4D9730D4"/>
    <w:rsid w:val="4E4335D2"/>
    <w:rsid w:val="4ECF4C05"/>
    <w:rsid w:val="574F0649"/>
    <w:rsid w:val="59AF56D7"/>
    <w:rsid w:val="5B2B3FCD"/>
    <w:rsid w:val="5BAE356C"/>
    <w:rsid w:val="5CB07A05"/>
    <w:rsid w:val="5D644189"/>
    <w:rsid w:val="5ED17601"/>
    <w:rsid w:val="612F2391"/>
    <w:rsid w:val="61897173"/>
    <w:rsid w:val="61A9272A"/>
    <w:rsid w:val="63742E27"/>
    <w:rsid w:val="63F21B1B"/>
    <w:rsid w:val="64877C4F"/>
    <w:rsid w:val="65493192"/>
    <w:rsid w:val="666C26EF"/>
    <w:rsid w:val="67990FF5"/>
    <w:rsid w:val="6B511389"/>
    <w:rsid w:val="6D5763C1"/>
    <w:rsid w:val="6D81148F"/>
    <w:rsid w:val="6D9C3C5F"/>
    <w:rsid w:val="6DAF4413"/>
    <w:rsid w:val="6E8006EE"/>
    <w:rsid w:val="6ECC4D84"/>
    <w:rsid w:val="70BA2DA1"/>
    <w:rsid w:val="71B87B2B"/>
    <w:rsid w:val="729B4F6A"/>
    <w:rsid w:val="72B347AB"/>
    <w:rsid w:val="72EF3FF6"/>
    <w:rsid w:val="733E01F4"/>
    <w:rsid w:val="7424079F"/>
    <w:rsid w:val="74D4598A"/>
    <w:rsid w:val="75A20EFB"/>
    <w:rsid w:val="76FD3FC3"/>
    <w:rsid w:val="7AA5545A"/>
    <w:rsid w:val="7ABE3B1E"/>
    <w:rsid w:val="7BAA5900"/>
    <w:rsid w:val="7D9A3104"/>
    <w:rsid w:val="7DB94919"/>
    <w:rsid w:val="7DBC27E6"/>
    <w:rsid w:val="7F7E3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058CBA-531C-4939-9996-A6EA5062A2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1038</Words>
  <Characters>5923</Characters>
  <Lines>49</Lines>
  <Paragraphs>13</Paragraphs>
  <TotalTime>252</TotalTime>
  <ScaleCrop>false</ScaleCrop>
  <LinksUpToDate>false</LinksUpToDate>
  <CharactersWithSpaces>6948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2017-05-27T01:36:00Z</cp:lastPrinted>
  <dcterms:modified xsi:type="dcterms:W3CDTF">2024-02-20T08:38:08Z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E848BD0FED2F4E23B305C3B2AC8FBA37_13</vt:lpwstr>
  </property>
</Properties>
</file>