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黑体"/>
          <w:b/>
          <w:sz w:val="44"/>
          <w:szCs w:val="44"/>
        </w:rPr>
      </w:pPr>
      <w:bookmarkStart w:id="2" w:name="_GoBack"/>
      <w:bookmarkEnd w:id="2"/>
      <w:r>
        <w:rPr>
          <w:rFonts w:hint="eastAsia" w:ascii="宋体" w:hAnsi="宋体" w:eastAsia="宋体" w:cs="黑体"/>
          <w:b/>
          <w:sz w:val="44"/>
          <w:szCs w:val="44"/>
        </w:rPr>
        <w:t>成安县人民政府办公室</w:t>
      </w:r>
    </w:p>
    <w:p>
      <w:pPr>
        <w:jc w:val="center"/>
        <w:rPr>
          <w:rFonts w:ascii="宋体" w:hAnsi="宋体" w:eastAsia="宋体" w:cs="黑体"/>
          <w:b/>
          <w:sz w:val="44"/>
          <w:szCs w:val="44"/>
        </w:rPr>
      </w:pPr>
      <w:r>
        <w:rPr>
          <w:rFonts w:hint="eastAsia" w:ascii="宋体" w:hAnsi="宋体" w:eastAsia="宋体" w:cs="黑体"/>
          <w:b/>
          <w:sz w:val="44"/>
          <w:szCs w:val="44"/>
        </w:rPr>
        <w:t>2020年部门预算公开情况说明</w:t>
      </w:r>
    </w:p>
    <w:p>
      <w:pPr>
        <w:ind w:firstLine="640" w:firstLineChars="200"/>
        <w:rPr>
          <w:rFonts w:ascii="黑体" w:hAnsi="黑体" w:eastAsia="黑体" w:cs="黑体"/>
          <w:sz w:val="32"/>
          <w:szCs w:val="32"/>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一、部门职责及机构设置情况</w:t>
      </w:r>
    </w:p>
    <w:p>
      <w:pPr>
        <w:pStyle w:val="11"/>
        <w:snapToGrid w:val="0"/>
        <w:spacing w:line="560" w:lineRule="exact"/>
        <w:ind w:firstLine="643"/>
        <w:rPr>
          <w:rFonts w:ascii="楷体" w:hAnsi="楷体" w:eastAsia="楷体" w:cs="楷体"/>
          <w:b/>
          <w:bCs/>
          <w:sz w:val="32"/>
          <w:szCs w:val="32"/>
        </w:rPr>
      </w:pPr>
      <w:r>
        <w:rPr>
          <w:rFonts w:hint="eastAsia" w:ascii="楷体" w:hAnsi="楷体" w:eastAsia="楷体" w:cs="楷体"/>
          <w:b/>
          <w:bCs/>
          <w:sz w:val="32"/>
          <w:szCs w:val="32"/>
        </w:rPr>
        <w:t>部门职责：</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一）围绕县政府中心工作和重点工作，加强调查研究，及时收集、整理全县社会经济发展情况和县政府工作情况，超前研究分析各方面的动向，为领导科学决策和正确指导工作提供有参考价值的信息、资料、建议。</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（二）对我县经济社会发展中重大问题进行调查研究，提出政策性建议。</w:t>
      </w:r>
    </w:p>
    <w:p>
      <w:pPr>
        <w:pStyle w:val="11"/>
        <w:snapToGrid w:val="0"/>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(三）负责县政府各种会议的准备工作，协助县政府领导同志组织各类会议。</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（四）负责来访群众的接待、疏导工作。</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（五）负责文件、明传电报和其他材料呈送及县领导批示件的交办工作。</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（六）负责县政府及办公室文件的起草、审核把关和政府机关的文书处理工作，负责政府机关的文件档案管理、印信管理和保密工作。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（七）负责组织县政府工作报告、领导同志重要讲话及其他材料的起草、修改工作。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（八）根据县政府的要求或办理文件的需要，协助领导协调上下之间、部门之间的关系，协调处理在权限内能够解决的问题，负责工农关系的协调。</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（九）负责县政府及办公室的政务接待、机关值班及办公室的印信管理工作。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（十）督促检查县政府各部门、各乡（镇）人民政府对国务院、省政府、市政府、县政府重要文件、县政府会议议定事项及县政府领导同志重要批示的执行、落实情况，并向县政府领导同志报告。</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（十一）负责县政府法律库的管理工作；负责监督检查县政府行政许可审批部门的法制建设和依法行政工作；承办县依法行政工作领导小组交办的其他事项。</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（十二）负责组织编制政府突发公共事件总体应急预案，组织审核专项预案，指导乡镇、政府有关部门的应急体系、应急信息平台建设等工作。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（十三）负责贯彻落实国家和省、市有关金融工作的方针、政策和法律法规；研究制定全县金融产业中长期规划，提出促进金融产业发展的政策建议；引进各类金融机构，组织开展银企对接等工作。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（十四）负责全县项目建设、工业园区提档升级工作的整体谋划、综合协调、督导推进、工作落实。</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（十五）贯彻落实国家和省、市有关对外贸易、国际经济合作和招商引资的发展战略、方针、政策；拟订全县相应的发展规划以及规定、办法和措施。</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（十六）研究提出流通体制改革意见，培育发展城乡市场，推进流通产业结构调整。</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（十七）负责全县整顿和规范市场经济秩序的具体实施工作，建立健全统一、开放、竞争、有序的市场体系。</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（十八）负责成品油等主要生活用品的流通和拍卖、典当等行业的监督管理。</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（十九）负责进出口配额计划的编报、下达和组织实施及配额、许可证管理工作。</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（二十）贯彻执行国家和省对外技术贸易、进出口管制以及鼓励技术和成套设备出口的政策。</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（二十一）贯彻执行国家和省、市有关对外开放、招商引资等方面的法律法规。</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（二十二）负责全县对外经济合作工作。</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（二十三）指导监督以成安县名义在境内外举办的各种外经贸交易会、展览会、展销会等活动；拟订并实施赴境外举办上述活动的管理办法。</w:t>
      </w:r>
    </w:p>
    <w:p>
      <w:pPr>
        <w:pStyle w:val="11"/>
        <w:spacing w:line="560" w:lineRule="exact"/>
        <w:ind w:firstLineChars="0"/>
        <w:rPr>
          <w:rFonts w:ascii="仿宋" w:hAnsi="仿宋" w:eastAsia="仿宋" w:cs="仿宋"/>
          <w:sz w:val="32"/>
          <w:szCs w:val="32"/>
        </w:rPr>
      </w:pPr>
      <w:r>
        <w:rPr>
          <w:rFonts w:hint="eastAsia" w:ascii="仿宋" w:hAnsi="仿宋" w:eastAsia="仿宋" w:cs="仿宋"/>
          <w:sz w:val="32"/>
          <w:szCs w:val="32"/>
        </w:rPr>
        <w:t>（二十四）负责全县政务公开工作。承担县政务公开领导小组有关工作；研究制定全县政务工作实施方案；</w:t>
      </w:r>
      <w:r>
        <w:rPr>
          <w:rFonts w:hint="eastAsia" w:ascii="仿宋" w:hAnsi="仿宋" w:eastAsia="仿宋" w:cs="仿宋"/>
          <w:spacing w:val="10"/>
          <w:sz w:val="32"/>
          <w:szCs w:val="32"/>
        </w:rPr>
        <w:t>承办县政府信息公开事宜，组织编制县政府信息公开指南、公开目录和年度报告，对拟公开的政府信息进行保密审查。</w:t>
      </w:r>
    </w:p>
    <w:p>
      <w:pPr>
        <w:widowControl/>
        <w:spacing w:line="360" w:lineRule="auto"/>
        <w:ind w:firstLine="627" w:firstLineChars="196"/>
        <w:jc w:val="left"/>
        <w:rPr>
          <w:rFonts w:ascii="仿宋" w:hAnsi="仿宋" w:eastAsia="仿宋" w:cs="仿宋"/>
          <w:sz w:val="32"/>
          <w:szCs w:val="32"/>
        </w:rPr>
      </w:pPr>
      <w:r>
        <w:rPr>
          <w:rFonts w:hint="eastAsia" w:ascii="仿宋" w:hAnsi="仿宋" w:eastAsia="仿宋" w:cs="仿宋"/>
          <w:sz w:val="32"/>
          <w:szCs w:val="32"/>
        </w:rPr>
        <w:t>（二十五）承办县委、县政府交办的其他事项。</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人员编制26名，其中领导职数7个。</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机构设置：</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办公室:围绕县政府中心工作和重点工作，加强调查研究，及时收集、整理全县社会经济发展情况和县政府工作情况，超前研究分析各方面的动向，为领导科学决策和正确指导工作提供有参考价值的信息、资料、建议。</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督查室：负责督促检查县政府各部门、各乡（镇）人民政府对国务院、省政府、市政府、县政府重要文件、县政府会议议定事项及县政府领导同志重要批示的执行、落实情况，并向县政府领导同志报告。</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应急办：负责组织编制政府突发公共事件总体应急预案，组织审核专项预案，指导乡镇、政府有关部门的应急体系、应急信息平台建设。</w:t>
      </w:r>
    </w:p>
    <w:p>
      <w:pPr>
        <w:pStyle w:val="11"/>
        <w:snapToGrid w:val="0"/>
        <w:spacing w:line="560" w:lineRule="exact"/>
        <w:ind w:firstLine="640"/>
        <w:rPr>
          <w:rFonts w:ascii="仿宋" w:hAnsi="仿宋" w:eastAsia="仿宋" w:cs="仿宋"/>
          <w:sz w:val="32"/>
          <w:szCs w:val="32"/>
        </w:rPr>
      </w:pPr>
    </w:p>
    <w:p>
      <w:pPr>
        <w:widowControl/>
        <w:spacing w:line="360" w:lineRule="auto"/>
        <w:ind w:firstLine="640" w:firstLineChars="200"/>
        <w:jc w:val="left"/>
        <w:rPr>
          <w:rFonts w:ascii="仿宋_GB2312" w:hAnsi="Calibri" w:eastAsia="仿宋_GB2312" w:cs="仿宋_GB2312"/>
          <w:kern w:val="0"/>
          <w:sz w:val="32"/>
          <w:szCs w:val="32"/>
        </w:rPr>
      </w:pPr>
    </w:p>
    <w:p>
      <w:pPr>
        <w:jc w:val="center"/>
        <w:outlineLvl w:val="0"/>
        <w:rPr>
          <w:rFonts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部门机构设置情况</w:t>
      </w:r>
    </w:p>
    <w:tbl>
      <w:tblPr>
        <w:tblStyle w:val="6"/>
        <w:tblW w:w="91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3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3409"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center"/>
              <w:outlineLvl w:val="0"/>
              <w:rPr>
                <w:rFonts w:ascii="Times New Roman" w:hAnsi="Times New Roman" w:eastAsia="宋体" w:cs="Times New Roman"/>
              </w:rPr>
            </w:pPr>
          </w:p>
        </w:tc>
        <w:tc>
          <w:tcPr>
            <w:tcW w:w="1134" w:type="dxa"/>
            <w:vMerge w:val="continue"/>
            <w:vAlign w:val="center"/>
          </w:tcPr>
          <w:p>
            <w:pPr>
              <w:spacing w:line="300" w:lineRule="exact"/>
              <w:jc w:val="center"/>
              <w:outlineLvl w:val="0"/>
              <w:rPr>
                <w:rFonts w:ascii="Times New Roman" w:hAnsi="Times New Roman" w:eastAsia="宋体" w:cs="Times New Roman"/>
              </w:rPr>
            </w:pPr>
          </w:p>
        </w:tc>
        <w:tc>
          <w:tcPr>
            <w:tcW w:w="1276" w:type="dxa"/>
            <w:vMerge w:val="continue"/>
            <w:vAlign w:val="center"/>
          </w:tcPr>
          <w:p>
            <w:pPr>
              <w:spacing w:line="300" w:lineRule="exact"/>
              <w:jc w:val="center"/>
              <w:outlineLvl w:val="0"/>
              <w:rPr>
                <w:rFonts w:ascii="Times New Roman" w:hAnsi="Times New Roman" w:eastAsia="宋体" w:cs="Times New Roman"/>
              </w:rPr>
            </w:pPr>
          </w:p>
        </w:tc>
        <w:tc>
          <w:tcPr>
            <w:tcW w:w="3409" w:type="dxa"/>
            <w:vMerge w:val="continue"/>
            <w:vAlign w:val="center"/>
          </w:tcPr>
          <w:p>
            <w:pPr>
              <w:spacing w:line="300" w:lineRule="exact"/>
              <w:jc w:val="center"/>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成安县人民政府研究室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成安县金融办公室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成安县老区建设促进会</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成安县人民政府督促检查办公室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成安县人民政府政务公开办公室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副科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3317" w:type="dxa"/>
            <w:vAlign w:val="center"/>
          </w:tcPr>
          <w:p>
            <w:pPr>
              <w:jc w:val="center"/>
              <w:rPr>
                <w:rFonts w:ascii="仿宋" w:hAnsi="仿宋" w:eastAsia="仿宋"/>
              </w:rPr>
            </w:pPr>
            <w:r>
              <w:rPr>
                <w:rFonts w:hint="eastAsia" w:ascii="仿宋" w:hAnsi="仿宋" w:eastAsia="仿宋"/>
              </w:rPr>
              <w:t>成安县人民政府应急管理办公室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3317" w:type="dxa"/>
            <w:vAlign w:val="center"/>
          </w:tcPr>
          <w:p>
            <w:pPr>
              <w:jc w:val="center"/>
              <w:rPr>
                <w:rFonts w:ascii="仿宋" w:hAnsi="仿宋" w:eastAsia="仿宋"/>
              </w:rPr>
            </w:pPr>
            <w:r>
              <w:rPr>
                <w:rFonts w:hint="eastAsia" w:ascii="仿宋" w:hAnsi="仿宋" w:eastAsia="仿宋"/>
              </w:rPr>
              <w:t>成安县人民政府项目推进办</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ind w:firstLine="840" w:firstLineChars="400"/>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3317" w:type="dxa"/>
            <w:vAlign w:val="center"/>
          </w:tcPr>
          <w:p>
            <w:pPr>
              <w:jc w:val="center"/>
              <w:rPr>
                <w:rFonts w:ascii="仿宋" w:hAnsi="仿宋" w:eastAsia="仿宋"/>
              </w:rPr>
            </w:pPr>
            <w:r>
              <w:rPr>
                <w:rFonts w:hint="eastAsia" w:ascii="仿宋" w:hAnsi="仿宋" w:eastAsia="仿宋" w:cs="Times New Roman"/>
              </w:rPr>
              <w:t>成安县人民政府法制办公室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ind w:firstLine="840" w:firstLineChars="400"/>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_GB2312" w:hAnsi="Calibri" w:eastAsia="仿宋_GB2312" w:cs="仿宋_GB2312"/>
          <w:kern w:val="0"/>
          <w:sz w:val="32"/>
          <w:szCs w:val="32"/>
        </w:rPr>
        <w:t>2020年部门收入预算总额为761.33万元，</w:t>
      </w:r>
      <w:r>
        <w:rPr>
          <w:rFonts w:hint="eastAsia" w:ascii="仿宋" w:hAnsi="仿宋" w:eastAsia="仿宋" w:cs="方正仿宋_GBK"/>
          <w:sz w:val="32"/>
          <w:szCs w:val="32"/>
        </w:rPr>
        <w:t>其中：一般公共预算收入</w:t>
      </w:r>
      <w:r>
        <w:rPr>
          <w:rFonts w:hint="eastAsia" w:ascii="仿宋_GB2312" w:hAnsi="Calibri" w:eastAsia="仿宋_GB2312" w:cs="仿宋_GB2312"/>
          <w:kern w:val="0"/>
          <w:sz w:val="32"/>
          <w:szCs w:val="32"/>
        </w:rPr>
        <w:t>761.33</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2、支出说明</w:t>
      </w:r>
    </w:p>
    <w:p>
      <w:pPr>
        <w:widowControl/>
        <w:spacing w:line="360" w:lineRule="auto"/>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2020年部门支出预算总额为761.33万元，其中基本支出564.90万元，包括人员经费467.30万元，公用经费196.43万元；项目支出0万元。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3、比上年增减变化情况</w:t>
      </w:r>
    </w:p>
    <w:p>
      <w:pPr>
        <w:widowControl/>
        <w:spacing w:line="360" w:lineRule="auto"/>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2020年部门预算收支安排761.33万元，2019</w:t>
      </w:r>
      <w:r>
        <w:rPr>
          <w:rFonts w:ascii="仿宋_GB2312" w:hAnsi="Calibri" w:eastAsia="仿宋_GB2312" w:cs="仿宋_GB2312"/>
          <w:kern w:val="0"/>
          <w:sz w:val="32"/>
          <w:szCs w:val="32"/>
        </w:rPr>
        <w:t>年财政拨款收</w:t>
      </w:r>
      <w:r>
        <w:rPr>
          <w:rFonts w:hint="eastAsia" w:ascii="仿宋_GB2312" w:hAnsi="Calibri" w:eastAsia="仿宋_GB2312" w:cs="仿宋_GB2312"/>
          <w:kern w:val="0"/>
          <w:sz w:val="32"/>
          <w:szCs w:val="32"/>
        </w:rPr>
        <w:t>支为945.49</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与去年相比降低184.16万元，</w:t>
      </w:r>
      <w:r>
        <w:rPr>
          <w:rFonts w:hint="eastAsia" w:ascii="仿宋" w:hAnsi="仿宋" w:eastAsia="仿宋" w:cs="仿宋_GB2312"/>
          <w:kern w:val="0"/>
          <w:sz w:val="32"/>
          <w:szCs w:val="32"/>
        </w:rPr>
        <w:t>主要是2020年成安新区项目支出由我单位支出划到新区管委会支出。</w:t>
      </w:r>
    </w:p>
    <w:p>
      <w:pPr>
        <w:pStyle w:val="12"/>
        <w:widowControl/>
        <w:numPr>
          <w:ilvl w:val="0"/>
          <w:numId w:val="1"/>
        </w:numPr>
        <w:spacing w:line="360" w:lineRule="auto"/>
        <w:ind w:left="1350" w:leftChars="0" w:firstLineChars="0"/>
        <w:jc w:val="left"/>
        <w:rPr>
          <w:rFonts w:ascii="黑体" w:hAnsi="黑体" w:eastAsia="黑体" w:cs="仿宋_GB2312"/>
          <w:kern w:val="0"/>
          <w:sz w:val="32"/>
          <w:szCs w:val="32"/>
        </w:rPr>
      </w:pPr>
      <w:bookmarkStart w:id="0" w:name="_Toc471398463"/>
      <w:r>
        <w:rPr>
          <w:rFonts w:hint="eastAsia" w:ascii="黑体" w:hAnsi="黑体" w:eastAsia="黑体" w:cs="仿宋_GB2312"/>
          <w:kern w:val="0"/>
          <w:sz w:val="32"/>
          <w:szCs w:val="32"/>
        </w:rPr>
        <w:t>机关运行经费情况</w:t>
      </w:r>
    </w:p>
    <w:p>
      <w:pPr>
        <w:widowControl/>
        <w:spacing w:line="360" w:lineRule="auto"/>
        <w:ind w:firstLine="640" w:firstLineChars="200"/>
        <w:jc w:val="left"/>
        <w:rPr>
          <w:rFonts w:ascii="Calibri" w:hAnsi="Calibri" w:eastAsia="仿宋_GB2312" w:cs="Calibri"/>
          <w:kern w:val="0"/>
          <w:sz w:val="32"/>
          <w:szCs w:val="32"/>
        </w:rPr>
      </w:pPr>
      <w:r>
        <w:rPr>
          <w:rFonts w:hint="eastAsia" w:ascii="仿宋_GB2312" w:hAnsi="Calibri" w:eastAsia="仿宋_GB2312" w:cs="仿宋_GB2312"/>
          <w:kern w:val="0"/>
          <w:sz w:val="32"/>
          <w:szCs w:val="32"/>
        </w:rPr>
        <w:t>日常公用经费安排196.43万元，包括：办公费</w:t>
      </w:r>
      <w:r>
        <w:rPr>
          <w:rFonts w:hint="eastAsia" w:ascii="仿宋_GB2312" w:hAnsi="Calibri" w:eastAsia="仿宋_GB2312" w:cs="仿宋_GB2312"/>
          <w:kern w:val="0"/>
          <w:sz w:val="32"/>
          <w:szCs w:val="32"/>
          <w:lang w:val="en-US" w:eastAsia="zh-CN"/>
        </w:rPr>
        <w:t>110万元</w:t>
      </w:r>
      <w:r>
        <w:rPr>
          <w:rFonts w:hint="eastAsia" w:ascii="仿宋_GB2312" w:hAnsi="Calibri" w:eastAsia="仿宋_GB2312" w:cs="仿宋_GB2312"/>
          <w:kern w:val="0"/>
          <w:sz w:val="32"/>
          <w:szCs w:val="32"/>
        </w:rPr>
        <w:t>、</w:t>
      </w:r>
      <w:r>
        <w:rPr>
          <w:rFonts w:hint="eastAsia" w:ascii="仿宋_GB2312" w:hAnsi="Calibri" w:eastAsia="仿宋_GB2312" w:cs="仿宋_GB2312"/>
          <w:kern w:val="0"/>
          <w:sz w:val="32"/>
          <w:szCs w:val="32"/>
          <w:lang w:eastAsia="zh-CN"/>
        </w:rPr>
        <w:t>印刷费</w:t>
      </w:r>
      <w:r>
        <w:rPr>
          <w:rFonts w:hint="eastAsia" w:ascii="仿宋_GB2312" w:hAnsi="Calibri" w:eastAsia="仿宋_GB2312" w:cs="仿宋_GB2312"/>
          <w:kern w:val="0"/>
          <w:sz w:val="32"/>
          <w:szCs w:val="32"/>
          <w:lang w:val="en-US" w:eastAsia="zh-CN"/>
        </w:rPr>
        <w:t>11万元、</w:t>
      </w:r>
      <w:r>
        <w:rPr>
          <w:rFonts w:hint="eastAsia" w:ascii="仿宋_GB2312" w:hAnsi="Calibri" w:eastAsia="仿宋_GB2312" w:cs="仿宋_GB2312"/>
          <w:kern w:val="0"/>
          <w:sz w:val="32"/>
          <w:szCs w:val="32"/>
        </w:rPr>
        <w:t>差旅费</w:t>
      </w:r>
      <w:r>
        <w:rPr>
          <w:rFonts w:hint="eastAsia" w:ascii="仿宋_GB2312" w:hAnsi="Calibri" w:eastAsia="仿宋_GB2312" w:cs="仿宋_GB2312"/>
          <w:kern w:val="0"/>
          <w:sz w:val="32"/>
          <w:szCs w:val="32"/>
          <w:lang w:val="en-US" w:eastAsia="zh-CN"/>
        </w:rPr>
        <w:t>5.5万元</w:t>
      </w:r>
      <w:r>
        <w:rPr>
          <w:rFonts w:hint="eastAsia" w:ascii="仿宋_GB2312" w:hAnsi="Calibri" w:eastAsia="仿宋_GB2312" w:cs="仿宋_GB2312"/>
          <w:kern w:val="0"/>
          <w:sz w:val="32"/>
          <w:szCs w:val="32"/>
        </w:rPr>
        <w:t>、</w:t>
      </w:r>
      <w:r>
        <w:rPr>
          <w:rFonts w:hint="eastAsia" w:ascii="仿宋_GB2312" w:hAnsi="Calibri" w:eastAsia="仿宋_GB2312" w:cs="仿宋_GB2312"/>
          <w:kern w:val="0"/>
          <w:sz w:val="32"/>
          <w:szCs w:val="32"/>
          <w:lang w:eastAsia="zh-CN"/>
        </w:rPr>
        <w:t>维修维护费</w:t>
      </w:r>
      <w:r>
        <w:rPr>
          <w:rFonts w:hint="eastAsia" w:ascii="仿宋_GB2312" w:hAnsi="Calibri" w:eastAsia="仿宋_GB2312" w:cs="仿宋_GB2312"/>
          <w:kern w:val="0"/>
          <w:sz w:val="32"/>
          <w:szCs w:val="32"/>
          <w:lang w:val="en-US" w:eastAsia="zh-CN"/>
        </w:rPr>
        <w:t>14万元、</w:t>
      </w:r>
      <w:r>
        <w:rPr>
          <w:rFonts w:hint="eastAsia" w:ascii="仿宋_GB2312" w:hAnsi="Calibri" w:eastAsia="仿宋_GB2312" w:cs="仿宋_GB2312"/>
          <w:kern w:val="0"/>
          <w:sz w:val="32"/>
          <w:szCs w:val="32"/>
        </w:rPr>
        <w:t>招待费</w:t>
      </w:r>
      <w:r>
        <w:rPr>
          <w:rFonts w:hint="eastAsia" w:ascii="仿宋_GB2312" w:hAnsi="Calibri" w:eastAsia="仿宋_GB2312" w:cs="仿宋_GB2312"/>
          <w:kern w:val="0"/>
          <w:sz w:val="32"/>
          <w:szCs w:val="32"/>
          <w:lang w:val="en-US" w:eastAsia="zh-CN"/>
        </w:rPr>
        <w:t>2万元、劳务费10万元、工会经费6万元</w:t>
      </w:r>
      <w:r>
        <w:rPr>
          <w:rFonts w:hint="eastAsia" w:ascii="仿宋_GB2312" w:hAnsi="Calibri" w:eastAsia="仿宋_GB2312" w:cs="仿宋_GB2312"/>
          <w:kern w:val="0"/>
          <w:sz w:val="32"/>
          <w:szCs w:val="32"/>
        </w:rPr>
        <w:t>、</w:t>
      </w:r>
      <w:r>
        <w:rPr>
          <w:rFonts w:hint="eastAsia" w:ascii="仿宋_GB2312" w:hAnsi="Calibri" w:eastAsia="仿宋_GB2312" w:cs="仿宋_GB2312"/>
          <w:kern w:val="0"/>
          <w:sz w:val="32"/>
          <w:szCs w:val="32"/>
          <w:lang w:eastAsia="zh-CN"/>
        </w:rPr>
        <w:t>公务用车运行维护费</w:t>
      </w:r>
      <w:r>
        <w:rPr>
          <w:rFonts w:hint="eastAsia" w:ascii="仿宋_GB2312" w:hAnsi="Calibri" w:eastAsia="仿宋_GB2312" w:cs="仿宋_GB2312"/>
          <w:kern w:val="0"/>
          <w:sz w:val="32"/>
          <w:szCs w:val="32"/>
          <w:lang w:val="en-US" w:eastAsia="zh-CN"/>
        </w:rPr>
        <w:t>15万元、交通补贴17.93、办公设备购置5万元</w:t>
      </w:r>
      <w:r>
        <w:rPr>
          <w:rFonts w:hint="eastAsia" w:ascii="仿宋_GB2312" w:hAnsi="Calibri" w:eastAsia="仿宋_GB2312" w:cs="仿宋_GB2312"/>
          <w:kern w:val="0"/>
          <w:sz w:val="32"/>
          <w:szCs w:val="32"/>
        </w:rPr>
        <w:t>等。</w:t>
      </w:r>
    </w:p>
    <w:p>
      <w:pPr>
        <w:widowControl/>
        <w:spacing w:line="360" w:lineRule="auto"/>
        <w:ind w:left="567" w:firstLine="320" w:firstLineChars="100"/>
        <w:jc w:val="left"/>
        <w:rPr>
          <w:rFonts w:ascii="黑体" w:hAnsi="黑体" w:eastAsia="黑体" w:cs="仿宋_GB2312"/>
          <w:kern w:val="0"/>
          <w:sz w:val="32"/>
          <w:szCs w:val="32"/>
        </w:rPr>
      </w:pPr>
      <w:r>
        <w:rPr>
          <w:rFonts w:hint="eastAsia" w:ascii="黑体" w:hAnsi="黑体" w:eastAsia="黑体" w:cs="仿宋_GB2312"/>
          <w:kern w:val="0"/>
          <w:sz w:val="32"/>
          <w:szCs w:val="32"/>
        </w:rPr>
        <w:t>四、“三公”经费预算情况</w:t>
      </w:r>
    </w:p>
    <w:p>
      <w:pPr>
        <w:widowControl/>
        <w:spacing w:line="360" w:lineRule="auto"/>
        <w:ind w:left="420" w:left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w:t>
      </w:r>
      <w:r>
        <w:rPr>
          <w:rFonts w:hint="eastAsia" w:ascii="仿宋_GB2312" w:hAnsi="Calibri" w:eastAsia="仿宋_GB2312" w:cs="仿宋_GB2312"/>
          <w:kern w:val="0"/>
          <w:sz w:val="32"/>
          <w:szCs w:val="32"/>
          <w:lang w:val="en-US" w:eastAsia="zh-CN"/>
        </w:rPr>
        <w:t>2020</w:t>
      </w:r>
      <w:r>
        <w:rPr>
          <w:rFonts w:hint="eastAsia" w:ascii="仿宋_GB2312" w:hAnsi="Calibri" w:eastAsia="仿宋_GB2312" w:cs="仿宋_GB2312"/>
          <w:kern w:val="0"/>
          <w:sz w:val="32"/>
          <w:szCs w:val="32"/>
        </w:rPr>
        <w:t>年度“三公”预算支出17万元，其中，因公出国（境）费0元，</w:t>
      </w:r>
      <w:r>
        <w:rPr>
          <w:rFonts w:hint="eastAsia" w:ascii="仿宋_GB2312" w:hAnsi="Calibri" w:eastAsia="仿宋_GB2312" w:cs="仿宋_GB2312"/>
          <w:kern w:val="0"/>
          <w:sz w:val="32"/>
          <w:szCs w:val="32"/>
          <w:lang w:eastAsia="zh-CN"/>
        </w:rPr>
        <w:t>与去年持平</w:t>
      </w:r>
      <w:r>
        <w:rPr>
          <w:rFonts w:hint="eastAsia" w:ascii="仿宋_GB2312" w:hAnsi="Calibri" w:eastAsia="仿宋_GB2312" w:cs="仿宋_GB2312"/>
          <w:kern w:val="0"/>
          <w:sz w:val="32"/>
          <w:szCs w:val="32"/>
        </w:rPr>
        <w:t>安排公务用车维护费15万元，（其中公务用车购置费0元，公务用车运行维护费15万元），</w:t>
      </w:r>
      <w:r>
        <w:rPr>
          <w:rFonts w:hint="eastAsia" w:ascii="仿宋_GB2312" w:hAnsi="Calibri" w:eastAsia="仿宋_GB2312" w:cs="仿宋_GB2312"/>
          <w:kern w:val="0"/>
          <w:sz w:val="32"/>
          <w:szCs w:val="32"/>
          <w:lang w:eastAsia="zh-CN"/>
        </w:rPr>
        <w:t>比去年增加</w:t>
      </w:r>
      <w:r>
        <w:rPr>
          <w:rFonts w:hint="eastAsia" w:ascii="仿宋_GB2312" w:hAnsi="Calibri" w:eastAsia="仿宋_GB2312" w:cs="仿宋_GB2312"/>
          <w:kern w:val="0"/>
          <w:sz w:val="32"/>
          <w:szCs w:val="32"/>
          <w:lang w:val="en-US" w:eastAsia="zh-CN"/>
        </w:rPr>
        <w:t>50%，因车辆老旧，更换发动机一台。</w:t>
      </w:r>
      <w:r>
        <w:rPr>
          <w:rFonts w:hint="eastAsia" w:ascii="仿宋_GB2312" w:hAnsi="Calibri" w:eastAsia="仿宋_GB2312" w:cs="仿宋_GB2312"/>
          <w:kern w:val="0"/>
          <w:sz w:val="32"/>
          <w:szCs w:val="32"/>
        </w:rPr>
        <w:t>公务接</w:t>
      </w:r>
      <w:r>
        <w:rPr>
          <w:rFonts w:hint="eastAsia" w:ascii="仿宋_GB2312" w:hAnsi="Calibri" w:eastAsia="仿宋_GB2312" w:cs="仿宋_GB2312"/>
          <w:kern w:val="0"/>
          <w:sz w:val="32"/>
          <w:szCs w:val="32"/>
          <w:lang w:eastAsia="zh-CN"/>
        </w:rPr>
        <w:t>待</w:t>
      </w:r>
      <w:r>
        <w:rPr>
          <w:rFonts w:hint="eastAsia" w:ascii="仿宋_GB2312" w:hAnsi="Calibri" w:eastAsia="仿宋_GB2312" w:cs="仿宋_GB2312"/>
          <w:kern w:val="0"/>
          <w:sz w:val="32"/>
          <w:szCs w:val="32"/>
        </w:rPr>
        <w:t>费2万元，</w:t>
      </w:r>
      <w:r>
        <w:rPr>
          <w:rFonts w:hint="eastAsia" w:ascii="仿宋_GB2312" w:hAnsi="Calibri" w:eastAsia="仿宋_GB2312" w:cs="仿宋_GB2312"/>
          <w:kern w:val="0"/>
          <w:sz w:val="32"/>
          <w:szCs w:val="32"/>
          <w:lang w:val="en-US" w:eastAsia="zh-CN"/>
        </w:rPr>
        <w:t>2020</w:t>
      </w:r>
      <w:r>
        <w:rPr>
          <w:rFonts w:hint="eastAsia" w:ascii="仿宋_GB2312" w:hAnsi="Calibri" w:eastAsia="仿宋_GB2312" w:cs="仿宋_GB2312"/>
          <w:kern w:val="0"/>
          <w:sz w:val="32"/>
          <w:szCs w:val="32"/>
        </w:rPr>
        <w:t>年“三公”经费预算</w:t>
      </w:r>
      <w:r>
        <w:rPr>
          <w:rFonts w:hint="eastAsia" w:ascii="仿宋_GB2312" w:hAnsi="Calibri" w:eastAsia="仿宋_GB2312" w:cs="仿宋_GB2312"/>
          <w:kern w:val="0"/>
          <w:sz w:val="32"/>
          <w:szCs w:val="32"/>
          <w:lang w:eastAsia="zh-CN"/>
        </w:rPr>
        <w:t>增加了</w:t>
      </w:r>
      <w:r>
        <w:rPr>
          <w:rFonts w:hint="eastAsia" w:ascii="仿宋_GB2312" w:hAnsi="Calibri" w:eastAsia="仿宋_GB2312" w:cs="仿宋_GB2312"/>
          <w:kern w:val="0"/>
          <w:sz w:val="32"/>
          <w:szCs w:val="32"/>
          <w:lang w:val="en-US" w:eastAsia="zh-CN"/>
        </w:rPr>
        <w:t>41.6</w:t>
      </w:r>
      <w:r>
        <w:rPr>
          <w:rFonts w:hint="eastAsia" w:ascii="仿宋_GB2312" w:hAnsi="Calibri" w:eastAsia="仿宋_GB2312" w:cs="仿宋_GB2312"/>
          <w:kern w:val="0"/>
          <w:sz w:val="32"/>
          <w:szCs w:val="32"/>
        </w:rPr>
        <w:t>%。</w:t>
      </w:r>
    </w:p>
    <w:p>
      <w:pPr>
        <w:numPr>
          <w:ilvl w:val="0"/>
          <w:numId w:val="0"/>
        </w:numPr>
        <w:spacing w:line="560" w:lineRule="exact"/>
        <w:ind w:left="630" w:leftChars="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绩效预算信息</w:t>
      </w:r>
    </w:p>
    <w:p>
      <w:pPr>
        <w:spacing w:line="560" w:lineRule="exact"/>
        <w:ind w:firstLine="643" w:firstLineChars="200"/>
        <w:jc w:val="left"/>
        <w:rPr>
          <w:rFonts w:ascii="楷体_GB2312" w:eastAsia="楷体_GB2312"/>
          <w:b/>
          <w:sz w:val="32"/>
          <w:szCs w:val="32"/>
        </w:rPr>
      </w:pPr>
      <w:r>
        <w:rPr>
          <w:rFonts w:hint="eastAsia" w:ascii="楷体_GB2312" w:eastAsia="楷体_GB2312"/>
          <w:b/>
          <w:sz w:val="32"/>
          <w:szCs w:val="32"/>
          <w:lang w:eastAsia="zh-CN"/>
        </w:rPr>
        <w:t>（一）</w:t>
      </w:r>
      <w:r>
        <w:rPr>
          <w:rFonts w:hint="eastAsia" w:ascii="楷体_GB2312" w:eastAsia="楷体_GB2312"/>
          <w:b/>
          <w:sz w:val="32"/>
          <w:szCs w:val="32"/>
        </w:rPr>
        <w:t>总体绩效目标：</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以习近平新时代中国特色社会主义思想为指导，全面贯彻落实党的十九大、十九届四中、五中全会精神和省</w:t>
      </w:r>
      <w:r>
        <w:rPr>
          <w:rFonts w:hint="eastAsia" w:ascii="仿宋_GB2312" w:eastAsia="仿宋_GB2312"/>
          <w:sz w:val="32"/>
          <w:szCs w:val="32"/>
          <w:lang w:eastAsia="zh-CN"/>
        </w:rPr>
        <w:t>县</w:t>
      </w:r>
      <w:r>
        <w:rPr>
          <w:rFonts w:hint="eastAsia" w:ascii="仿宋_GB2312" w:eastAsia="仿宋_GB2312"/>
          <w:sz w:val="32"/>
          <w:szCs w:val="32"/>
        </w:rPr>
        <w:t>决策部署，全力协助县政府领导抓好新冠肺炎疫情防控工作。开展“三创四建”活动，深化“六型三化”机关建设，巩固主题教育成果，力争各项工作高站位谋划、高标准要求、高效率推进、高质量完成，为</w:t>
      </w:r>
      <w:r>
        <w:rPr>
          <w:rFonts w:hint="eastAsia" w:ascii="仿宋_GB2312" w:eastAsia="仿宋_GB2312"/>
          <w:sz w:val="32"/>
          <w:szCs w:val="32"/>
          <w:lang w:eastAsia="zh-CN"/>
        </w:rPr>
        <w:t>县</w:t>
      </w:r>
      <w:r>
        <w:rPr>
          <w:rFonts w:hint="eastAsia" w:ascii="仿宋_GB2312" w:eastAsia="仿宋_GB2312"/>
          <w:sz w:val="32"/>
          <w:szCs w:val="32"/>
        </w:rPr>
        <w:t>政府高效运转提供优质服务，为加快建设富强文明美丽的新成安作出积极贡献。</w:t>
      </w:r>
    </w:p>
    <w:p>
      <w:pPr>
        <w:numPr>
          <w:ilvl w:val="0"/>
          <w:numId w:val="2"/>
        </w:numPr>
        <w:ind w:firstLine="643" w:firstLineChars="200"/>
        <w:jc w:val="left"/>
        <w:rPr>
          <w:rFonts w:hint="eastAsia" w:ascii="楷体_GB2312" w:eastAsia="楷体_GB2312"/>
          <w:b/>
          <w:sz w:val="32"/>
          <w:szCs w:val="32"/>
          <w:lang w:eastAsia="zh-CN"/>
        </w:rPr>
      </w:pPr>
      <w:r>
        <w:rPr>
          <w:rFonts w:hint="eastAsia" w:ascii="楷体_GB2312" w:eastAsia="楷体_GB2312"/>
          <w:b/>
          <w:sz w:val="32"/>
          <w:szCs w:val="32"/>
          <w:lang w:eastAsia="zh-CN"/>
        </w:rPr>
        <w:t>、分项绩效目标：</w:t>
      </w:r>
    </w:p>
    <w:p>
      <w:pPr>
        <w:numPr>
          <w:ilvl w:val="0"/>
          <w:numId w:val="0"/>
        </w:numPr>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县</w:t>
      </w:r>
      <w:r>
        <w:rPr>
          <w:rFonts w:hint="eastAsia" w:ascii="仿宋" w:hAnsi="仿宋" w:eastAsia="仿宋"/>
          <w:sz w:val="32"/>
          <w:szCs w:val="32"/>
        </w:rPr>
        <w:t>政府值班工作：建设运行维护好</w:t>
      </w:r>
      <w:r>
        <w:rPr>
          <w:rFonts w:hint="eastAsia" w:ascii="仿宋" w:hAnsi="仿宋" w:eastAsia="仿宋"/>
          <w:sz w:val="32"/>
          <w:szCs w:val="32"/>
          <w:lang w:eastAsia="zh-CN"/>
        </w:rPr>
        <w:t>县</w:t>
      </w:r>
      <w:r>
        <w:rPr>
          <w:rFonts w:hint="eastAsia" w:ascii="仿宋" w:hAnsi="仿宋" w:eastAsia="仿宋"/>
          <w:sz w:val="32"/>
          <w:szCs w:val="32"/>
        </w:rPr>
        <w:t>政府值守平台，实现各种实用功能，有效保证</w:t>
      </w:r>
      <w:r>
        <w:rPr>
          <w:rFonts w:hint="eastAsia" w:ascii="仿宋" w:hAnsi="仿宋" w:eastAsia="仿宋"/>
          <w:sz w:val="32"/>
          <w:szCs w:val="32"/>
          <w:lang w:eastAsia="zh-CN"/>
        </w:rPr>
        <w:t>县</w:t>
      </w:r>
      <w:r>
        <w:rPr>
          <w:rFonts w:hint="eastAsia" w:ascii="仿宋" w:hAnsi="仿宋" w:eastAsia="仿宋"/>
          <w:sz w:val="32"/>
          <w:szCs w:val="32"/>
        </w:rPr>
        <w:t>政府政务值守工作；加强对</w:t>
      </w:r>
      <w:r>
        <w:rPr>
          <w:rFonts w:hint="eastAsia" w:ascii="仿宋" w:hAnsi="仿宋" w:eastAsia="仿宋"/>
          <w:sz w:val="32"/>
          <w:szCs w:val="32"/>
          <w:lang w:eastAsia="zh-CN"/>
        </w:rPr>
        <w:t>县</w:t>
      </w:r>
      <w:r>
        <w:rPr>
          <w:rFonts w:hint="eastAsia" w:ascii="仿宋" w:hAnsi="仿宋" w:eastAsia="仿宋"/>
          <w:sz w:val="32"/>
          <w:szCs w:val="32"/>
        </w:rPr>
        <w:t>政府系统值班工作的业务指导和督促检查；快速、准确、高效报送各类重要紧急情况信息。</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、综合业务管理：高质量起草文稿，高效率办理公文和领导交办事务，让领导满意、让基层单位满意。</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、内部公务接待：严格执行接待标准，降低接待费规模，降低用品购置费用；严格执行定点印刷，提高接待用品印刷质量，降低印刷费用。</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、全</w:t>
      </w:r>
      <w:r>
        <w:rPr>
          <w:rFonts w:hint="eastAsia" w:ascii="仿宋" w:hAnsi="仿宋" w:eastAsia="仿宋"/>
          <w:sz w:val="32"/>
          <w:szCs w:val="32"/>
          <w:lang w:eastAsia="zh-CN"/>
        </w:rPr>
        <w:t>县</w:t>
      </w:r>
      <w:r>
        <w:rPr>
          <w:rFonts w:hint="eastAsia" w:ascii="仿宋" w:hAnsi="仿宋" w:eastAsia="仿宋"/>
          <w:sz w:val="32"/>
          <w:szCs w:val="32"/>
        </w:rPr>
        <w:t>电子政务管理工作：对全</w:t>
      </w:r>
      <w:r>
        <w:rPr>
          <w:rFonts w:hint="eastAsia" w:ascii="仿宋" w:hAnsi="仿宋" w:eastAsia="仿宋"/>
          <w:sz w:val="32"/>
          <w:szCs w:val="32"/>
          <w:lang w:eastAsia="zh-CN"/>
        </w:rPr>
        <w:t>县</w:t>
      </w:r>
      <w:r>
        <w:rPr>
          <w:rFonts w:hint="eastAsia" w:ascii="仿宋" w:hAnsi="仿宋" w:eastAsia="仿宋"/>
          <w:sz w:val="32"/>
          <w:szCs w:val="32"/>
        </w:rPr>
        <w:t>政府系统网站监管、督导、评估；确保全</w:t>
      </w:r>
      <w:r>
        <w:rPr>
          <w:rFonts w:hint="eastAsia" w:ascii="仿宋" w:hAnsi="仿宋" w:eastAsia="仿宋"/>
          <w:sz w:val="32"/>
          <w:szCs w:val="32"/>
          <w:lang w:eastAsia="zh-CN"/>
        </w:rPr>
        <w:t>县</w:t>
      </w:r>
      <w:r>
        <w:rPr>
          <w:rFonts w:hint="eastAsia" w:ascii="仿宋" w:hAnsi="仿宋" w:eastAsia="仿宋"/>
          <w:sz w:val="32"/>
          <w:szCs w:val="32"/>
        </w:rPr>
        <w:t>电子公务网络（电子政务外网、电子公务内网）的稳定高效运行，为全</w:t>
      </w:r>
      <w:r>
        <w:rPr>
          <w:rFonts w:hint="eastAsia" w:ascii="仿宋" w:hAnsi="仿宋" w:eastAsia="仿宋"/>
          <w:sz w:val="32"/>
          <w:szCs w:val="32"/>
          <w:lang w:eastAsia="zh-CN"/>
        </w:rPr>
        <w:t>县</w:t>
      </w:r>
      <w:r>
        <w:rPr>
          <w:rFonts w:hint="eastAsia" w:ascii="仿宋" w:hAnsi="仿宋" w:eastAsia="仿宋"/>
          <w:sz w:val="32"/>
          <w:szCs w:val="32"/>
        </w:rPr>
        <w:t>政务信息互联提供骨干网络支撑；协调管理</w:t>
      </w:r>
      <w:r>
        <w:rPr>
          <w:rFonts w:hint="eastAsia" w:ascii="仿宋" w:hAnsi="仿宋" w:eastAsia="仿宋"/>
          <w:sz w:val="32"/>
          <w:szCs w:val="32"/>
          <w:lang w:eastAsia="zh-CN"/>
        </w:rPr>
        <w:t>县</w:t>
      </w:r>
      <w:r>
        <w:rPr>
          <w:rFonts w:hint="eastAsia" w:ascii="仿宋" w:hAnsi="仿宋" w:eastAsia="仿宋"/>
          <w:sz w:val="32"/>
          <w:szCs w:val="32"/>
        </w:rPr>
        <w:t>政府和</w:t>
      </w:r>
      <w:r>
        <w:rPr>
          <w:rFonts w:hint="eastAsia" w:ascii="仿宋" w:hAnsi="仿宋" w:eastAsia="仿宋"/>
          <w:sz w:val="32"/>
          <w:szCs w:val="32"/>
          <w:lang w:eastAsia="zh-CN"/>
        </w:rPr>
        <w:t>县</w:t>
      </w:r>
      <w:r>
        <w:rPr>
          <w:rFonts w:hint="eastAsia" w:ascii="仿宋" w:hAnsi="仿宋" w:eastAsia="仿宋"/>
          <w:sz w:val="32"/>
          <w:szCs w:val="32"/>
        </w:rPr>
        <w:t>政府办公室的电子政务应用工作。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政府信息与政务公开：深入解读重要政策措施，积极回应社会关切，增强解读效果；推进决策、执行、管理、服务、结果公开；深化重点领域信息公开；推进政府网站优质规范发展，推进政务新媒体健康有序发展、推进政府公报创新发展；抓好</w:t>
      </w:r>
      <w:r>
        <w:rPr>
          <w:rFonts w:hint="eastAsia" w:ascii="仿宋" w:hAnsi="仿宋" w:eastAsia="仿宋"/>
          <w:sz w:val="32"/>
          <w:szCs w:val="32"/>
          <w:lang w:eastAsia="zh-CN"/>
        </w:rPr>
        <w:t>《中华人民共和国政府信息公开条例》</w:t>
      </w:r>
      <w:r>
        <w:rPr>
          <w:rFonts w:hint="eastAsia" w:ascii="仿宋" w:hAnsi="仿宋" w:eastAsia="仿宋"/>
          <w:sz w:val="32"/>
          <w:szCs w:val="32"/>
        </w:rPr>
        <w:t>的学习宣传贯彻，加强工作培训与业务指导。</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、受理各部门、各单位上报</w:t>
      </w:r>
      <w:r>
        <w:rPr>
          <w:rFonts w:hint="eastAsia" w:ascii="仿宋" w:hAnsi="仿宋" w:eastAsia="仿宋"/>
          <w:sz w:val="32"/>
          <w:szCs w:val="32"/>
          <w:lang w:eastAsia="zh-CN"/>
        </w:rPr>
        <w:t>县</w:t>
      </w:r>
      <w:r>
        <w:rPr>
          <w:rFonts w:hint="eastAsia" w:ascii="仿宋" w:hAnsi="仿宋" w:eastAsia="仿宋"/>
          <w:sz w:val="32"/>
          <w:szCs w:val="32"/>
        </w:rPr>
        <w:t>政府的请示件：严格审核请示文件，把好公文格式关，维护国家机关公文的严肃性和权威性。</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、办理</w:t>
      </w:r>
      <w:r>
        <w:rPr>
          <w:rFonts w:hint="eastAsia" w:ascii="仿宋" w:hAnsi="仿宋" w:eastAsia="仿宋"/>
          <w:sz w:val="32"/>
          <w:szCs w:val="32"/>
          <w:lang w:eastAsia="zh-CN"/>
        </w:rPr>
        <w:t>县</w:t>
      </w:r>
      <w:r>
        <w:rPr>
          <w:rFonts w:hint="eastAsia" w:ascii="仿宋" w:hAnsi="仿宋" w:eastAsia="仿宋"/>
          <w:sz w:val="32"/>
          <w:szCs w:val="32"/>
        </w:rPr>
        <w:t>政府及办公室大型会议的会务：安排会议本着精简、高效的原则，注重会议质量和效率，减少会议数量，规范会议规，保证会议效果。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、组织协调联络</w:t>
      </w:r>
      <w:r>
        <w:rPr>
          <w:rFonts w:hint="eastAsia" w:ascii="仿宋" w:hAnsi="仿宋" w:eastAsia="仿宋"/>
          <w:sz w:val="32"/>
          <w:szCs w:val="32"/>
          <w:lang w:eastAsia="zh-CN"/>
        </w:rPr>
        <w:t>县</w:t>
      </w:r>
      <w:r>
        <w:rPr>
          <w:rFonts w:hint="eastAsia" w:ascii="仿宋" w:hAnsi="仿宋" w:eastAsia="仿宋"/>
          <w:sz w:val="32"/>
          <w:szCs w:val="32"/>
        </w:rPr>
        <w:t>政府领导同志活动事宜：精心筹划，严密组织，周到服务，盯紧细节，保证效果。妥善安排</w:t>
      </w:r>
      <w:r>
        <w:rPr>
          <w:rFonts w:hint="eastAsia" w:ascii="仿宋" w:hAnsi="仿宋" w:eastAsia="仿宋"/>
          <w:sz w:val="32"/>
          <w:szCs w:val="32"/>
          <w:lang w:eastAsia="zh-CN"/>
        </w:rPr>
        <w:t>县</w:t>
      </w:r>
      <w:r>
        <w:rPr>
          <w:rFonts w:hint="eastAsia" w:ascii="仿宋" w:hAnsi="仿宋" w:eastAsia="仿宋"/>
          <w:sz w:val="32"/>
          <w:szCs w:val="32"/>
        </w:rPr>
        <w:t>政府领导同志活动，提高综合服务保障效率。</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、政策研究：对我</w:t>
      </w:r>
      <w:r>
        <w:rPr>
          <w:rFonts w:hint="eastAsia" w:ascii="仿宋" w:hAnsi="仿宋" w:eastAsia="仿宋"/>
          <w:sz w:val="32"/>
          <w:szCs w:val="32"/>
          <w:lang w:eastAsia="zh-CN"/>
        </w:rPr>
        <w:t>县</w:t>
      </w:r>
      <w:r>
        <w:rPr>
          <w:rFonts w:hint="eastAsia" w:ascii="仿宋" w:hAnsi="仿宋" w:eastAsia="仿宋"/>
          <w:sz w:val="32"/>
          <w:szCs w:val="32"/>
        </w:rPr>
        <w:t>改革开放和经济社会发展中重大未进行调查研究，提出政策性建议；承担内部刊物的编辑工作。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、办理人大代表建议政协提案工作；协调落实有关议题：组织承办全</w:t>
      </w:r>
      <w:r>
        <w:rPr>
          <w:rFonts w:hint="eastAsia" w:ascii="仿宋" w:hAnsi="仿宋" w:eastAsia="仿宋"/>
          <w:sz w:val="32"/>
          <w:szCs w:val="32"/>
          <w:lang w:eastAsia="zh-CN"/>
        </w:rPr>
        <w:t>县</w:t>
      </w:r>
      <w:r>
        <w:rPr>
          <w:rFonts w:hint="eastAsia" w:ascii="仿宋" w:hAnsi="仿宋" w:eastAsia="仿宋"/>
          <w:sz w:val="32"/>
          <w:szCs w:val="32"/>
        </w:rPr>
        <w:t>人大代表建议政协提案；负责人大议案和政协建议案的协调、督办；负责人大政协会议与</w:t>
      </w:r>
      <w:r>
        <w:rPr>
          <w:rFonts w:hint="eastAsia" w:ascii="仿宋" w:hAnsi="仿宋" w:eastAsia="仿宋"/>
          <w:sz w:val="32"/>
          <w:szCs w:val="32"/>
          <w:lang w:eastAsia="zh-CN"/>
        </w:rPr>
        <w:t>县</w:t>
      </w:r>
      <w:r>
        <w:rPr>
          <w:rFonts w:hint="eastAsia" w:ascii="仿宋" w:hAnsi="仿宋" w:eastAsia="仿宋"/>
          <w:sz w:val="32"/>
          <w:szCs w:val="32"/>
        </w:rPr>
        <w:t>政府有关议题的准备、</w:t>
      </w:r>
      <w:r>
        <w:rPr>
          <w:rFonts w:hint="eastAsia" w:ascii="仿宋" w:hAnsi="仿宋" w:eastAsia="仿宋"/>
          <w:sz w:val="32"/>
          <w:szCs w:val="32"/>
          <w:lang w:eastAsia="zh-CN"/>
        </w:rPr>
        <w:t>县</w:t>
      </w:r>
      <w:r>
        <w:rPr>
          <w:rFonts w:hint="eastAsia" w:ascii="仿宋" w:hAnsi="仿宋" w:eastAsia="仿宋"/>
          <w:sz w:val="32"/>
          <w:szCs w:val="32"/>
        </w:rPr>
        <w:t>长列席会议的安排以及审议意见的协调、督办与反馈；负责全</w:t>
      </w:r>
      <w:r>
        <w:rPr>
          <w:rFonts w:hint="eastAsia" w:ascii="仿宋" w:hAnsi="仿宋" w:eastAsia="仿宋"/>
          <w:sz w:val="32"/>
          <w:szCs w:val="32"/>
          <w:lang w:eastAsia="zh-CN"/>
        </w:rPr>
        <w:t>县</w:t>
      </w:r>
      <w:r>
        <w:rPr>
          <w:rFonts w:hint="eastAsia" w:ascii="仿宋" w:hAnsi="仿宋" w:eastAsia="仿宋"/>
          <w:sz w:val="32"/>
          <w:szCs w:val="32"/>
        </w:rPr>
        <w:t>政府系统建议提案承办工作的考核和业务指导、业务培训工作。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、督查督办：确保</w:t>
      </w:r>
      <w:r>
        <w:rPr>
          <w:rFonts w:hint="eastAsia" w:ascii="仿宋" w:hAnsi="仿宋" w:eastAsia="仿宋"/>
          <w:sz w:val="32"/>
          <w:szCs w:val="32"/>
          <w:lang w:eastAsia="zh-CN"/>
        </w:rPr>
        <w:t>市</w:t>
      </w:r>
      <w:r>
        <w:rPr>
          <w:rFonts w:hint="eastAsia" w:ascii="仿宋" w:hAnsi="仿宋" w:eastAsia="仿宋"/>
          <w:sz w:val="32"/>
          <w:szCs w:val="32"/>
        </w:rPr>
        <w:t>政府重大决策部署及省政府《政府工作报告》涉及</w:t>
      </w:r>
      <w:r>
        <w:rPr>
          <w:rFonts w:hint="eastAsia" w:ascii="仿宋" w:hAnsi="仿宋" w:eastAsia="仿宋"/>
          <w:sz w:val="32"/>
          <w:szCs w:val="32"/>
          <w:lang w:eastAsia="zh-CN"/>
        </w:rPr>
        <w:t>成安</w:t>
      </w:r>
      <w:r>
        <w:rPr>
          <w:rFonts w:hint="eastAsia" w:ascii="仿宋" w:hAnsi="仿宋" w:eastAsia="仿宋"/>
          <w:sz w:val="32"/>
          <w:szCs w:val="32"/>
        </w:rPr>
        <w:t>事项落实情况的督促检查工作；确保</w:t>
      </w:r>
      <w:r>
        <w:rPr>
          <w:rFonts w:hint="eastAsia" w:ascii="仿宋" w:hAnsi="仿宋" w:eastAsia="仿宋"/>
          <w:sz w:val="32"/>
          <w:szCs w:val="32"/>
          <w:lang w:eastAsia="zh-CN"/>
        </w:rPr>
        <w:t>县</w:t>
      </w:r>
      <w:r>
        <w:rPr>
          <w:rFonts w:hint="eastAsia" w:ascii="仿宋" w:hAnsi="仿宋" w:eastAsia="仿宋"/>
          <w:sz w:val="32"/>
          <w:szCs w:val="32"/>
        </w:rPr>
        <w:t>政府重大决策部署、</w:t>
      </w:r>
      <w:r>
        <w:rPr>
          <w:rFonts w:hint="eastAsia" w:ascii="仿宋" w:hAnsi="仿宋" w:eastAsia="仿宋"/>
          <w:sz w:val="32"/>
          <w:szCs w:val="32"/>
          <w:lang w:eastAsia="zh-CN"/>
        </w:rPr>
        <w:t>县</w:t>
      </w:r>
      <w:r>
        <w:rPr>
          <w:rFonts w:hint="eastAsia" w:ascii="仿宋" w:hAnsi="仿宋" w:eastAsia="仿宋"/>
          <w:sz w:val="32"/>
          <w:szCs w:val="32"/>
        </w:rPr>
        <w:t>政府《政府工作报告》任务目标分解和落实情况的督促检查工作；确保</w:t>
      </w:r>
      <w:r>
        <w:rPr>
          <w:rFonts w:hint="eastAsia" w:ascii="仿宋" w:hAnsi="仿宋" w:eastAsia="仿宋"/>
          <w:sz w:val="32"/>
          <w:szCs w:val="32"/>
          <w:lang w:eastAsia="zh-CN"/>
        </w:rPr>
        <w:t>县</w:t>
      </w:r>
      <w:r>
        <w:rPr>
          <w:rFonts w:hint="eastAsia" w:ascii="仿宋" w:hAnsi="仿宋" w:eastAsia="仿宋"/>
          <w:sz w:val="32"/>
          <w:szCs w:val="32"/>
        </w:rPr>
        <w:t>政府重要会议议定事项、</w:t>
      </w:r>
      <w:r>
        <w:rPr>
          <w:rFonts w:hint="eastAsia" w:ascii="仿宋" w:hAnsi="仿宋" w:eastAsia="仿宋"/>
          <w:sz w:val="32"/>
          <w:szCs w:val="32"/>
          <w:lang w:eastAsia="zh-CN"/>
        </w:rPr>
        <w:t>县</w:t>
      </w:r>
      <w:r>
        <w:rPr>
          <w:rFonts w:hint="eastAsia" w:ascii="仿宋" w:hAnsi="仿宋" w:eastAsia="仿宋"/>
          <w:sz w:val="32"/>
          <w:szCs w:val="32"/>
        </w:rPr>
        <w:t>政府主要领导批示交办事项的督办反馈；确保组织开展</w:t>
      </w:r>
      <w:r>
        <w:rPr>
          <w:rFonts w:hint="eastAsia" w:ascii="仿宋" w:hAnsi="仿宋" w:eastAsia="仿宋"/>
          <w:sz w:val="32"/>
          <w:szCs w:val="32"/>
          <w:lang w:eastAsia="zh-CN"/>
        </w:rPr>
        <w:t>县</w:t>
      </w:r>
      <w:r>
        <w:rPr>
          <w:rFonts w:hint="eastAsia" w:ascii="仿宋" w:hAnsi="仿宋" w:eastAsia="仿宋"/>
          <w:sz w:val="32"/>
          <w:szCs w:val="32"/>
        </w:rPr>
        <w:t>政府重大专项督查；确保协调指导全</w:t>
      </w:r>
      <w:r>
        <w:rPr>
          <w:rFonts w:hint="eastAsia" w:ascii="仿宋" w:hAnsi="仿宋" w:eastAsia="仿宋"/>
          <w:sz w:val="32"/>
          <w:szCs w:val="32"/>
          <w:lang w:eastAsia="zh-CN"/>
        </w:rPr>
        <w:t>县</w:t>
      </w:r>
      <w:r>
        <w:rPr>
          <w:rFonts w:hint="eastAsia" w:ascii="仿宋" w:hAnsi="仿宋" w:eastAsia="仿宋"/>
          <w:sz w:val="32"/>
          <w:szCs w:val="32"/>
        </w:rPr>
        <w:t>政府系统督查工作。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、外事工作管理：外事港澳管理工作严格规范，确保全</w:t>
      </w:r>
      <w:r>
        <w:rPr>
          <w:rFonts w:hint="eastAsia" w:ascii="仿宋" w:hAnsi="仿宋" w:eastAsia="仿宋"/>
          <w:sz w:val="32"/>
          <w:szCs w:val="32"/>
          <w:lang w:eastAsia="zh-CN"/>
        </w:rPr>
        <w:t>县</w:t>
      </w:r>
      <w:r>
        <w:rPr>
          <w:rFonts w:hint="eastAsia" w:ascii="仿宋" w:hAnsi="仿宋" w:eastAsia="仿宋"/>
          <w:sz w:val="32"/>
          <w:szCs w:val="32"/>
        </w:rPr>
        <w:t>涉外大局和谐稳定，服务全</w:t>
      </w:r>
      <w:r>
        <w:rPr>
          <w:rFonts w:hint="eastAsia" w:ascii="仿宋" w:hAnsi="仿宋" w:eastAsia="仿宋"/>
          <w:sz w:val="32"/>
          <w:szCs w:val="32"/>
          <w:lang w:eastAsia="zh-CN"/>
        </w:rPr>
        <w:t>县</w:t>
      </w:r>
      <w:r>
        <w:rPr>
          <w:rFonts w:hint="eastAsia" w:ascii="仿宋" w:hAnsi="仿宋" w:eastAsia="仿宋"/>
          <w:sz w:val="32"/>
          <w:szCs w:val="32"/>
        </w:rPr>
        <w:t>中心工作优质高效。</w:t>
      </w:r>
    </w:p>
    <w:p>
      <w:pPr>
        <w:numPr>
          <w:ilvl w:val="0"/>
          <w:numId w:val="3"/>
        </w:numPr>
        <w:spacing w:line="560" w:lineRule="exact"/>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工作保障措施：</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、坚决确保</w:t>
      </w:r>
      <w:r>
        <w:rPr>
          <w:rFonts w:hint="eastAsia" w:ascii="仿宋" w:hAnsi="仿宋" w:eastAsia="仿宋"/>
          <w:sz w:val="32"/>
          <w:szCs w:val="32"/>
          <w:lang w:eastAsia="zh-CN"/>
        </w:rPr>
        <w:t>全县疫情</w:t>
      </w:r>
      <w:r>
        <w:rPr>
          <w:rFonts w:hint="eastAsia" w:ascii="仿宋" w:hAnsi="仿宋" w:eastAsia="仿宋"/>
          <w:sz w:val="32"/>
          <w:szCs w:val="32"/>
        </w:rPr>
        <w:t>安全。切实做好</w:t>
      </w:r>
      <w:r>
        <w:rPr>
          <w:rFonts w:hint="eastAsia" w:ascii="仿宋" w:hAnsi="仿宋" w:eastAsia="仿宋"/>
          <w:sz w:val="32"/>
          <w:szCs w:val="32"/>
          <w:lang w:eastAsia="zh-CN"/>
        </w:rPr>
        <w:t>县</w:t>
      </w:r>
      <w:r>
        <w:rPr>
          <w:rFonts w:hint="eastAsia" w:ascii="仿宋" w:hAnsi="仿宋" w:eastAsia="仿宋"/>
          <w:sz w:val="32"/>
          <w:szCs w:val="32"/>
        </w:rPr>
        <w:t>政府机关新冠肺炎疫情防治工作。抓实人员排查、卫生消杀、安全检查、物资储备、后勤保障等各环节工作，坚持日报告制度，将全面排查贯穿始终；文件交换设立专门地点；机关餐厅采取供应盒饭方式，避免人员聚集；全面加强院内和办公楼的卫生消杀，做到全覆盖、无遗漏，不留死角死面；要严明各项纪律，以严细深实快的作风，坚决打好疫情防控阻击战。</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、提高调查研究实效。围绕</w:t>
      </w:r>
      <w:r>
        <w:rPr>
          <w:rFonts w:hint="eastAsia" w:ascii="仿宋" w:hAnsi="仿宋" w:eastAsia="仿宋"/>
          <w:sz w:val="32"/>
          <w:szCs w:val="32"/>
          <w:lang w:eastAsia="zh-CN"/>
        </w:rPr>
        <w:t>县</w:t>
      </w:r>
      <w:r>
        <w:rPr>
          <w:rFonts w:hint="eastAsia" w:ascii="仿宋" w:hAnsi="仿宋" w:eastAsia="仿宋"/>
          <w:sz w:val="32"/>
          <w:szCs w:val="32"/>
        </w:rPr>
        <w:t>委、</w:t>
      </w:r>
      <w:r>
        <w:rPr>
          <w:rFonts w:hint="eastAsia" w:ascii="仿宋" w:hAnsi="仿宋" w:eastAsia="仿宋"/>
          <w:sz w:val="32"/>
          <w:szCs w:val="32"/>
          <w:lang w:eastAsia="zh-CN"/>
        </w:rPr>
        <w:t>县</w:t>
      </w:r>
      <w:r>
        <w:rPr>
          <w:rFonts w:hint="eastAsia" w:ascii="仿宋" w:hAnsi="仿宋" w:eastAsia="仿宋"/>
          <w:sz w:val="32"/>
          <w:szCs w:val="32"/>
        </w:rPr>
        <w:t>政府中心工作，深入基层了解实际情况，广泛征求意见建议，不断提高参谋服务水平。改进调查研究方法，不断提高调研效率和质量。加大政策理论研究力度，从政治上、大局上研究和把握问题，由表及里地研究分析综合，形成针对性、操作性强的建议，力争参有度、谋有方、谏有策。</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、加强工作联络沟通。加强与</w:t>
      </w:r>
      <w:r>
        <w:rPr>
          <w:rFonts w:hint="eastAsia" w:ascii="仿宋" w:hAnsi="仿宋" w:eastAsia="仿宋"/>
          <w:sz w:val="32"/>
          <w:szCs w:val="32"/>
          <w:lang w:eastAsia="zh-CN"/>
        </w:rPr>
        <w:t>市</w:t>
      </w:r>
      <w:r>
        <w:rPr>
          <w:rFonts w:hint="eastAsia" w:ascii="仿宋" w:hAnsi="仿宋" w:eastAsia="仿宋"/>
          <w:sz w:val="32"/>
          <w:szCs w:val="32"/>
        </w:rPr>
        <w:t>政府办公厅的工作联系，及时报告工作。落实好向</w:t>
      </w:r>
      <w:r>
        <w:rPr>
          <w:rFonts w:hint="eastAsia" w:ascii="仿宋" w:hAnsi="仿宋" w:eastAsia="仿宋"/>
          <w:sz w:val="32"/>
          <w:szCs w:val="32"/>
          <w:lang w:eastAsia="zh-CN"/>
        </w:rPr>
        <w:t>市</w:t>
      </w:r>
      <w:r>
        <w:rPr>
          <w:rFonts w:hint="eastAsia" w:ascii="仿宋" w:hAnsi="仿宋" w:eastAsia="仿宋"/>
          <w:sz w:val="32"/>
          <w:szCs w:val="32"/>
        </w:rPr>
        <w:t>政府办公厅、</w:t>
      </w:r>
      <w:r>
        <w:rPr>
          <w:rFonts w:hint="eastAsia" w:ascii="仿宋" w:hAnsi="仿宋" w:eastAsia="仿宋"/>
          <w:sz w:val="32"/>
          <w:szCs w:val="32"/>
          <w:lang w:eastAsia="zh-CN"/>
        </w:rPr>
        <w:t>县</w:t>
      </w:r>
      <w:r>
        <w:rPr>
          <w:rFonts w:hint="eastAsia" w:ascii="仿宋" w:hAnsi="仿宋" w:eastAsia="仿宋"/>
          <w:sz w:val="32"/>
          <w:szCs w:val="32"/>
        </w:rPr>
        <w:t>委办公室请示报告工作制度，争取工作支持。主动与</w:t>
      </w:r>
      <w:r>
        <w:rPr>
          <w:rFonts w:hint="eastAsia" w:ascii="仿宋" w:hAnsi="仿宋" w:eastAsia="仿宋"/>
          <w:sz w:val="32"/>
          <w:szCs w:val="32"/>
          <w:lang w:eastAsia="zh-CN"/>
        </w:rPr>
        <w:t>县</w:t>
      </w:r>
      <w:r>
        <w:rPr>
          <w:rFonts w:hint="eastAsia" w:ascii="仿宋" w:hAnsi="仿宋" w:eastAsia="仿宋"/>
          <w:sz w:val="32"/>
          <w:szCs w:val="32"/>
        </w:rPr>
        <w:t>委办公室、</w:t>
      </w:r>
      <w:r>
        <w:rPr>
          <w:rFonts w:hint="eastAsia" w:ascii="仿宋" w:hAnsi="仿宋" w:eastAsia="仿宋"/>
          <w:sz w:val="32"/>
          <w:szCs w:val="32"/>
          <w:lang w:eastAsia="zh-CN"/>
        </w:rPr>
        <w:t>县</w:t>
      </w:r>
      <w:r>
        <w:rPr>
          <w:rFonts w:hint="eastAsia" w:ascii="仿宋" w:hAnsi="仿宋" w:eastAsia="仿宋"/>
          <w:sz w:val="32"/>
          <w:szCs w:val="32"/>
        </w:rPr>
        <w:t>人大常委会办公室、</w:t>
      </w:r>
      <w:r>
        <w:rPr>
          <w:rFonts w:hint="eastAsia" w:ascii="仿宋" w:hAnsi="仿宋" w:eastAsia="仿宋"/>
          <w:sz w:val="32"/>
          <w:szCs w:val="32"/>
          <w:lang w:eastAsia="zh-CN"/>
        </w:rPr>
        <w:t>县</w:t>
      </w:r>
      <w:r>
        <w:rPr>
          <w:rFonts w:hint="eastAsia" w:ascii="仿宋" w:hAnsi="仿宋" w:eastAsia="仿宋"/>
          <w:sz w:val="32"/>
          <w:szCs w:val="32"/>
        </w:rPr>
        <w:t>政协办公室沟通情况，密切协调配合，安排好重要公务活动。加强全</w:t>
      </w:r>
      <w:r>
        <w:rPr>
          <w:rFonts w:hint="eastAsia" w:ascii="仿宋" w:hAnsi="仿宋" w:eastAsia="仿宋"/>
          <w:sz w:val="32"/>
          <w:szCs w:val="32"/>
          <w:lang w:eastAsia="zh-CN"/>
        </w:rPr>
        <w:t>县</w:t>
      </w:r>
      <w:r>
        <w:rPr>
          <w:rFonts w:hint="eastAsia" w:ascii="仿宋" w:hAnsi="仿宋" w:eastAsia="仿宋"/>
          <w:sz w:val="32"/>
          <w:szCs w:val="32"/>
        </w:rPr>
        <w:t>政府系统办公室联动，适时组织开展公文处理、会议组织、政务督查、建议提案办理、政务接待等方面的业务培训，提升政府系统办公室工作水平。</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、提高统筹协调能力。紧贴中心工作搞协调，完善</w:t>
      </w:r>
      <w:r>
        <w:rPr>
          <w:rFonts w:hint="eastAsia" w:ascii="仿宋" w:hAnsi="仿宋" w:eastAsia="仿宋"/>
          <w:sz w:val="32"/>
          <w:szCs w:val="32"/>
          <w:lang w:eastAsia="zh-CN"/>
        </w:rPr>
        <w:t>县</w:t>
      </w:r>
      <w:r>
        <w:rPr>
          <w:rFonts w:hint="eastAsia" w:ascii="仿宋" w:hAnsi="仿宋" w:eastAsia="仿宋"/>
          <w:sz w:val="32"/>
          <w:szCs w:val="32"/>
        </w:rPr>
        <w:t>政府领导每周工作预安排机制，统筹好</w:t>
      </w:r>
      <w:r>
        <w:rPr>
          <w:rFonts w:hint="eastAsia" w:ascii="仿宋" w:hAnsi="仿宋" w:eastAsia="仿宋"/>
          <w:sz w:val="32"/>
          <w:szCs w:val="32"/>
          <w:lang w:eastAsia="zh-CN"/>
        </w:rPr>
        <w:t>县</w:t>
      </w:r>
      <w:r>
        <w:rPr>
          <w:rFonts w:hint="eastAsia" w:ascii="仿宋" w:hAnsi="仿宋" w:eastAsia="仿宋"/>
          <w:sz w:val="32"/>
          <w:szCs w:val="32"/>
        </w:rPr>
        <w:t>政府各项会议、活动，确保安排得当、工作高效。围绕重点抓调度，梳理全年重要经济指标、重点项目、重要工作，逐一明确责任分工，按计划组织推进实施。每季度会同</w:t>
      </w:r>
      <w:r>
        <w:rPr>
          <w:rFonts w:hint="eastAsia" w:ascii="仿宋" w:hAnsi="仿宋" w:eastAsia="仿宋"/>
          <w:sz w:val="32"/>
          <w:szCs w:val="32"/>
          <w:lang w:eastAsia="zh-CN"/>
        </w:rPr>
        <w:t>县</w:t>
      </w:r>
      <w:r>
        <w:rPr>
          <w:rFonts w:hint="eastAsia" w:ascii="仿宋" w:hAnsi="仿宋" w:eastAsia="仿宋"/>
          <w:sz w:val="32"/>
          <w:szCs w:val="32"/>
        </w:rPr>
        <w:t>政府相关部门召开调度会议，研究分析综合经济运行、重点工作落实情况，找准问题症结，细化推进措施，保障目标任务推进落实。</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、抓好综合文稿起草。经常深入基层一线了解情况、掌握实情，加强对全</w:t>
      </w:r>
      <w:r>
        <w:rPr>
          <w:rFonts w:hint="eastAsia" w:ascii="仿宋" w:hAnsi="仿宋" w:eastAsia="仿宋"/>
          <w:sz w:val="32"/>
          <w:szCs w:val="32"/>
          <w:lang w:eastAsia="zh-CN"/>
        </w:rPr>
        <w:t>县</w:t>
      </w:r>
      <w:r>
        <w:rPr>
          <w:rFonts w:hint="eastAsia" w:ascii="仿宋" w:hAnsi="仿宋" w:eastAsia="仿宋"/>
          <w:sz w:val="32"/>
          <w:szCs w:val="32"/>
        </w:rPr>
        <w:t>重点工作包括各县（</w:t>
      </w:r>
      <w:r>
        <w:rPr>
          <w:rFonts w:hint="eastAsia" w:ascii="仿宋" w:hAnsi="仿宋" w:eastAsia="仿宋"/>
          <w:sz w:val="32"/>
          <w:szCs w:val="32"/>
          <w:lang w:eastAsia="zh-CN"/>
        </w:rPr>
        <w:t>县</w:t>
      </w:r>
      <w:r>
        <w:rPr>
          <w:rFonts w:hint="eastAsia" w:ascii="仿宋" w:hAnsi="仿宋" w:eastAsia="仿宋"/>
          <w:sz w:val="32"/>
          <w:szCs w:val="32"/>
        </w:rPr>
        <w:t>、区）、</w:t>
      </w:r>
      <w:r>
        <w:rPr>
          <w:rFonts w:hint="eastAsia" w:ascii="仿宋" w:hAnsi="仿宋" w:eastAsia="仿宋"/>
          <w:sz w:val="32"/>
          <w:szCs w:val="32"/>
          <w:lang w:eastAsia="zh-CN"/>
        </w:rPr>
        <w:t>县</w:t>
      </w:r>
      <w:r>
        <w:rPr>
          <w:rFonts w:hint="eastAsia" w:ascii="仿宋" w:hAnsi="仿宋" w:eastAsia="仿宋"/>
          <w:sz w:val="32"/>
          <w:szCs w:val="32"/>
        </w:rPr>
        <w:t>有关部门等点上、线上工作的系统思考与研究，准确把握工作的标准、要求、特点、性质和规律，切实掌握工作推进中的症结和问题，确保文稿起草有的放矢。善于从实践中、从群众中总结提炼有益的经验、鲜活的语言、生动的案例，力求文稿言简意赅、准确规范、清新朴素、务实管用。高质量完成《政府工作报告》和</w:t>
      </w:r>
      <w:r>
        <w:rPr>
          <w:rFonts w:hint="eastAsia" w:ascii="仿宋" w:hAnsi="仿宋" w:eastAsia="仿宋"/>
          <w:sz w:val="32"/>
          <w:szCs w:val="32"/>
          <w:lang w:eastAsia="zh-CN"/>
        </w:rPr>
        <w:t>县</w:t>
      </w:r>
      <w:r>
        <w:rPr>
          <w:rFonts w:hint="eastAsia" w:ascii="仿宋" w:hAnsi="仿宋" w:eastAsia="仿宋"/>
          <w:sz w:val="32"/>
          <w:szCs w:val="32"/>
        </w:rPr>
        <w:t>政府各位领导的讲话材料及重要文件、综合材料的起草工作。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改进政务督查工作。将决策事项、领导批示和交办事项贯彻落实情况全部纳入督查范围，实行清单式、台账化管理。统筹各方面力量，形成落实合力。改进督查工作方式方法，严格控制总量和频次，切实减轻基层负担。</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、做好承办工作。强化统筹协调，完善责任分解、定期调度、全程监督、当面答复办理机制，抓好承办人员培训，提高队伍素质能力。施行</w:t>
      </w:r>
      <w:r>
        <w:rPr>
          <w:rFonts w:hint="eastAsia" w:ascii="仿宋" w:hAnsi="仿宋" w:eastAsia="仿宋"/>
          <w:sz w:val="32"/>
          <w:szCs w:val="32"/>
          <w:lang w:eastAsia="zh-CN"/>
        </w:rPr>
        <w:t>县</w:t>
      </w:r>
      <w:r>
        <w:rPr>
          <w:rFonts w:hint="eastAsia" w:ascii="仿宋" w:hAnsi="仿宋" w:eastAsia="仿宋"/>
          <w:sz w:val="32"/>
          <w:szCs w:val="32"/>
        </w:rPr>
        <w:t>政府领导领衔督办重点建议提案机制，</w:t>
      </w:r>
      <w:r>
        <w:rPr>
          <w:rFonts w:hint="eastAsia" w:ascii="仿宋" w:hAnsi="仿宋" w:eastAsia="仿宋"/>
          <w:sz w:val="32"/>
          <w:szCs w:val="32"/>
          <w:lang w:eastAsia="zh-CN"/>
        </w:rPr>
        <w:t>县</w:t>
      </w:r>
      <w:r>
        <w:rPr>
          <w:rFonts w:hint="eastAsia" w:ascii="仿宋" w:hAnsi="仿宋" w:eastAsia="仿宋"/>
          <w:sz w:val="32"/>
          <w:szCs w:val="32"/>
        </w:rPr>
        <w:t>政府部门主要负责同志要加强调度督办，跟踪问效，着力解决一批代表委员反映相对集中、贴近民生、利于高质量发展的建议提案。抓好建议提案成果的转化应用，提高办理质量和效益。</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全面推进政务公开。落实省政府全面推进政务公开工作部署，细化公开事项，制定具体方案，主动全面及时公开各领域政府信息，满足公众信息需求。加强对重大建设项目批准实施、公共资源配置领域、社会公益事业领域政府信息公开的牵头部门的工作指导和督促检查。协调建立政务公开长效机制，发挥政府网站、政务服务平台优势，按照内容权威、格式规范、体例统一的要求，及时发布政府信息。</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规范公文运转流程。严格执行公文办理有关规定，坚持“首接负责、封闭运行，文不过夜、事不隔天”，提高办理时效。除涉密和涉及敏感信息的文件外，其他文件一律通过OA系统办理，提高工作效率。严格依照隶属关系和职权范围逐级报文，除</w:t>
      </w:r>
      <w:r>
        <w:rPr>
          <w:rFonts w:hint="eastAsia" w:ascii="仿宋" w:hAnsi="仿宋" w:eastAsia="仿宋"/>
          <w:sz w:val="32"/>
          <w:szCs w:val="32"/>
          <w:lang w:eastAsia="zh-CN"/>
        </w:rPr>
        <w:t>县</w:t>
      </w:r>
      <w:r>
        <w:rPr>
          <w:rFonts w:hint="eastAsia" w:ascii="仿宋" w:hAnsi="仿宋" w:eastAsia="仿宋"/>
          <w:sz w:val="32"/>
          <w:szCs w:val="32"/>
        </w:rPr>
        <w:t>政府领导同志直接交办和必须直接报送的涉密事项外，一般不得越级报文；遇有重大紧急事项、突发事件等特殊情况需要越级行文的，应当同时抄送被越过的机关。</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、抓好民生实事督办。树牢宗旨意识，高度重视人民网地方领导“省长留言”“</w:t>
      </w:r>
      <w:r>
        <w:rPr>
          <w:rFonts w:hint="eastAsia" w:ascii="仿宋" w:hAnsi="仿宋" w:eastAsia="仿宋"/>
          <w:sz w:val="32"/>
          <w:szCs w:val="32"/>
          <w:lang w:eastAsia="zh-CN"/>
        </w:rPr>
        <w:t>县</w:t>
      </w:r>
      <w:r>
        <w:rPr>
          <w:rFonts w:hint="eastAsia" w:ascii="仿宋" w:hAnsi="仿宋" w:eastAsia="仿宋"/>
          <w:sz w:val="32"/>
          <w:szCs w:val="32"/>
        </w:rPr>
        <w:t>长留言”办理和邯郸论坛群众反映的民生事项办理工作。要认真研究分析群众反映事项，坚持“依法依规、牵头承办、信息保密、责任追究”原则，抓实“受理、交办、督办、反馈、回复”五个重点环节，加大一线调研和督促协调力度，真正解决问题，并及时反馈，架好党和政府联系群众的“连心桥”，切实增强人民群众的幸福感、获得感和满意度</w:t>
      </w:r>
    </w:p>
    <w:p>
      <w:pPr>
        <w:ind w:firstLine="640" w:firstLineChars="200"/>
        <w:jc w:val="left"/>
        <w:rPr>
          <w:rFonts w:hint="eastAsia" w:ascii="黑体" w:hAnsi="黑体" w:eastAsia="黑体" w:cs="黑体"/>
          <w:sz w:val="32"/>
          <w:szCs w:val="32"/>
        </w:rPr>
      </w:pPr>
      <w:r>
        <w:rPr>
          <w:rFonts w:hint="eastAsia" w:ascii="仿宋" w:hAnsi="仿宋" w:eastAsia="仿宋"/>
          <w:sz w:val="32"/>
          <w:szCs w:val="32"/>
          <w:lang w:val="en-US" w:eastAsia="zh-CN"/>
        </w:rPr>
        <w:t>11</w:t>
      </w:r>
      <w:r>
        <w:rPr>
          <w:rFonts w:hint="eastAsia" w:ascii="仿宋" w:hAnsi="仿宋" w:eastAsia="仿宋"/>
          <w:sz w:val="32"/>
          <w:szCs w:val="32"/>
        </w:rPr>
        <w:t>、严格执行保密纪律。坚持从严从细，紧盯重点区域、重点领域、重点环节，严格自查，查漏补缺，确保消除失密泄密隐患。加强涉密岗位、涉密人员、涉密文件和涉密载体管理。</w:t>
      </w:r>
    </w:p>
    <w:p>
      <w:pPr>
        <w:numPr>
          <w:ilvl w:val="0"/>
          <w:numId w:val="0"/>
        </w:numPr>
        <w:spacing w:line="560" w:lineRule="exact"/>
        <w:ind w:left="643" w:leftChars="0"/>
        <w:rPr>
          <w:rFonts w:hint="eastAsia" w:ascii="黑体" w:hAnsi="黑体" w:eastAsia="黑体" w:cs="黑体"/>
          <w:sz w:val="32"/>
          <w:szCs w:val="32"/>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政务服务</w:t>
            </w:r>
          </w:p>
        </w:tc>
        <w:tc>
          <w:tcPr>
            <w:tcW w:w="1276" w:type="dxa"/>
            <w:shd w:val="clear" w:color="auto" w:fill="auto"/>
            <w:vAlign w:val="center"/>
          </w:tcPr>
          <w:p>
            <w:pPr>
              <w:spacing w:line="300" w:lineRule="exact"/>
              <w:jc w:val="left"/>
              <w:rPr>
                <w:rFonts w:ascii="方正书宋_GBK" w:eastAsia="方正书宋_GBK"/>
              </w:rPr>
            </w:pPr>
            <w:r>
              <w:rPr>
                <w:rFonts w:hint="eastAsia" w:asciiTheme="minorEastAsia" w:hAnsiTheme="minorEastAsia"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政务公开、县政府会议管理、督察督办、政务联络等工作。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highlight w:val="none"/>
              </w:rPr>
              <w:t>100</w:t>
            </w:r>
            <w:r>
              <w:rPr>
                <w:rFonts w:hint="eastAsia" w:ascii="方正书宋_GBK" w:eastAsiaTheme="minorEastAsia"/>
                <w:highlight w:val="none"/>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w:t>
            </w:r>
            <w:r>
              <w:rPr>
                <w:rFonts w:hint="eastAsia" w:ascii="方正书宋_GBK" w:eastAsiaTheme="minorEastAsia"/>
                <w:highlight w:val="none"/>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w:t>
            </w:r>
            <w:r>
              <w:rPr>
                <w:rFonts w:hint="eastAsia" w:ascii="方正书宋_GBK" w:eastAsiaTheme="minorEastAsia"/>
                <w:highlight w:val="none"/>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&lt;</w:t>
            </w:r>
            <w:r>
              <w:rPr>
                <w:rFonts w:hint="eastAsia" w:ascii="方正书宋_GBK" w:eastAsiaTheme="minorEastAsia"/>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政务公开</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承担县政务公开暨行政权力公开透明运行工作领导小组的日常工作，指导和协调全县政务公开及政务服务中心建设、推进行政服务体系标准化建设工作。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通过完成县政务信息公开工作的指导监督工作，使全县政府信息公开业务队伍素质不断提高，业务水平进一步提升；政府政务信息公开范围不断扩大，公开内容得到进一步细化。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会议管理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县政府会议的准备和服务工作，协助县政府领导组织会议决定事项的落实。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做好县政府会议保障；严格县直各部门以县政府名义召开的会议审批，控制会议费开支规模。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督查督办</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督促检查县政府各部门对政府决定事项及政府领导重要指示的执行落实情况并跟踪调研，及时向县政府领导报告。组织承办人大代表和政协提案工作。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确保县政府决定事项及县政府领导重要指示得到贯彻落实。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决策部署督查反馈率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政务联络</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负责县领导、县有关部门公务活动的接待安排。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做好县际间与我县政务往来服务保障工作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对外联络任务完成次数</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重大活动联络服务工作完成率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应急管理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县政府值班工作，及时报告重要情况，传达和督促落实县政府领导指示。协助县政府领导做好需由县政府组织处理的突发事件应急处置工作。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行维护好县政府应急平台，实现各种实用功能，有效保证县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应急管理</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县政府值班工作，及时报告重要情况，传达和督促落实县政府领导指示。协助县政府领导做好需由县政府组织处理的突发事件应急处置工作。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维护好县政府应急平台，确保全县应急工作顺利完成；各类突发事件得到及时妥善处置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应急平台互联互通率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highlight w:val="none"/>
              </w:rPr>
              <w:t>100</w:t>
            </w:r>
            <w:r>
              <w:rPr>
                <w:rFonts w:hint="eastAsia" w:ascii="方正书宋_GBK" w:eastAsiaTheme="minorEastAsia"/>
                <w:highlight w:val="none"/>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w:t>
            </w:r>
            <w:r>
              <w:rPr>
                <w:rFonts w:hint="eastAsia" w:ascii="方正书宋_GBK" w:eastAsiaTheme="minorEastAsia"/>
                <w:highlight w:val="none"/>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w:t>
            </w:r>
            <w:r>
              <w:rPr>
                <w:rFonts w:hint="eastAsia" w:ascii="方正书宋_GBK" w:eastAsiaTheme="minorEastAsia"/>
                <w:highlight w:val="none"/>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&lt;</w:t>
            </w:r>
            <w:r>
              <w:rPr>
                <w:rFonts w:hint="eastAsia" w:ascii="方正书宋_GBK" w:eastAsiaTheme="minorEastAsia"/>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地方志事务</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全县地方志事务管理。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弘扬和传承优秀文化传统，充分发挥志书</w:t>
            </w:r>
            <w:r>
              <w:rPr>
                <w:rFonts w:hint="cs" w:ascii="方正书宋_GBK" w:eastAsia="方正书宋_GBK"/>
              </w:rPr>
              <w:t>“</w:t>
            </w:r>
            <w:r>
              <w:rPr>
                <w:rFonts w:hint="eastAsia" w:ascii="方正书宋_GBK" w:eastAsia="方正书宋_GBK"/>
              </w:rPr>
              <w:t>资政、存史、教化</w:t>
            </w:r>
            <w:r>
              <w:rPr>
                <w:rFonts w:hint="cs" w:ascii="方正书宋_GBK" w:eastAsia="方正书宋_GBK"/>
              </w:rPr>
              <w:t>”</w:t>
            </w:r>
            <w:r>
              <w:rPr>
                <w:rFonts w:hint="eastAsia" w:ascii="方正书宋_GBK" w:eastAsia="方正书宋_GBK"/>
              </w:rPr>
              <w:t>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地方志事务管理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拟订全县地方志工作规划并组织实施；搜集、保存、管理地方文献和资料；组织开发利用地方志资源；建设和维护县地方志县情网络。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为社会各界方便快捷提供县情，为经济社会建设服务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编印差错率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政府办公室政务管理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县政府领导和机关工作办公环境的措施，提升了服务管理水平，保障了县领导和机关工作的正常运转。及时了解国内外形势、党和国家的方针政策以及县委、县政府办公室的重要部署和要求，及时为老干部提供优质高效服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高质量审核公文，让县领导满意；及时办理各类文电，确保事项在第一时间得到县领导批示意见；高质量起草的县领导重要讲话及重要文稿。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农业综合开发</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20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贯彻国家农业综合开发方针，执行全县农业综合开发政策及项目立项、实施、检查验收等管理办法，管理县农业综合开发资金和各类农业综合开发项目。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在全县实施农业综合开发土地治理、产业化经营、示范区等项目</w:t>
            </w:r>
            <w:r>
              <w:rPr>
                <w:rFonts w:ascii="方正书宋_GBK" w:eastAsia="方正书宋_GBK"/>
              </w:rPr>
              <w:t>,</w:t>
            </w:r>
            <w:r>
              <w:rPr>
                <w:rFonts w:hint="eastAsia" w:ascii="方正书宋_GBK" w:eastAsia="方正书宋_GBK"/>
              </w:rPr>
              <w:t>依据省、市确定的项目配套比例，筹集县级配套资金；在全县开发县组织实施高标准农田、生态综合治理、中型灌区配套改造、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探索现代农业发展路径，示范引导全县现代农业发展，促进农业增效、农民增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农业土地治理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组织土地治理项目建设及资金使用情况检查，对土地治理项目进行县级验收；对土地治理项目建设情况和资金管理情况进行大排查，提前发现并消灭问题隐患。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有效改善农业生产条件和生态环境，提高农业综合生产能力；探索现代农业发展路径，示范引导全县现代农业发展。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年度土地治理项目实施计划中各项分类措施的建设任务验收完成率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highlight w:val="none"/>
              </w:rPr>
              <w:t>100</w:t>
            </w:r>
            <w:r>
              <w:rPr>
                <w:rFonts w:hint="eastAsia" w:ascii="方正书宋_GBK" w:eastAsiaTheme="minorEastAsia"/>
                <w:highlight w:val="none"/>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w:t>
            </w:r>
            <w:r>
              <w:rPr>
                <w:rFonts w:hint="eastAsia" w:ascii="方正书宋_GBK" w:eastAsiaTheme="minorEastAsia"/>
                <w:highlight w:val="none"/>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w:t>
            </w:r>
            <w:r>
              <w:rPr>
                <w:rFonts w:hint="eastAsia" w:ascii="方正书宋_GBK" w:eastAsiaTheme="minorEastAsia"/>
                <w:highlight w:val="none"/>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&lt;</w:t>
            </w:r>
            <w:r>
              <w:rPr>
                <w:rFonts w:hint="eastAsia" w:ascii="方正书宋_GBK" w:eastAsiaTheme="minorEastAsia"/>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农业产业化</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组织年度产业化项目建设及资金使用情况检查，对年度农业产业化项目进行验收；对农业产业化项目建设情况和资金管理情况进行大排查，提前发现并消灭问题隐患。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扶持农业龙头企业和新型经营主体，带动农业特色主导产业发展，提高我县农业产业化整体水平。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年度产业化经营项目实施计划中各项分类措施的任务完成率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规上企业统计员补助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研究制定资料开发应用计划，进行业务培训，组织开展深层次课题研究，发布普查主要数据公报。</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专项统计调查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专项统计调查</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煤矿人员经费及补助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43.65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煤矿人员经费及补助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43.65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成安县商务局对外贸易促进会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依法监督技术引进、设备进口、国家限制出口的技术工作，拟订县级服务贸易发展规划并组织实施；负责对外贸易相关行政审批。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促进对外贸易稳定增长，优化产品结构。完成县政府下达的外贸进出口指标。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招商引资</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p>
            <w:pPr>
              <w:spacing w:line="300" w:lineRule="exact"/>
              <w:jc w:val="left"/>
              <w:rPr>
                <w:rFonts w:ascii="方正书宋_GBK" w:eastAsia="方正书宋_GBK"/>
              </w:rPr>
            </w:pPr>
            <w:r>
              <w:rPr>
                <w:rFonts w:hint="eastAsia" w:ascii="方正书宋_GBK" w:eastAsia="方正书宋_GBK"/>
              </w:rPr>
              <w:t>规范县级对外招商引资活动，组织实施投资贸易洽谈会等活动。借助我国对美、对俄、对台、多边贸易政策以及自贸区平台，组织县级企业走出去，开展贸易洽谈、招商合作等活动，促进贸易往来。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highlight w:val="none"/>
              </w:rPr>
              <w:t>100</w:t>
            </w:r>
            <w:r>
              <w:rPr>
                <w:rFonts w:hint="eastAsia" w:ascii="方正书宋_GBK" w:eastAsiaTheme="minorEastAsia"/>
                <w:highlight w:val="none"/>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w:t>
            </w:r>
            <w:r>
              <w:rPr>
                <w:rFonts w:hint="eastAsia" w:ascii="方正书宋_GBK" w:eastAsiaTheme="minorEastAsia"/>
                <w:highlight w:val="none"/>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w:t>
            </w:r>
            <w:r>
              <w:rPr>
                <w:rFonts w:hint="eastAsia" w:ascii="方正书宋_GBK" w:eastAsiaTheme="minorEastAsia"/>
                <w:highlight w:val="none"/>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highlight w:val="none"/>
              </w:rPr>
              <w:t>&lt;</w:t>
            </w:r>
            <w:r>
              <w:rPr>
                <w:rFonts w:hint="eastAsia" w:ascii="方正书宋_GBK" w:eastAsiaTheme="minorEastAsia"/>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高新产品进出口管理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县级高新技术产品对外推广，引导县级企业进口国外先进技术、关键设备和紧缺的资源产品，提高企业技术装备水平，推动企业转变增长方式，调整产品结构、提高产品质量和附加值。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促进高科技企业开拓国际市场，增加出口。</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高新技术产品及成果交易数</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发展服务贸易和服务外包</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依法监督技术引进、设备进口、国家限制出口的技术工作，拟订县级服务贸易发展规划并组织实施；负责对外贸易相关行政审批。</w:t>
            </w: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推介县级服务贸易和服务外包企业、扩大技术进出口、软件信息服务业和离岸服务外包出口，宣传县级服务贸易政策、开拓国内外市场。</w:t>
            </w:r>
          </w:p>
          <w:p>
            <w:pPr>
              <w:spacing w:line="300" w:lineRule="exact"/>
              <w:jc w:val="left"/>
              <w:rPr>
                <w:rFonts w:ascii="方正书宋_GBK" w:eastAsia="方正书宋_GBK"/>
              </w:rPr>
            </w:pPr>
            <w:r>
              <w:rPr>
                <w:rFonts w:hint="eastAsia" w:ascii="方正书宋_GBK" w:eastAsia="方正书宋_GBK"/>
              </w:rPr>
              <w:t>推介县级服务贸易和服务外包企业、扩大技术进出口、软件信息服务业和离岸服务外包出口，宣传县级服务贸易政策、开拓国内外市场。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促进对外贸易稳定增长，优化产品结构。完成县政府下达的外贸进出口指标。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促进服务贸易进出口额增长，结构不断优化，对外开放水平日益提升，加速推进全县服务业的对外开放水平</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促进对外经贸服务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做好进出口数据采集、贸易救济措施调查、产业损害预警、出口信用保险、开发区利用外资管理等工作。完善开发区建设发展管理体系，开展招商引资、培训。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完成县政府下达目标，确保对外投资和经济合作业务稳定增长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对外投资额增长率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提高外贸市场竞争能力</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打造以技术、质量、品牌、服务为核心的竞争新优势，支持外贸基地、品牌、境外营销网络建设，发展跨境电子商务、内外贸结合商品市场、外贸综合服务企业等新业态。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扩大高新技术产品出口、提高国际市场竞争力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达成协议及意向个数</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招商引资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527.90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招商引资</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527.90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到会客商人数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赴外国家地区数量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推进全省信息化建设</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推进信息化和工业化融合，指导协调电子政务发展，促进</w:t>
            </w:r>
            <w:r>
              <w:rPr>
                <w:rFonts w:hint="cs" w:ascii="方正书宋_GBK" w:eastAsia="方正书宋_GBK"/>
              </w:rPr>
              <w:t>“</w:t>
            </w:r>
            <w:r>
              <w:rPr>
                <w:rFonts w:hint="eastAsia" w:ascii="方正书宋_GBK" w:eastAsia="方正书宋_GBK"/>
              </w:rPr>
              <w:t>三网</w:t>
            </w:r>
            <w:r>
              <w:rPr>
                <w:rFonts w:hint="cs" w:ascii="方正书宋_GBK" w:eastAsia="方正书宋_GBK"/>
              </w:rPr>
              <w:t>”</w:t>
            </w:r>
            <w:r>
              <w:rPr>
                <w:rFonts w:hint="eastAsia" w:ascii="方正书宋_GBK" w:eastAsia="方正书宋_GBK"/>
              </w:rPr>
              <w:t>（电信、广播电视和计算机网络）融合、信息消费和物联网发展，维护网络与信息安全。推动全县软件业、信息服务业发展。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提升全县信息化建设和发展水平：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ascii="方正书宋_GBK" w:eastAsia="方正书宋_GBK"/>
              </w:rPr>
              <w:t>98</w:t>
            </w:r>
            <w:r>
              <w:rPr>
                <w:rFonts w:hint="eastAsia" w:ascii="方正书宋_GBK" w:eastAsia="方正书宋_GBK"/>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电子政务信息化建设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组织协调规划党政机关网建设，审核信息化项目，协调推动跨行业、跨部门互联互通，推动重要信息资源的开发利用、共享。</w:t>
            </w:r>
          </w:p>
          <w:p>
            <w:pPr>
              <w:spacing w:line="300" w:lineRule="exact"/>
              <w:jc w:val="left"/>
              <w:rPr>
                <w:rFonts w:ascii="方正书宋_GBK" w:eastAsia="方正书宋_GBK"/>
              </w:rPr>
            </w:pPr>
            <w:r>
              <w:rPr>
                <w:rFonts w:hint="eastAsia" w:ascii="方正书宋_GBK" w:eastAsia="方正书宋_GBK"/>
              </w:rPr>
              <w:t>拟定电子政务发展规划，统筹电子政务建设和管理，组织协调规划党政机关网建设，审核信息化项目，协调推动跨行业、跨部门互联互通，推动重要信息资源的开发利用、共享。</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提高全县政务信息化水平，提升信息资源利用水平。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信息化项目审核率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推进信息化与工业化深度融合</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拟定信息化与工业化融合战略，提出并组织实施信息化与工业化融合的总体规划、实施计划、标准规划和政策措施，组织实施有关监测和评估工作。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提升产业信息化水平，增强企业综合竞争力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标准和政策出台数量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计划和报告完成数量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示范试点建设数量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服务机构个数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企业户数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宣传培训次数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促进信息消费和物联网发展</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指导协调和促进培育信息消费，支持信息消费示范项目建设，推动三网融合；加强物联网技术研发，推进物联网产品产业化和应用示范，加强物联网公共服务平台建设。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促进信息消费持续稳定增长的长效机制，推动面向生产、生活和管理的信息消费快速健康增长；建立物联网产业体系，提升物联网在经济社会重要领域的应用水平；加强双软认定和资质管理，完善信息服务体系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示范项目建设和应用推广数量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示范工程数量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物联网平台数量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物联网标准数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服务体系完成率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支持新型工业化发展</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加大我省工业转型升级步伐，提升工业发展的质量和效益。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研究提出全县新型工业和信息化发展战略和政策</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加强全县工业和信息化发展战略、规划、法规、政策等研究制定和实施；制定并组织实施全县工业产业政策。</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建立完善工业和信息化政策法规、规划、标准体系，规范、引导、指导工业和信息化健康发展。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研究课题完成数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编制规划完成情况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产业结构调整方案实施数量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产业政策出台情况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支持工业技术改造</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组织全县工业技术改造工作，推进现代产业体系建设；通过贴息、补助、股权投资等方式支持全县重点工业技术改造项目。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采用新技术、新工艺、新材料改造提升全省传统产业水平，调整产业结构，转变经济发展方式。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四新成果利用率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工业技术改造投资增速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技改项目实施数量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工业技改项目管理信息系统覆盖率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工业强基示范项目建设数量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服务平台建设数量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扶持企业技术创新</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组织实施全县工业行业技术基础工作，加快以企业为主体的技术创新体系建设。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建立工业企业技术创新体系，提升工业企业技术水平。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创新示范企业数量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认定实验室数量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指导开发千项新产品、新技术数量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优评选数量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产学研合作项目数量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促进工业节能减排与资源综合利用</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指导企业节能管理，组织节能减排新产品、新技术、新设备、新材料的推广应用。组织实施工业</w:t>
            </w:r>
            <w:r>
              <w:rPr>
                <w:rFonts w:hint="cs" w:ascii="方正书宋_GBK" w:eastAsia="方正书宋_GBK"/>
              </w:rPr>
              <w:t>“</w:t>
            </w:r>
            <w:r>
              <w:rPr>
                <w:rFonts w:hint="eastAsia" w:ascii="方正书宋_GBK" w:eastAsia="方正书宋_GBK"/>
              </w:rPr>
              <w:t>三废</w:t>
            </w:r>
            <w:r>
              <w:rPr>
                <w:rFonts w:hint="cs" w:ascii="方正书宋_GBK" w:eastAsia="方正书宋_GBK"/>
              </w:rPr>
              <w:t>”</w:t>
            </w:r>
            <w:r>
              <w:rPr>
                <w:rFonts w:hint="eastAsia" w:ascii="方正书宋_GBK" w:eastAsia="方正书宋_GBK"/>
              </w:rPr>
              <w:t>资源综合利用项目管理、全县尾矿综合利用试点示范工程，推进企业能源管理中心建设。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推动工业企业节能降耗减排，提升资源综合利用，促进绿色循环低碳发展。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工业能耗降低率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大宗工业固废综合利用率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示范企业创建数量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清洁生产园区创建数量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能源管理中心建设数量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新能源汽车推广应用计划完成程度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节能环保技术应用数量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推进工业行业淘汰落后产能、压减过剩产能</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指导全县工业行业淘汰落后产能和化解过剩产能工作，制定下达年度淘汰落后和过剩产能计划并组织实施，开展监督检查。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消化一批、转移一批、整合一批、淘汰一批过剩产能，推进产业转型升级。</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计划下达情况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协调推进工业强县建设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协调推进实施工业强县战略，打好工业转型升级攻坚战。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完善工业协调推进机制，推进产业结构战略性调整和优化升级，走新型工业化道路。</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十大工业基地收入占规模以上企业工业总产值的比重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工业增加值增长率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示范基地创建数量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实施工业和信息化运行监测管理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监测分析全县工业运行；负责全县钢铁、石化、建材、装备、纺织、医药、轻工食品、电子信息、软件信息服务业等工业行业管理。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提升行业管理水平，促进行业健康发展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工业经济运行监测</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监测分析工业日常运行，协调解决行业运行发展中的问题。指导全县减轻企业负担工作，组织协调和监督检查。开展电子信息产业和相关服务业统计工作。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做好工业运行监测分析、预警，切实减轻企业负担，确保完成全县工业经济增长目标，促进工业持续健康平稳发展。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经济运行质量评价情况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经济运行分析和预测预警及时率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培育规模以上企业的目标任务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产需对接方案目标任务的完成率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统计及时性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工业运行监测率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政策落实评估情况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组织开展工业和信息化对外交流与合作</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开展对外经济交流与合作，指导和推动工业企业参加展洽活动，积极开拓国内、国外市场，促进贸易成交和技术交流，追踪前沿动态。</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促进工业企业开展对外经济交流与合作，提升工业对外开放水平。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产业转移平台建设数量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企业参加展洽数量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展会贸易成交同比增长</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组织各类展洽会次数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境外招商、洽谈次数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Theme="minorEastAsia"/>
                <w:b/>
              </w:rPr>
            </w:pPr>
            <w:r>
              <w:rPr>
                <w:rFonts w:hint="eastAsia" w:ascii="方正书宋_GBK" w:eastAsia="方正书宋_GBK"/>
                <w:b/>
              </w:rPr>
              <w:t>　　组织开展工业企业对标行动</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开展对标示范工程，建立政策驱动和督导考核机制，指导企业在研发、制造、经营等环节与同行业先进水平对标。开展管理提升工程，推进工业企业管理创新。</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建立完善对标体系，逐步缩小与国内外同行业先进水平的差距，创建一批行业</w:t>
            </w:r>
            <w:r>
              <w:rPr>
                <w:rFonts w:hint="cs" w:ascii="方正书宋_GBK" w:eastAsia="方正书宋_GBK"/>
              </w:rPr>
              <w:t>“</w:t>
            </w:r>
            <w:r>
              <w:rPr>
                <w:rFonts w:hint="eastAsia" w:ascii="方正书宋_GBK" w:eastAsia="方正书宋_GBK"/>
              </w:rPr>
              <w:t>第一</w:t>
            </w:r>
            <w:r>
              <w:rPr>
                <w:rFonts w:hint="cs" w:ascii="方正书宋_GBK" w:eastAsia="方正书宋_GBK"/>
              </w:rPr>
              <w:t>”</w:t>
            </w:r>
            <w:r>
              <w:rPr>
                <w:rFonts w:hint="eastAsia" w:ascii="方正书宋_GBK" w:eastAsia="方正书宋_GBK"/>
              </w:rPr>
              <w:t>和</w:t>
            </w:r>
            <w:r>
              <w:rPr>
                <w:rFonts w:hint="cs" w:ascii="方正书宋_GBK" w:eastAsia="方正书宋_GBK"/>
              </w:rPr>
              <w:t>“</w:t>
            </w:r>
            <w:r>
              <w:rPr>
                <w:rFonts w:hint="eastAsia" w:ascii="方正书宋_GBK" w:eastAsia="方正书宋_GBK"/>
              </w:rPr>
              <w:t>唯一</w:t>
            </w:r>
            <w:r>
              <w:rPr>
                <w:rFonts w:hint="cs" w:ascii="方正书宋_GBK" w:eastAsia="方正书宋_GBK"/>
              </w:rPr>
              <w:t>”</w:t>
            </w:r>
            <w:r>
              <w:rPr>
                <w:rFonts w:hint="eastAsia"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培育示范企业数量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指标更新和公布个数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为企业免费咨询服务数量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国家或省级行业</w:t>
            </w:r>
            <w:r>
              <w:rPr>
                <w:rFonts w:hint="cs" w:ascii="方正书宋_GBK" w:eastAsia="方正书宋_GBK"/>
              </w:rPr>
              <w:t>“</w:t>
            </w:r>
            <w:r>
              <w:rPr>
                <w:rFonts w:hint="eastAsia" w:ascii="方正书宋_GBK" w:eastAsia="方正书宋_GBK"/>
              </w:rPr>
              <w:t>第一</w:t>
            </w:r>
            <w:r>
              <w:rPr>
                <w:rFonts w:hint="cs" w:ascii="方正书宋_GBK" w:eastAsia="方正书宋_GBK"/>
              </w:rPr>
              <w:t>”</w:t>
            </w:r>
            <w:r>
              <w:rPr>
                <w:rFonts w:hint="eastAsia" w:ascii="方正书宋_GBK" w:eastAsia="方正书宋_GBK"/>
              </w:rPr>
              <w:t>或</w:t>
            </w:r>
            <w:r>
              <w:rPr>
                <w:rFonts w:hint="cs" w:ascii="方正书宋_GBK" w:eastAsia="方正书宋_GBK"/>
              </w:rPr>
              <w:t>“</w:t>
            </w:r>
            <w:r>
              <w:rPr>
                <w:rFonts w:hint="eastAsia" w:ascii="方正书宋_GBK" w:eastAsia="方正书宋_GBK"/>
              </w:rPr>
              <w:t>唯一</w:t>
            </w:r>
            <w:r>
              <w:rPr>
                <w:rFonts w:hint="cs" w:ascii="方正书宋_GBK" w:eastAsia="方正书宋_GBK"/>
              </w:rPr>
              <w:t>”</w:t>
            </w:r>
            <w:r>
              <w:rPr>
                <w:rFonts w:hint="eastAsia" w:ascii="方正书宋_GBK" w:eastAsia="方正书宋_GBK"/>
              </w:rPr>
              <w:t>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加强工业行业质量管理</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实施质量兴县战略，制定完善质量政策，推广应用先进质量管理方法，开展品牌培育试点工作；推进全县工业体制改革和管理创新</w:t>
            </w:r>
            <w:r>
              <w:rPr>
                <w:rFonts w:ascii="方正书宋_GBK" w:eastAsia="方正书宋_GBK"/>
              </w:rPr>
              <w:t>,</w:t>
            </w:r>
            <w:r>
              <w:rPr>
                <w:rFonts w:hint="eastAsia" w:ascii="方正书宋_GBK" w:eastAsia="方正书宋_GBK"/>
              </w:rPr>
              <w:t>提高行业综合素质和核心竞争力。推进食品诚信体系建设。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加强企业质量管理，构建工业产品质量和品牌发展长效机制。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名牌数量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诚信体系认定率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指导工业行业安全生产、应急管理</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指导全县工业加强安全管理和重点行业排查治理隐患，负责工业安全生产信息管理和宣传教育工作，负责烟花爆竹企业的新建、扩建、改建审批等；负责应急管理、医药储备、产业安全和国防动员相关工作。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加强安全生产管理，严防发生重特大生产安全责任事故；协调相关工业及医药流通企业落实工业应急物资和医药储备任务。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目标管理责任落实</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促进中小企业和民营经济发展</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加强对中小微企业和民营经济的宏观指导、综合协调，优化发展环境，激活市场主体，破解要素制约，强化公共服务，加强督导、检查和考核，提高民营经济和中小微企业发展质量和水平。</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推动中小微企业和民营经济持续、健康发展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中小和民营企业公共服务体系建设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推动中小和民营企业公共服务平台网络建设，为中小企业提供融资担保（包括金融机构风险补偿）、人才引进与培养、诚信评价、法律服务等公共服务。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为中小和民营企业提供的公共服务事项和效果不断提高；提高融资担保规模，贷款担保逐年增加；中小和民营企业规模数量及效益水平明显改善；提升中小、民营企业从业人员经营管理水平。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平台网络服务企业数量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服务机构数量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w:t>
            </w:r>
            <w:r>
              <w:rPr>
                <w:rFonts w:hint="cs" w:ascii="方正书宋_GBK" w:eastAsia="方正书宋_GBK"/>
              </w:rPr>
              <w:t>“</w:t>
            </w:r>
            <w:r>
              <w:rPr>
                <w:rFonts w:hint="eastAsia" w:ascii="方正书宋_GBK" w:eastAsia="方正书宋_GBK"/>
              </w:rPr>
              <w:t>订单式</w:t>
            </w:r>
            <w:r>
              <w:rPr>
                <w:rFonts w:hint="cs" w:ascii="方正书宋_GBK" w:eastAsia="方正书宋_GBK"/>
              </w:rPr>
              <w:t>”</w:t>
            </w:r>
            <w:r>
              <w:rPr>
                <w:rFonts w:hint="eastAsia" w:ascii="方正书宋_GBK" w:eastAsia="方正书宋_GBK"/>
              </w:rPr>
              <w:t>服务场次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行政许可办结率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年度完成担保贷款额</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人才培训基地数量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网络学堂建设个数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百千万</w:t>
            </w:r>
            <w:r>
              <w:rPr>
                <w:rFonts w:hint="cs" w:ascii="方正书宋_GBK" w:eastAsia="方正书宋_GBK"/>
              </w:rPr>
              <w:t>”</w:t>
            </w:r>
            <w:r>
              <w:rPr>
                <w:rFonts w:hint="eastAsia" w:ascii="方正书宋_GBK" w:eastAsia="方正书宋_GBK"/>
              </w:rPr>
              <w:t>人才工程培训人数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金色阳光</w:t>
            </w:r>
            <w:r>
              <w:rPr>
                <w:rFonts w:hint="cs" w:ascii="方正书宋_GBK" w:eastAsia="方正书宋_GBK"/>
              </w:rPr>
              <w:t>”</w:t>
            </w:r>
            <w:r>
              <w:rPr>
                <w:rFonts w:hint="eastAsia" w:ascii="方正书宋_GBK" w:eastAsia="方正书宋_GBK"/>
              </w:rPr>
              <w:t>法律服务行动场数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促进产业集群和县域工业发展</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指导集群内公共技术服务平台建设，促进中小企业专业化发展及为大企业配套，统筹指导创业辅导机构和辅导队伍的建设和管理。促进县域工业发展。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提升产业集群发展档次和水平，加强创业辅导建设，促进县域工业发展。推进创业辅导基地建设</w:t>
            </w:r>
            <w:r>
              <w:rPr>
                <w:rFonts w:ascii="方正书宋_GBK" w:eastAsia="方正书宋_GBK"/>
              </w:rPr>
              <w:t>,</w:t>
            </w:r>
            <w:r>
              <w:rPr>
                <w:rFonts w:hint="eastAsia" w:ascii="方正书宋_GBK" w:eastAsia="方正书宋_GBK"/>
              </w:rPr>
              <w:t>激发全民创业热情。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产业集群数量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公共技术服务平台数量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产业集群区域品牌增加量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创业辅导基地增加量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开展中小企业和民营经济运行监测</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中小企业、民营经济运行统计监测分析，统计并提供分析相关信息；组织开展全县中小企业和民营经济的宏观指导、发展规划、综合协调和宣传工作。开展民营经济重大问题研究和评估，加强对民营经济考核。</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建立健全民营经济运行统计和监测分析体系；加强规划引导，促进中小企业、民营经济健康发展。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出台规划</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监测点上报率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数据分析和发布及时性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专题宣传期数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课题研究数量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实施无线电行业监管</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贯彻执行国家无线电管理有关法律法规，拟定全县无线电管理具体规定并监督实施，为促进经济社会发展和保障国家安全服务。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加强无线电管理，保障各项无线电业务的正常运行</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无线电行业运行监管</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审批权限和业务范围审核全县无线电台（站）的建设布局和台址，规划和指配无线电台（站）频率和呼号，核发无线电台执照；对全县无线电台（站）的设置、使用和无线电发射设备的研制、生产、进口、销售实施监督和管理；按规定核收和上缴无线电频谱、卫星轨道资源有偿使用相关费用；组织实施无线电监测，协调处理电磁环境干扰事宜，维护空中电波秩序，依法组织实施无线电管制以及重大活动无线电安全保障、航空及铁路、水上无线电频率保护、无线电干扰查处、无线电频率国际和国内协调等。组织专业技术人员培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无线电安全保障高效、干扰查处及时、频率协调有力，保持全县优良电磁环境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违规行为查处</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无线电安全率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处置准确率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人员培训率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提升无线电监管条件和技术手段</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不断加强无线电监管条件和技术手段建设和设升级改造与运行维护，包括无线电专用的房屋建筑物、特种车辆、技术设备、网络建设等，为行业监管提供必备的基础条件和先进的技术手段。</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提高无线电监测网覆盖率和无线电设备的检测能力，快速准确定位无线电干扰信号。</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监测网覆盖率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捕捉违规信号准确率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监测故障率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工信政务管理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28.56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负责系统（内部）综合业务管理和机关（内部）综合事务管理。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提升工业和信息化综合事务管理水平。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28.56</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部门发展战略和规划、指导系统业务活动和事业发展；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合作，职业技能鉴定以及全县履行禁止化学武器公约和专项资金监管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依法做好监控化学品日常监管和行政许可审批；完善工业和信息化政策法规体系建设；培育专业化人才，提升工业和信息化人才队伍水平。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专家入库数量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职业技能鉴定人数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保障机关正常工作高效运转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金融生态环境建设</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地方金融机构建设与协调合作，金融生态环境建设。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提高我县金融业对外开放水平，净化金融市场，维护社会稳定，促进金融产业健康发展。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金融生态环境建设</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依法加强金融监管，整顿和规范金融市场秩序，协调非法集资、非法证券、非法保险等案件的查处、善后处置和维护金融稳定，指导全县金融生态环境和社会信用体系建设。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严守不发生系统性、区域性金融风险的底线，净化金融市场，防止非法集资活动的蔓延，维护社会稳定。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完成考核评级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bl>
    <w:p>
      <w:pPr>
        <w:autoSpaceDE w:val="0"/>
        <w:autoSpaceDN w:val="0"/>
        <w:adjustRightInd w:val="0"/>
        <w:spacing w:line="560" w:lineRule="exact"/>
        <w:ind w:firstLine="640" w:firstLineChars="200"/>
        <w:jc w:val="left"/>
        <w:rPr>
          <w:rFonts w:hint="eastAsia" w:ascii="黑体" w:hAnsi="黑体" w:eastAsia="黑体" w:cs="黑体"/>
          <w:sz w:val="32"/>
          <w:szCs w:val="32"/>
        </w:rPr>
      </w:pPr>
    </w:p>
    <w:p>
      <w:pPr>
        <w:autoSpaceDE w:val="0"/>
        <w:autoSpaceDN w:val="0"/>
        <w:adjustRightInd w:val="0"/>
        <w:spacing w:line="560" w:lineRule="exact"/>
        <w:ind w:firstLine="640" w:firstLineChars="200"/>
        <w:jc w:val="left"/>
        <w:rPr>
          <w:rFonts w:hint="eastAsia"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firstLine="640" w:firstLineChars="200"/>
        <w:jc w:val="left"/>
        <w:rPr>
          <w:rFonts w:ascii="仿宋" w:hAnsi="仿宋" w:eastAsia="仿宋" w:cs="Times New Roman"/>
          <w:sz w:val="32"/>
          <w:szCs w:val="32"/>
        </w:rPr>
      </w:pPr>
      <w:bookmarkStart w:id="1" w:name="_Toc471398468"/>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办实际，</w:t>
      </w:r>
      <w:r>
        <w:rPr>
          <w:rFonts w:hint="eastAsia" w:ascii="仿宋" w:hAnsi="仿宋" w:eastAsia="仿宋" w:cs="仿宋_GB2312"/>
          <w:kern w:val="0"/>
          <w:sz w:val="32"/>
          <w:szCs w:val="32"/>
        </w:rPr>
        <w:t>2020</w:t>
      </w:r>
      <w:r>
        <w:rPr>
          <w:rFonts w:ascii="仿宋" w:hAnsi="仿宋" w:eastAsia="仿宋" w:cs="仿宋_GB2312"/>
          <w:kern w:val="0"/>
          <w:sz w:val="32"/>
          <w:szCs w:val="32"/>
        </w:rPr>
        <w:t>年我</w:t>
      </w:r>
      <w:r>
        <w:rPr>
          <w:rFonts w:hint="eastAsia" w:ascii="仿宋" w:hAnsi="仿宋" w:eastAsia="仿宋" w:cs="仿宋_GB2312"/>
          <w:kern w:val="0"/>
          <w:sz w:val="32"/>
          <w:szCs w:val="32"/>
        </w:rPr>
        <w:t>办</w:t>
      </w:r>
      <w:r>
        <w:rPr>
          <w:rFonts w:ascii="仿宋" w:hAnsi="仿宋" w:eastAsia="仿宋" w:cs="仿宋_GB2312"/>
          <w:kern w:val="0"/>
          <w:sz w:val="32"/>
          <w:szCs w:val="32"/>
        </w:rPr>
        <w:t>采购事项为</w:t>
      </w:r>
      <w:r>
        <w:rPr>
          <w:rFonts w:hint="eastAsia" w:ascii="仿宋" w:hAnsi="仿宋" w:eastAsia="仿宋" w:cs="仿宋_GB2312"/>
          <w:kern w:val="0"/>
          <w:sz w:val="32"/>
          <w:szCs w:val="32"/>
        </w:rPr>
        <w:t>9.9万元，</w:t>
      </w:r>
      <w:r>
        <w:rPr>
          <w:rFonts w:ascii="仿宋" w:hAnsi="仿宋" w:eastAsia="仿宋" w:cs="仿宋_GB2312"/>
          <w:kern w:val="0"/>
          <w:sz w:val="32"/>
          <w:szCs w:val="32"/>
        </w:rPr>
        <w:t>本年拟用于政府采购</w:t>
      </w:r>
      <w:r>
        <w:rPr>
          <w:rFonts w:hint="eastAsia" w:ascii="仿宋" w:hAnsi="仿宋" w:eastAsia="仿宋" w:cs="仿宋_GB2312"/>
          <w:kern w:val="0"/>
          <w:sz w:val="32"/>
          <w:szCs w:val="32"/>
        </w:rPr>
        <w:t>电脑</w:t>
      </w:r>
      <w:r>
        <w:rPr>
          <w:rFonts w:hint="eastAsia" w:ascii="仿宋" w:hAnsi="仿宋" w:eastAsia="仿宋" w:cs="仿宋_GB2312"/>
          <w:kern w:val="0"/>
          <w:sz w:val="32"/>
          <w:szCs w:val="32"/>
          <w:lang w:val="en-US" w:eastAsia="zh-CN"/>
        </w:rPr>
        <w:t>8台共计</w:t>
      </w:r>
      <w:r>
        <w:rPr>
          <w:rFonts w:hint="eastAsia" w:ascii="仿宋" w:hAnsi="仿宋" w:eastAsia="仿宋" w:cs="仿宋_GB2312"/>
          <w:kern w:val="0"/>
          <w:sz w:val="32"/>
          <w:szCs w:val="32"/>
        </w:rPr>
        <w:t>3.6万元、空调</w:t>
      </w:r>
      <w:r>
        <w:rPr>
          <w:rFonts w:hint="eastAsia" w:ascii="仿宋" w:hAnsi="仿宋" w:eastAsia="仿宋" w:cs="仿宋_GB2312"/>
          <w:kern w:val="0"/>
          <w:sz w:val="32"/>
          <w:szCs w:val="32"/>
          <w:lang w:eastAsia="zh-CN"/>
        </w:rPr>
        <w:t>三台共计</w:t>
      </w:r>
      <w:r>
        <w:rPr>
          <w:rFonts w:hint="eastAsia" w:ascii="仿宋" w:hAnsi="仿宋" w:eastAsia="仿宋" w:cs="仿宋_GB2312"/>
          <w:kern w:val="0"/>
          <w:sz w:val="32"/>
          <w:szCs w:val="32"/>
        </w:rPr>
        <w:t>0.9</w:t>
      </w:r>
      <w:r>
        <w:rPr>
          <w:rFonts w:ascii="仿宋" w:hAnsi="仿宋" w:eastAsia="仿宋" w:cs="仿宋_GB2312"/>
          <w:kern w:val="0"/>
          <w:sz w:val="32"/>
          <w:szCs w:val="32"/>
        </w:rPr>
        <w:t>万元</w:t>
      </w:r>
      <w:r>
        <w:rPr>
          <w:rFonts w:hint="eastAsia" w:ascii="仿宋" w:hAnsi="仿宋" w:eastAsia="仿宋" w:cs="仿宋_GB2312"/>
          <w:kern w:val="0"/>
          <w:sz w:val="32"/>
          <w:szCs w:val="32"/>
        </w:rPr>
        <w:t>、办公家具</w:t>
      </w:r>
      <w:r>
        <w:rPr>
          <w:rFonts w:hint="eastAsia" w:ascii="仿宋" w:hAnsi="仿宋" w:eastAsia="仿宋" w:cs="仿宋_GB2312"/>
          <w:kern w:val="0"/>
          <w:sz w:val="32"/>
          <w:szCs w:val="32"/>
          <w:lang w:val="en-US" w:eastAsia="zh-CN"/>
        </w:rPr>
        <w:t>18组共计</w:t>
      </w:r>
      <w:r>
        <w:rPr>
          <w:rFonts w:hint="eastAsia" w:ascii="仿宋" w:hAnsi="仿宋" w:eastAsia="仿宋" w:cs="仿宋_GB2312"/>
          <w:kern w:val="0"/>
          <w:sz w:val="32"/>
          <w:szCs w:val="32"/>
        </w:rPr>
        <w:t>5.4万元</w:t>
      </w:r>
      <w:r>
        <w:rPr>
          <w:rFonts w:ascii="仿宋" w:hAnsi="仿宋" w:eastAsia="仿宋" w:cs="仿宋_GB2312"/>
          <w:kern w:val="0"/>
          <w:sz w:val="32"/>
          <w:szCs w:val="32"/>
        </w:rPr>
        <w:t>。</w:t>
      </w:r>
      <w:r>
        <w:rPr>
          <w:rFonts w:hint="eastAsia" w:ascii="仿宋" w:hAnsi="仿宋" w:eastAsia="仿宋" w:cs="方正仿宋_GBK"/>
          <w:sz w:val="32"/>
          <w:szCs w:val="32"/>
        </w:rPr>
        <w:t>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1"/>
    </w:p>
    <w:tbl>
      <w:tblPr>
        <w:tblStyle w:val="6"/>
        <w:tblW w:w="129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1134"/>
        <w:gridCol w:w="1498"/>
        <w:gridCol w:w="1250"/>
        <w:gridCol w:w="786"/>
        <w:gridCol w:w="786"/>
        <w:gridCol w:w="820"/>
        <w:gridCol w:w="804"/>
        <w:gridCol w:w="804"/>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23"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部门（单位）名称成安县人民政府办公室</w:t>
            </w:r>
          </w:p>
        </w:tc>
        <w:tc>
          <w:tcPr>
            <w:tcW w:w="5461"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3"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498"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采购物品名称</w:t>
            </w:r>
          </w:p>
        </w:tc>
        <w:tc>
          <w:tcPr>
            <w:tcW w:w="125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78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78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82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5461"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4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113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498" w:type="dxa"/>
            <w:vMerge w:val="continue"/>
            <w:vAlign w:val="center"/>
          </w:tcPr>
          <w:p>
            <w:pPr>
              <w:spacing w:line="560" w:lineRule="exact"/>
              <w:jc w:val="left"/>
              <w:outlineLvl w:val="0"/>
              <w:rPr>
                <w:rFonts w:ascii="宋体" w:hAnsi="宋体" w:eastAsia="宋体" w:cs="Times New Roman"/>
              </w:rPr>
            </w:pPr>
          </w:p>
        </w:tc>
        <w:tc>
          <w:tcPr>
            <w:tcW w:w="1250"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820" w:type="dxa"/>
            <w:vMerge w:val="continue"/>
            <w:vAlign w:val="center"/>
          </w:tcPr>
          <w:p>
            <w:pPr>
              <w:spacing w:line="560" w:lineRule="exact"/>
              <w:jc w:val="left"/>
              <w:outlineLvl w:val="0"/>
              <w:rPr>
                <w:rFonts w:ascii="宋体" w:hAnsi="宋体" w:eastAsia="宋体" w:cs="Times New Roman"/>
              </w:rPr>
            </w:pPr>
          </w:p>
        </w:tc>
        <w:tc>
          <w:tcPr>
            <w:tcW w:w="80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3918" w:type="dxa"/>
            <w:gridSpan w:val="5"/>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739"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249" w:type="dxa"/>
            <w:vMerge w:val="continue"/>
            <w:vAlign w:val="center"/>
          </w:tcPr>
          <w:p>
            <w:pPr>
              <w:spacing w:line="560" w:lineRule="exact"/>
              <w:jc w:val="left"/>
              <w:outlineLvl w:val="0"/>
              <w:rPr>
                <w:rFonts w:ascii="宋体" w:hAnsi="宋体" w:eastAsia="宋体" w:cs="Times New Roman"/>
              </w:rPr>
            </w:pPr>
          </w:p>
        </w:tc>
        <w:tc>
          <w:tcPr>
            <w:tcW w:w="1134" w:type="dxa"/>
            <w:vMerge w:val="continue"/>
            <w:vAlign w:val="center"/>
          </w:tcPr>
          <w:p>
            <w:pPr>
              <w:spacing w:line="560" w:lineRule="exact"/>
              <w:jc w:val="left"/>
              <w:outlineLvl w:val="0"/>
              <w:rPr>
                <w:rFonts w:ascii="宋体" w:hAnsi="宋体" w:eastAsia="宋体" w:cs="Times New Roman"/>
              </w:rPr>
            </w:pPr>
          </w:p>
        </w:tc>
        <w:tc>
          <w:tcPr>
            <w:tcW w:w="1498" w:type="dxa"/>
            <w:vMerge w:val="continue"/>
            <w:vAlign w:val="center"/>
          </w:tcPr>
          <w:p>
            <w:pPr>
              <w:spacing w:line="560" w:lineRule="exact"/>
              <w:jc w:val="left"/>
              <w:outlineLvl w:val="0"/>
              <w:rPr>
                <w:rFonts w:ascii="宋体" w:hAnsi="宋体" w:eastAsia="宋体" w:cs="Times New Roman"/>
              </w:rPr>
            </w:pPr>
          </w:p>
        </w:tc>
        <w:tc>
          <w:tcPr>
            <w:tcW w:w="1250"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820" w:type="dxa"/>
            <w:vMerge w:val="continue"/>
            <w:vAlign w:val="center"/>
          </w:tcPr>
          <w:p>
            <w:pPr>
              <w:spacing w:line="560" w:lineRule="exact"/>
              <w:jc w:val="left"/>
              <w:outlineLvl w:val="0"/>
              <w:rPr>
                <w:rFonts w:ascii="宋体" w:hAnsi="宋体" w:eastAsia="宋体" w:cs="Times New Roman"/>
              </w:rPr>
            </w:pPr>
          </w:p>
        </w:tc>
        <w:tc>
          <w:tcPr>
            <w:tcW w:w="804" w:type="dxa"/>
            <w:vMerge w:val="continue"/>
            <w:vAlign w:val="center"/>
          </w:tcPr>
          <w:p>
            <w:pPr>
              <w:spacing w:line="560" w:lineRule="exact"/>
              <w:jc w:val="left"/>
              <w:outlineLvl w:val="0"/>
              <w:rPr>
                <w:rFonts w:ascii="宋体" w:hAnsi="宋体" w:eastAsia="宋体" w:cs="Times New Roman"/>
              </w:rPr>
            </w:pPr>
          </w:p>
        </w:tc>
        <w:tc>
          <w:tcPr>
            <w:tcW w:w="804"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804"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732"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基金预算拨款</w:t>
            </w:r>
          </w:p>
        </w:tc>
        <w:tc>
          <w:tcPr>
            <w:tcW w:w="789"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财政专户核拨</w:t>
            </w:r>
          </w:p>
        </w:tc>
        <w:tc>
          <w:tcPr>
            <w:tcW w:w="789"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其他来源收入</w:t>
            </w:r>
          </w:p>
        </w:tc>
        <w:tc>
          <w:tcPr>
            <w:tcW w:w="739" w:type="dxa"/>
            <w:vMerge w:val="continue"/>
            <w:vAlign w:val="center"/>
          </w:tcPr>
          <w:p>
            <w:pPr>
              <w:spacing w:line="28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249" w:type="dxa"/>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合计</w:t>
            </w: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1498" w:type="dxa"/>
            <w:vAlign w:val="center"/>
          </w:tcPr>
          <w:p>
            <w:pPr>
              <w:spacing w:line="560" w:lineRule="exact"/>
              <w:jc w:val="left"/>
              <w:rPr>
                <w:rFonts w:ascii="宋体" w:hAnsi="宋体" w:eastAsia="宋体" w:cs="方正书宋_GBK"/>
                <w:b/>
                <w:bCs/>
              </w:rPr>
            </w:pP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right"/>
              <w:rPr>
                <w:rFonts w:ascii="宋体" w:hAnsi="宋体" w:eastAsia="宋体" w:cs="Times New Roman"/>
                <w:b/>
                <w:bCs/>
              </w:rPr>
            </w:pPr>
          </w:p>
        </w:tc>
        <w:tc>
          <w:tcPr>
            <w:tcW w:w="820" w:type="dxa"/>
            <w:vAlign w:val="center"/>
          </w:tcPr>
          <w:p>
            <w:pPr>
              <w:spacing w:line="560" w:lineRule="exact"/>
              <w:jc w:val="right"/>
              <w:rPr>
                <w:rFonts w:ascii="宋体" w:hAnsi="宋体" w:eastAsia="宋体" w:cs="Times New Roman"/>
                <w:b/>
                <w:bCs/>
              </w:rPr>
            </w:pP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249" w:type="dxa"/>
            <w:vAlign w:val="center"/>
          </w:tcPr>
          <w:p>
            <w:pPr>
              <w:spacing w:line="560" w:lineRule="exact"/>
              <w:jc w:val="center"/>
              <w:rPr>
                <w:rFonts w:ascii="宋体" w:hAnsi="宋体" w:eastAsia="宋体" w:cs="Times New Roman"/>
                <w:b/>
                <w:bCs/>
              </w:rPr>
            </w:pP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1498" w:type="dxa"/>
            <w:vAlign w:val="center"/>
          </w:tcPr>
          <w:p>
            <w:pPr>
              <w:spacing w:line="560" w:lineRule="exact"/>
              <w:jc w:val="left"/>
              <w:rPr>
                <w:rFonts w:ascii="宋体" w:hAnsi="宋体" w:eastAsia="宋体" w:cs="Times New Roman"/>
                <w:b/>
                <w:bCs/>
              </w:rPr>
            </w:pPr>
            <w:r>
              <w:rPr>
                <w:rFonts w:hint="eastAsia" w:ascii="宋体" w:hAnsi="宋体" w:eastAsia="宋体" w:cs="方正书宋_GBK"/>
                <w:b/>
                <w:bCs/>
              </w:rPr>
              <w:t>电脑</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8</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0.45</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49" w:type="dxa"/>
            <w:vAlign w:val="center"/>
          </w:tcPr>
          <w:p>
            <w:pPr>
              <w:spacing w:line="560" w:lineRule="exact"/>
              <w:jc w:val="center"/>
              <w:rPr>
                <w:rFonts w:ascii="宋体" w:hAnsi="宋体" w:eastAsia="宋体" w:cs="Times New Roman"/>
                <w:b/>
                <w:bCs/>
              </w:rPr>
            </w:pP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1498" w:type="dxa"/>
            <w:vAlign w:val="center"/>
          </w:tcPr>
          <w:p>
            <w:pPr>
              <w:spacing w:line="560" w:lineRule="exact"/>
              <w:jc w:val="left"/>
              <w:rPr>
                <w:rFonts w:ascii="宋体" w:hAnsi="宋体" w:eastAsia="宋体" w:cs="Times New Roman"/>
                <w:b/>
                <w:bCs/>
              </w:rPr>
            </w:pPr>
            <w:r>
              <w:rPr>
                <w:rFonts w:hint="eastAsia" w:ascii="宋体" w:hAnsi="宋体" w:eastAsia="宋体" w:cs="方正书宋_GBK"/>
                <w:b/>
                <w:bCs/>
              </w:rPr>
              <w:t>空调</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0.30</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49" w:type="dxa"/>
            <w:vAlign w:val="center"/>
          </w:tcPr>
          <w:p>
            <w:pPr>
              <w:spacing w:line="560" w:lineRule="exact"/>
              <w:jc w:val="center"/>
              <w:rPr>
                <w:rFonts w:ascii="宋体" w:hAnsi="宋体" w:eastAsia="宋体" w:cs="Times New Roman"/>
                <w:b/>
                <w:bCs/>
              </w:rPr>
            </w:pP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1498" w:type="dxa"/>
            <w:vAlign w:val="center"/>
          </w:tcPr>
          <w:p>
            <w:pPr>
              <w:spacing w:line="560" w:lineRule="exact"/>
              <w:jc w:val="left"/>
              <w:rPr>
                <w:rFonts w:ascii="宋体" w:hAnsi="宋体" w:eastAsia="宋体" w:cs="方正书宋_GBK"/>
                <w:b/>
                <w:bCs/>
              </w:rPr>
            </w:pPr>
            <w:r>
              <w:rPr>
                <w:rFonts w:hint="eastAsia" w:ascii="宋体" w:hAnsi="宋体" w:eastAsia="宋体" w:cs="方正书宋_GBK"/>
                <w:b/>
                <w:bCs/>
              </w:rPr>
              <w:t>办公家具</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组</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18</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bl>
    <w:p>
      <w:pPr>
        <w:autoSpaceDE w:val="0"/>
        <w:autoSpaceDN w:val="0"/>
        <w:adjustRightInd w:val="0"/>
        <w:spacing w:line="560" w:lineRule="exact"/>
        <w:ind w:left="198" w:firstLine="640" w:firstLineChars="200"/>
        <w:jc w:val="left"/>
        <w:rPr>
          <w:rFonts w:ascii="宋体" w:hAnsi="宋体" w:eastAsia="宋体" w:cs="Times New Roman"/>
          <w:sz w:val="32"/>
          <w:szCs w:val="32"/>
        </w:rPr>
      </w:pPr>
    </w:p>
    <w:p>
      <w:pPr>
        <w:numPr>
          <w:ilvl w:val="0"/>
          <w:numId w:val="4"/>
        </w:numPr>
        <w:autoSpaceDE w:val="0"/>
        <w:autoSpaceDN w:val="0"/>
        <w:adjustRightInd w:val="0"/>
        <w:spacing w:line="560" w:lineRule="exact"/>
        <w:ind w:left="198" w:firstLine="640" w:firstLineChars="200"/>
        <w:jc w:val="left"/>
        <w:rPr>
          <w:rFonts w:ascii="宋体" w:hAnsi="宋体" w:eastAsia="宋体" w:cs="Times New Roman"/>
          <w:b/>
          <w:bCs/>
          <w:kern w:val="0"/>
          <w:sz w:val="32"/>
          <w:szCs w:val="32"/>
        </w:rPr>
      </w:pPr>
      <w:r>
        <w:rPr>
          <w:rFonts w:hint="eastAsia" w:ascii="黑体" w:hAnsi="黑体" w:eastAsia="黑体" w:cs="黑体"/>
          <w:sz w:val="32"/>
          <w:szCs w:val="32"/>
        </w:rPr>
        <w:t>国有资产信息</w:t>
      </w:r>
    </w:p>
    <w:p>
      <w:pPr>
        <w:numPr>
          <w:ilvl w:val="0"/>
          <w:numId w:val="0"/>
        </w:numPr>
        <w:autoSpaceDE w:val="0"/>
        <w:autoSpaceDN w:val="0"/>
        <w:adjustRightInd w:val="0"/>
        <w:spacing w:line="560" w:lineRule="exact"/>
        <w:ind w:leftChars="200" w:firstLine="640" w:firstLineChars="200"/>
        <w:jc w:val="left"/>
        <w:rPr>
          <w:rFonts w:ascii="宋体" w:hAnsi="宋体" w:eastAsia="宋体" w:cs="Times New Roman"/>
          <w:b/>
          <w:bCs/>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323.3</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其中：车辆价值132万元，其它资产办公用电脑、办公家具、专用设备等价值191.3万元。2020年我单位拟购置9.9万元。</w:t>
      </w:r>
    </w:p>
    <w:p>
      <w:pPr>
        <w:numPr>
          <w:ilvl w:val="0"/>
          <w:numId w:val="0"/>
        </w:numPr>
        <w:autoSpaceDE w:val="0"/>
        <w:autoSpaceDN w:val="0"/>
        <w:adjustRightInd w:val="0"/>
        <w:spacing w:line="560" w:lineRule="exact"/>
        <w:ind w:leftChars="200"/>
        <w:jc w:val="left"/>
        <w:rPr>
          <w:rFonts w:hint="eastAsia" w:ascii="黑体" w:hAnsi="黑体" w:eastAsia="黑体" w:cs="黑体"/>
          <w:sz w:val="32"/>
          <w:szCs w:val="32"/>
        </w:rPr>
      </w:pPr>
    </w:p>
    <w:tbl>
      <w:tblPr>
        <w:tblStyle w:val="6"/>
        <w:tblW w:w="13077" w:type="dxa"/>
        <w:tblInd w:w="-106" w:type="dxa"/>
        <w:tblLayout w:type="fixed"/>
        <w:tblCellMar>
          <w:top w:w="0" w:type="dxa"/>
          <w:left w:w="108" w:type="dxa"/>
          <w:bottom w:w="0" w:type="dxa"/>
          <w:right w:w="108" w:type="dxa"/>
        </w:tblCellMar>
      </w:tblPr>
      <w:tblGrid>
        <w:gridCol w:w="5932"/>
        <w:gridCol w:w="1314"/>
        <w:gridCol w:w="5831"/>
      </w:tblGrid>
      <w:tr>
        <w:tblPrEx>
          <w:tblCellMar>
            <w:top w:w="0" w:type="dxa"/>
            <w:left w:w="108" w:type="dxa"/>
            <w:bottom w:w="0" w:type="dxa"/>
            <w:right w:w="108" w:type="dxa"/>
          </w:tblCellMar>
        </w:tblPrEx>
        <w:trPr>
          <w:trHeight w:val="705" w:hRule="atLeast"/>
        </w:trPr>
        <w:tc>
          <w:tcPr>
            <w:tcW w:w="13077"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7246"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编制部门：成安县人民政府办公室</w:t>
            </w:r>
          </w:p>
        </w:tc>
        <w:tc>
          <w:tcPr>
            <w:tcW w:w="5831"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截止时间：2019年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583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323.3</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544.8</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486.4</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在政府集中办公</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7</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132</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223</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191.3</w:t>
            </w:r>
          </w:p>
        </w:tc>
      </w:tr>
    </w:tbl>
    <w:p>
      <w:pPr>
        <w:autoSpaceDE w:val="0"/>
        <w:autoSpaceDN w:val="0"/>
        <w:adjustRightInd w:val="0"/>
        <w:ind w:left="198" w:firstLine="640" w:firstLineChars="200"/>
        <w:jc w:val="left"/>
        <w:rPr>
          <w:rFonts w:ascii="黑体" w:hAnsi="黑体" w:eastAsia="黑体" w:cs="黑体"/>
          <w:sz w:val="32"/>
          <w:szCs w:val="32"/>
        </w:rPr>
      </w:pPr>
    </w:p>
    <w:p>
      <w:pPr>
        <w:autoSpaceDE w:val="0"/>
        <w:autoSpaceDN w:val="0"/>
        <w:adjustRightInd w:val="0"/>
        <w:ind w:left="198" w:firstLine="640" w:firstLineChars="200"/>
        <w:jc w:val="left"/>
        <w:rPr>
          <w:rFonts w:ascii="黑体" w:hAnsi="黑体" w:eastAsia="黑体" w:cs="黑体"/>
          <w:sz w:val="32"/>
          <w:szCs w:val="32"/>
        </w:rPr>
      </w:pPr>
      <w:r>
        <w:rPr>
          <w:rFonts w:hint="eastAsia" w:ascii="黑体" w:hAnsi="黑体" w:eastAsia="黑体" w:cs="黑体"/>
          <w:sz w:val="32"/>
          <w:szCs w:val="32"/>
        </w:rPr>
        <w:t>八、名词解释</w:t>
      </w:r>
    </w:p>
    <w:p>
      <w:pPr>
        <w:autoSpaceDE w:val="0"/>
        <w:autoSpaceDN w:val="0"/>
        <w:adjustRightInd w:val="0"/>
        <w:ind w:left="198"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autoSpaceDE w:val="0"/>
        <w:autoSpaceDN w:val="0"/>
        <w:adjustRightInd w:val="0"/>
        <w:ind w:left="198"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autoSpaceDE w:val="0"/>
        <w:autoSpaceDN w:val="0"/>
        <w:adjustRightInd w:val="0"/>
        <w:ind w:left="198" w:firstLine="600" w:firstLineChars="250"/>
        <w:jc w:val="left"/>
        <w:rPr>
          <w:rFonts w:ascii="宋体" w:hAnsi="宋体" w:eastAsia="宋体" w:cs="宋体"/>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宋体" w:hAnsi="宋体" w:eastAsia="宋体" w:cs="宋体"/>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640" w:firstLineChars="200"/>
        <w:rPr>
          <w:rFonts w:ascii="宋体" w:hAnsi="宋体" w:eastAsia="宋体" w:cs="Times New Roman"/>
          <w:sz w:val="32"/>
          <w:szCs w:val="32"/>
        </w:rPr>
      </w:pPr>
      <w:r>
        <w:rPr>
          <w:rFonts w:hint="eastAsia" w:ascii="黑体" w:hAnsi="黑体" w:eastAsia="黑体" w:cs="黑体"/>
          <w:sz w:val="32"/>
          <w:szCs w:val="32"/>
        </w:rPr>
        <w:t>九、</w:t>
      </w:r>
      <w:r>
        <w:rPr>
          <w:rFonts w:hint="eastAsia" w:ascii="宋体" w:hAnsi="宋体" w:eastAsia="宋体" w:cs="方正仿宋_GBK"/>
          <w:b/>
          <w:bCs/>
          <w:sz w:val="32"/>
          <w:szCs w:val="32"/>
        </w:rPr>
        <w:t>其它需要说明的事项。</w:t>
      </w:r>
    </w:p>
    <w:p>
      <w:pPr>
        <w:spacing w:line="560" w:lineRule="exact"/>
        <w:ind w:firstLine="645"/>
        <w:rPr>
          <w:rFonts w:ascii="仿宋" w:hAnsi="仿宋" w:eastAsia="仿宋" w:cs="Times New Roman"/>
          <w:sz w:val="32"/>
          <w:szCs w:val="32"/>
        </w:rPr>
      </w:pPr>
      <w:r>
        <w:rPr>
          <w:rFonts w:hint="eastAsia" w:ascii="仿宋" w:hAnsi="仿宋" w:eastAsia="仿宋" w:cs="Times New Roman"/>
          <w:bCs/>
          <w:sz w:val="32"/>
          <w:szCs w:val="32"/>
        </w:rPr>
        <w:t>无其它需要说明的事项</w:t>
      </w:r>
    </w:p>
    <w:sectPr>
      <w:footerReference r:id="rId3" w:type="default"/>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28</w:t>
    </w:r>
    <w:r>
      <w:rPr>
        <w:rFonts w:ascii="仿宋" w:hAnsi="仿宋" w:eastAsia="仿宋" w:cs="仿宋"/>
        <w:sz w:val="32"/>
        <w:szCs w:val="32"/>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55E63"/>
    <w:multiLevelType w:val="singleLevel"/>
    <w:tmpl w:val="9C855E63"/>
    <w:lvl w:ilvl="0" w:tentative="0">
      <w:start w:val="7"/>
      <w:numFmt w:val="chineseCounting"/>
      <w:suff w:val="nothing"/>
      <w:lvlText w:val="%1、"/>
      <w:lvlJc w:val="left"/>
      <w:rPr>
        <w:rFonts w:hint="eastAsia"/>
      </w:rPr>
    </w:lvl>
  </w:abstractNum>
  <w:abstractNum w:abstractNumId="1">
    <w:nsid w:val="4126048B"/>
    <w:multiLevelType w:val="multilevel"/>
    <w:tmpl w:val="4126048B"/>
    <w:lvl w:ilvl="0" w:tentative="0">
      <w:start w:val="3"/>
      <w:numFmt w:val="japaneseCounting"/>
      <w:lvlText w:val="%1、"/>
      <w:lvlJc w:val="left"/>
      <w:pPr>
        <w:ind w:left="1350"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447B8A1F"/>
    <w:multiLevelType w:val="singleLevel"/>
    <w:tmpl w:val="447B8A1F"/>
    <w:lvl w:ilvl="0" w:tentative="0">
      <w:start w:val="2"/>
      <w:numFmt w:val="chineseCounting"/>
      <w:suff w:val="nothing"/>
      <w:lvlText w:val="（%1）"/>
      <w:lvlJc w:val="left"/>
      <w:rPr>
        <w:rFonts w:hint="eastAsia"/>
      </w:rPr>
    </w:lvl>
  </w:abstractNum>
  <w:abstractNum w:abstractNumId="3">
    <w:nsid w:val="7688E676"/>
    <w:multiLevelType w:val="singleLevel"/>
    <w:tmpl w:val="7688E676"/>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AA"/>
    <w:rsid w:val="00015E72"/>
    <w:rsid w:val="00020E13"/>
    <w:rsid w:val="00033899"/>
    <w:rsid w:val="0006156D"/>
    <w:rsid w:val="00081A74"/>
    <w:rsid w:val="0009730A"/>
    <w:rsid w:val="000A796E"/>
    <w:rsid w:val="000E0F7A"/>
    <w:rsid w:val="000E5B4A"/>
    <w:rsid w:val="000E7888"/>
    <w:rsid w:val="000F1902"/>
    <w:rsid w:val="00101C7A"/>
    <w:rsid w:val="00131928"/>
    <w:rsid w:val="001475B8"/>
    <w:rsid w:val="001A3CB4"/>
    <w:rsid w:val="001E0232"/>
    <w:rsid w:val="00206B22"/>
    <w:rsid w:val="0022450F"/>
    <w:rsid w:val="002307B5"/>
    <w:rsid w:val="00254473"/>
    <w:rsid w:val="00260C1D"/>
    <w:rsid w:val="00274FC3"/>
    <w:rsid w:val="00293823"/>
    <w:rsid w:val="002B3BE6"/>
    <w:rsid w:val="002B6992"/>
    <w:rsid w:val="002C0317"/>
    <w:rsid w:val="003014AD"/>
    <w:rsid w:val="00325594"/>
    <w:rsid w:val="0037750D"/>
    <w:rsid w:val="0039095C"/>
    <w:rsid w:val="003944D5"/>
    <w:rsid w:val="003C4C5D"/>
    <w:rsid w:val="003D1126"/>
    <w:rsid w:val="003D1369"/>
    <w:rsid w:val="003D22B1"/>
    <w:rsid w:val="003D6A06"/>
    <w:rsid w:val="004003FB"/>
    <w:rsid w:val="00410735"/>
    <w:rsid w:val="00453A06"/>
    <w:rsid w:val="00466D5A"/>
    <w:rsid w:val="004E3068"/>
    <w:rsid w:val="004E7AD0"/>
    <w:rsid w:val="0050311E"/>
    <w:rsid w:val="00504EB7"/>
    <w:rsid w:val="00524AAA"/>
    <w:rsid w:val="005412A2"/>
    <w:rsid w:val="0056074B"/>
    <w:rsid w:val="005730D6"/>
    <w:rsid w:val="005A06B7"/>
    <w:rsid w:val="005C54E9"/>
    <w:rsid w:val="005F0510"/>
    <w:rsid w:val="005F4345"/>
    <w:rsid w:val="0068144F"/>
    <w:rsid w:val="006B010A"/>
    <w:rsid w:val="006E46DB"/>
    <w:rsid w:val="00700CF0"/>
    <w:rsid w:val="007442FE"/>
    <w:rsid w:val="00747D9E"/>
    <w:rsid w:val="00752371"/>
    <w:rsid w:val="00756FEA"/>
    <w:rsid w:val="007775CB"/>
    <w:rsid w:val="0079522C"/>
    <w:rsid w:val="007B4EB3"/>
    <w:rsid w:val="007C484E"/>
    <w:rsid w:val="007C55B8"/>
    <w:rsid w:val="007D3992"/>
    <w:rsid w:val="007F0D2E"/>
    <w:rsid w:val="007F3221"/>
    <w:rsid w:val="007F4E13"/>
    <w:rsid w:val="00801502"/>
    <w:rsid w:val="00825F97"/>
    <w:rsid w:val="008327A0"/>
    <w:rsid w:val="008350CE"/>
    <w:rsid w:val="00850FAF"/>
    <w:rsid w:val="00860C1C"/>
    <w:rsid w:val="00867583"/>
    <w:rsid w:val="00894E53"/>
    <w:rsid w:val="008B262C"/>
    <w:rsid w:val="008D12CC"/>
    <w:rsid w:val="00933068"/>
    <w:rsid w:val="00947159"/>
    <w:rsid w:val="00966F27"/>
    <w:rsid w:val="00973104"/>
    <w:rsid w:val="00975484"/>
    <w:rsid w:val="00990CB9"/>
    <w:rsid w:val="009B2D48"/>
    <w:rsid w:val="009C264C"/>
    <w:rsid w:val="009E43C4"/>
    <w:rsid w:val="009F0612"/>
    <w:rsid w:val="00A12AE7"/>
    <w:rsid w:val="00A15ADE"/>
    <w:rsid w:val="00A312E6"/>
    <w:rsid w:val="00A56070"/>
    <w:rsid w:val="00A6455D"/>
    <w:rsid w:val="00A65373"/>
    <w:rsid w:val="00A95F51"/>
    <w:rsid w:val="00A964A2"/>
    <w:rsid w:val="00AB561A"/>
    <w:rsid w:val="00AC6968"/>
    <w:rsid w:val="00B1391C"/>
    <w:rsid w:val="00B13EFE"/>
    <w:rsid w:val="00B50088"/>
    <w:rsid w:val="00B500A4"/>
    <w:rsid w:val="00B51ADF"/>
    <w:rsid w:val="00B56C1F"/>
    <w:rsid w:val="00B700D7"/>
    <w:rsid w:val="00B74748"/>
    <w:rsid w:val="00B77503"/>
    <w:rsid w:val="00B809E0"/>
    <w:rsid w:val="00B86900"/>
    <w:rsid w:val="00B90EF7"/>
    <w:rsid w:val="00BA40C6"/>
    <w:rsid w:val="00BA6B82"/>
    <w:rsid w:val="00C0614B"/>
    <w:rsid w:val="00C07BA6"/>
    <w:rsid w:val="00C72492"/>
    <w:rsid w:val="00C7442A"/>
    <w:rsid w:val="00C75332"/>
    <w:rsid w:val="00C75C4B"/>
    <w:rsid w:val="00CD0F72"/>
    <w:rsid w:val="00CE23A2"/>
    <w:rsid w:val="00D27A25"/>
    <w:rsid w:val="00D312BA"/>
    <w:rsid w:val="00D4265F"/>
    <w:rsid w:val="00D65964"/>
    <w:rsid w:val="00D73351"/>
    <w:rsid w:val="00D92570"/>
    <w:rsid w:val="00DC5B8A"/>
    <w:rsid w:val="00DD107A"/>
    <w:rsid w:val="00E000C9"/>
    <w:rsid w:val="00E24B37"/>
    <w:rsid w:val="00E474B2"/>
    <w:rsid w:val="00E87B0C"/>
    <w:rsid w:val="00E91C36"/>
    <w:rsid w:val="00EB3669"/>
    <w:rsid w:val="00EB6428"/>
    <w:rsid w:val="00EE03EC"/>
    <w:rsid w:val="00F006DB"/>
    <w:rsid w:val="00F14752"/>
    <w:rsid w:val="00F311AF"/>
    <w:rsid w:val="00F3468E"/>
    <w:rsid w:val="00F66032"/>
    <w:rsid w:val="00F91172"/>
    <w:rsid w:val="00FA05A1"/>
    <w:rsid w:val="00FB5EA2"/>
    <w:rsid w:val="00FF56B6"/>
    <w:rsid w:val="047B3522"/>
    <w:rsid w:val="064C1A9B"/>
    <w:rsid w:val="0BA97B64"/>
    <w:rsid w:val="0D6D3F53"/>
    <w:rsid w:val="0E043204"/>
    <w:rsid w:val="12654FB6"/>
    <w:rsid w:val="12FA352D"/>
    <w:rsid w:val="1334329A"/>
    <w:rsid w:val="136C5EA5"/>
    <w:rsid w:val="15D6030E"/>
    <w:rsid w:val="163F218C"/>
    <w:rsid w:val="20F52E0B"/>
    <w:rsid w:val="237C21EF"/>
    <w:rsid w:val="23D6273B"/>
    <w:rsid w:val="25E20111"/>
    <w:rsid w:val="26077058"/>
    <w:rsid w:val="26E97891"/>
    <w:rsid w:val="274F6BA1"/>
    <w:rsid w:val="29FC6970"/>
    <w:rsid w:val="2FB3509A"/>
    <w:rsid w:val="308C623C"/>
    <w:rsid w:val="32176E72"/>
    <w:rsid w:val="39F04820"/>
    <w:rsid w:val="3AE440BC"/>
    <w:rsid w:val="3C1D6B10"/>
    <w:rsid w:val="40044807"/>
    <w:rsid w:val="4123017A"/>
    <w:rsid w:val="42316A0B"/>
    <w:rsid w:val="431C4053"/>
    <w:rsid w:val="464B42E2"/>
    <w:rsid w:val="47FD1F8B"/>
    <w:rsid w:val="4A687489"/>
    <w:rsid w:val="53681161"/>
    <w:rsid w:val="553C59BA"/>
    <w:rsid w:val="5D104A95"/>
    <w:rsid w:val="63C14C71"/>
    <w:rsid w:val="67867B89"/>
    <w:rsid w:val="6A7C6FB9"/>
    <w:rsid w:val="6ADB070B"/>
    <w:rsid w:val="74380403"/>
    <w:rsid w:val="7460160E"/>
    <w:rsid w:val="773D0B5E"/>
    <w:rsid w:val="783F6E48"/>
    <w:rsid w:val="78ED67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locked/>
    <w:uiPriority w:val="39"/>
    <w:rPr>
      <w:rFonts w:ascii="Calibri" w:hAnsi="Calibri" w:eastAsia="宋体" w:cs="Times New Roman"/>
      <w:szCs w:val="22"/>
    </w:rPr>
  </w:style>
  <w:style w:type="paragraph" w:styleId="5">
    <w:name w:val="toc 2"/>
    <w:basedOn w:val="1"/>
    <w:next w:val="1"/>
    <w:unhideWhenUsed/>
    <w:qFormat/>
    <w:locked/>
    <w:uiPriority w:val="39"/>
    <w:pPr>
      <w:ind w:left="420" w:leftChars="200"/>
    </w:pPr>
    <w:rPr>
      <w:rFonts w:ascii="Calibri" w:hAnsi="Calibri" w:eastAsia="宋体" w:cs="Times New Roman"/>
      <w:szCs w:val="22"/>
    </w:rPr>
  </w:style>
  <w:style w:type="character" w:customStyle="1" w:styleId="8">
    <w:name w:val="页眉 Char"/>
    <w:link w:val="3"/>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 w:type="paragraph" w:styleId="10">
    <w:name w:val="List Paragraph"/>
    <w:basedOn w:val="1"/>
    <w:qFormat/>
    <w:uiPriority w:val="99"/>
    <w:pPr>
      <w:ind w:firstLine="420" w:firstLineChars="200"/>
    </w:pPr>
  </w:style>
  <w:style w:type="paragraph" w:customStyle="1" w:styleId="11">
    <w:name w:val="列出段落1"/>
    <w:basedOn w:val="1"/>
    <w:qFormat/>
    <w:uiPriority w:val="34"/>
    <w:pPr>
      <w:ind w:firstLine="420" w:firstLineChars="200"/>
    </w:pPr>
    <w:rPr>
      <w:rFonts w:ascii="Calibri" w:hAnsi="Calibri" w:eastAsia="宋体" w:cs="Times New Roman"/>
      <w:szCs w:val="22"/>
    </w:rPr>
  </w:style>
  <w:style w:type="paragraph" w:customStyle="1" w:styleId="12">
    <w:name w:val="列出段落2"/>
    <w:basedOn w:val="1"/>
    <w:unhideWhenUsed/>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2275</Words>
  <Characters>12971</Characters>
  <Lines>108</Lines>
  <Paragraphs>30</Paragraphs>
  <TotalTime>1</TotalTime>
  <ScaleCrop>false</ScaleCrop>
  <LinksUpToDate>false</LinksUpToDate>
  <CharactersWithSpaces>15216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2019-01-25T09:48:00Z</dcterms:created>
  <dc:creator>旭东</dc:creator>
  <cp:lastModifiedBy>Administrator</cp:lastModifiedBy>
  <dcterms:modified xsi:type="dcterms:W3CDTF">2024-05-22T07:15:45Z</dcterms:modified>
  <dc:title>2017年部门预算公开督导整改要求</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730E0A90D6AD4C33BC9999797E43DA68</vt:lpwstr>
  </property>
</Properties>
</file>