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40" w:firstLineChars="200"/>
        <w:jc w:val="center"/>
        <w:rPr>
          <w:rFonts w:ascii="方正小标宋_GBK" w:eastAsia="方正小标宋_GBK"/>
          <w:sz w:val="52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成安县行政审批局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2021年部门预算公开情况说明</w:t>
      </w:r>
    </w:p>
    <w:p>
      <w:pPr>
        <w:ind w:firstLine="420" w:firstLineChars="200"/>
        <w:jc w:val="center"/>
        <w:rPr>
          <w:rFonts w:ascii="宋体" w:hAnsi="宋体" w:eastAsia="宋体"/>
        </w:rPr>
      </w:pPr>
    </w:p>
    <w:p>
      <w:pPr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按照《预算法》有关规定和财政部关于印发《地方预决算公开操作规程》的通知，</w:t>
      </w:r>
      <w:r>
        <w:rPr>
          <w:rFonts w:hint="eastAsia" w:ascii="仿宋" w:hAnsi="仿宋" w:eastAsia="仿宋" w:cs="仿宋"/>
          <w:kern w:val="0"/>
          <w:sz w:val="32"/>
          <w:szCs w:val="32"/>
        </w:rPr>
        <w:t>现将成安县</w:t>
      </w:r>
      <w:r>
        <w:rPr>
          <w:rFonts w:hint="eastAsia" w:ascii="仿宋" w:hAnsi="仿宋" w:eastAsia="仿宋" w:cs="仿宋"/>
          <w:sz w:val="32"/>
          <w:szCs w:val="32"/>
        </w:rPr>
        <w:t>行政审批局</w:t>
      </w:r>
      <w:r>
        <w:rPr>
          <w:rFonts w:hint="eastAsia" w:ascii="仿宋" w:hAnsi="仿宋" w:eastAsia="仿宋" w:cs="仿宋"/>
          <w:kern w:val="0"/>
          <w:sz w:val="32"/>
          <w:szCs w:val="32"/>
        </w:rPr>
        <w:t>2021年部门预算公开如下：</w:t>
      </w:r>
    </w:p>
    <w:p>
      <w:pPr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一、部门职责及机构设置情况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部门职责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贯彻执行国家、省、市、县有关“放管服”改革、行政审批制度改革、政务服务管理、公共资源交易管理、社会信用体系建设、群众服务热线等方面的方针政策、法律法规和决策部署，拟订我县相关发展规划和规范性文件，制定县行政审批局各项规章制度和管理办法，并组织实施。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负责规范全县行政审批和政务服务行为，建立和完善相应工作机制；负责对行政许可、政务服务事项进行流程再造、环节优化、压缩时限，并对办理情况进行跟踪督办；协调解决进驻县政务服务中心事项办理中存在的相关问题。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（三）负责县本级涉及投资项目、市场服务、公共事务、社会事务、环保城管、规划建设、交通运输、商贸流通、文教卫生、农林水利等领域审批事项的审批工作，并对审批行为承担相应的法律责任。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（四）负责进驻县行政审批局各部门行政审批工作的规范、管理和监督；负责审批业务涉及中介服务机构的对接、沟通、协调工作；负责“中介超市”管理工作。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（五）组织协调全县“放管服”改革工作。指导、督促贯彻落实国家、省、市关于“放管服”改革重要领域、关键环节重大政策措施，承担县推进政府职能转变和“放管服”改革协调小组的日常工作。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指导协调全县行政审批制度改革工作。建立健全县行政审批管理体系；负责协调和指导各乡镇和工业区的行政审批、政务服务管理平台建设工作；推进简政放权，清理和规范各类行政许可等管理事项；协调推进行政审批标准化工作；承担县行政审批制度改革工作领导小组的日常工作。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指导协调全县政务服务管理工作。负责优化政务服务供给，降低制度性交易成本，提升政务服务效能；负责建立和完善全县政务服务体系；负责推进审批服务便民化；指导协调县有关部门为公民、法人或其他组织提供规范、高效、优质的政务服务。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（八）承担成安县公共资源交易管理委员会日常工作。负责全县统一的公共资源交易平台建设、协调、监督和管理；会同有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责</w:t>
      </w:r>
      <w:r>
        <w:rPr>
          <w:rFonts w:hint="eastAsia" w:ascii="仿宋" w:hAnsi="仿宋" w:eastAsia="仿宋" w:cs="仿宋"/>
          <w:sz w:val="32"/>
          <w:szCs w:val="32"/>
        </w:rPr>
        <w:t>关行政监督部门拟订公共资源交易市场规则和制度，编制公共资源交易项目目录，规范各类公共资源交易活动。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九）引导和推动全县社会信用体系建设。组织制定发展规划和年度工作要点；推进健全信用法规制度和标准体系；负责本县信用信息数据库、共享平台和网站建设，推动信用信息的汇聚、交换、共享和应用；负责守信联合激励和失信联合惩戒制度建设和工作实施，建立诚信综合监督体系；组织开展失信问题专项治理；加强城市信用建设，培育和发展信用服务市场；承担县社会信用体系建设领导小组的日常工作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）统筹推进全县“互联网+政务服务”工作，构建全县一体化政务服务平台。推进政务服务事项网上办理，形成管理机构、实体大厅、网上平台“三位一体”的政务服务管理模式；推进全县电子证照库建设；推进全县政务服务平台规范化、标准化、集约化建设和互联互通、数据共享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一）对行政审批、公共资源交易及政务服务事项办理情况、办理效能以及办事人员的服务质量进行监督；负责对行政审批、公共资源交易及政务服务事项的投诉举报的承办、转办和督办工作，配合有关部门查处违法、违规、违纪问题。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（十二）负责工作人员的教育、培训、管理和绩效考核。</w:t>
      </w:r>
    </w:p>
    <w:p>
      <w:pPr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（十三）完成县委、县政府交办的其他任务。</w:t>
      </w:r>
    </w:p>
    <w:p>
      <w:pPr>
        <w:ind w:firstLine="640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人员编制和领导职数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县行政审批局机关行政编制14名。股级领导职数5名。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方正仿宋_GBK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内设机构及职责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机构设置：</w:t>
      </w:r>
    </w:p>
    <w:p>
      <w:pPr>
        <w:jc w:val="center"/>
        <w:outlineLvl w:val="0"/>
        <w:rPr>
          <w:rFonts w:ascii="Times New Roman" w:hAnsi="Times New Roman" w:eastAsia="方正小标宋_GBK" w:cs="方正小标宋_GBK"/>
          <w:sz w:val="32"/>
          <w:szCs w:val="32"/>
        </w:rPr>
      </w:pPr>
    </w:p>
    <w:p>
      <w:pPr>
        <w:jc w:val="center"/>
        <w:outlineLvl w:val="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部门机构设置情况</w:t>
      </w:r>
    </w:p>
    <w:tbl>
      <w:tblPr>
        <w:tblStyle w:val="6"/>
        <w:tblW w:w="938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7"/>
        <w:gridCol w:w="1555"/>
        <w:gridCol w:w="1519"/>
        <w:gridCol w:w="29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  <w:jc w:val="center"/>
        </w:trPr>
        <w:tc>
          <w:tcPr>
            <w:tcW w:w="3317" w:type="dxa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单位名称</w:t>
            </w:r>
          </w:p>
        </w:tc>
        <w:tc>
          <w:tcPr>
            <w:tcW w:w="1555" w:type="dxa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单位性质</w:t>
            </w:r>
          </w:p>
        </w:tc>
        <w:tc>
          <w:tcPr>
            <w:tcW w:w="1519" w:type="dxa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单位规格</w:t>
            </w:r>
          </w:p>
        </w:tc>
        <w:tc>
          <w:tcPr>
            <w:tcW w:w="2996" w:type="dxa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财政保障形式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3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成安县行政审批局</w:t>
            </w:r>
          </w:p>
        </w:tc>
        <w:tc>
          <w:tcPr>
            <w:tcW w:w="155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行政</w:t>
            </w:r>
          </w:p>
        </w:tc>
        <w:tc>
          <w:tcPr>
            <w:tcW w:w="15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正科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级</w:t>
            </w:r>
          </w:p>
        </w:tc>
        <w:tc>
          <w:tcPr>
            <w:tcW w:w="29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财政拨款</w:t>
            </w:r>
          </w:p>
        </w:tc>
      </w:tr>
    </w:tbl>
    <w:p>
      <w:pPr>
        <w:widowControl/>
        <w:spacing w:line="360" w:lineRule="auto"/>
        <w:ind w:left="628"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成安县行政审批局，预算编码是223。内设5个内部机构。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办公室。负责组织、协调、推进机关日常工作。负责文电、机要、保密、档案和政务公开工作；负责机关和所属单位财务、国有资产管理、安全保卫和内部审计工作；负责重要文件、综合性报告、领导讲话稿的起草，重大课题的政策研究和综合调研工作；负责重要会议、接待和活动的组织安排；负责局办公会议及内部管理制度的督办落实；负责人大代表建议及政协提案承办工作；负责拟定机关内部管理规章制度。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机关人事管理和干部教育培训工作；负责机关及直属单位党建工作，领导和指导各党支部工作，指导和支持工会、团委、妇委会工作；负责党员的教育、管理、服务和发展工作；负责党内民主与监督，落实党风廉政建设日常工作；负责思想政治工作和党务工作人员的队伍建设；负责机关宣传信息工作。</w:t>
      </w:r>
    </w:p>
    <w:p>
      <w:pPr>
        <w:widowControl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（二）综合股。</w:t>
      </w:r>
      <w:r>
        <w:rPr>
          <w:rFonts w:hint="eastAsia" w:ascii="仿宋" w:hAnsi="仿宋" w:eastAsia="仿宋" w:cs="仿宋"/>
          <w:sz w:val="32"/>
          <w:szCs w:val="32"/>
        </w:rPr>
        <w:t>负责政府投资和企业投资建设项目的立项、用地审批、环境评价、乡村规划许可、人防工程、施工许可、竣工验收等阶段的审批、备案、验收等事项；</w:t>
      </w:r>
      <w:r>
        <w:rPr>
          <w:rFonts w:hint="eastAsia" w:ascii="仿宋" w:hAnsi="仿宋" w:eastAsia="仿宋" w:cs="仿宋"/>
          <w:bCs/>
          <w:sz w:val="32"/>
          <w:szCs w:val="32"/>
        </w:rPr>
        <w:t>负责企业名称预先核准；企业设立、变更、注销登记；企业集团核准登记；内资企业股权出质设立、变更、注销登记；企业有关事项备案；企业申请增补、换发营业执照等；负责市场主体培育工作。</w:t>
      </w:r>
    </w:p>
    <w:p>
      <w:pPr>
        <w:widowControl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企事业单位、其他组织和个人从事生产、经营活动涉及的食品药品、安全生产等事项的许可、备案及相关资质、资格许可的办理；负责涉及文化广电、新闻出版、卫生计生、农林牧渔等领域审批及相关事项办理；负责涉及环境保护、城市管理、交通运输等领域的审批及相关事项办理；负责人力资源社会保障、教育、体育、民政等领域的审批及相关事项办理。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组织对进入审批程序的项目进行实地勘验或组织、协调专家进行评审勘验；负责评审专家库建设；负责汇总整理勘验或专家评审意见并转交至相关审批业务处室；负责全局审批业务涉及中介服务机构的对接、沟通、协调工作；负责“中介超市”管理工作；负责与业务关联部门的衔接、沟通、协调等工作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（三）公共资源交易监管</w:t>
      </w:r>
      <w:r>
        <w:rPr>
          <w:rFonts w:hint="eastAsia" w:ascii="仿宋" w:hAnsi="仿宋" w:eastAsia="仿宋" w:cs="仿宋"/>
          <w:bCs/>
          <w:sz w:val="32"/>
          <w:szCs w:val="32"/>
        </w:rPr>
        <w:t>股</w:t>
      </w:r>
      <w:r>
        <w:rPr>
          <w:rFonts w:hint="eastAsia" w:ascii="仿宋" w:hAnsi="仿宋" w:eastAsia="仿宋" w:cs="仿宋"/>
          <w:sz w:val="32"/>
          <w:szCs w:val="32"/>
        </w:rPr>
        <w:t>。承担成安县公共资源交易管理委员会日常工作。负责指导、协调全县公共资源交易平台建设与交易管理工作，提出加强和规范公共资源交易平台管理的意见建议；会同有关部门制定公共资源交易的监管配套制度、交易规则；负责县公共资源交易平台的监督与协调工作；负责对交易目录内的项目进场情况进行监督检查；负责汇总公共资源交易情况，及时向公共资源交易平台通报、发布相关信息；对进场交易情况进行考评；负责组织对有关入驻单位、工作人员的社会评议；受理对公共资源交易活动的投诉并会同有关部门调查处理。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（四）法规督查</w:t>
      </w:r>
      <w:r>
        <w:rPr>
          <w:rFonts w:hint="eastAsia" w:ascii="仿宋" w:hAnsi="仿宋" w:eastAsia="仿宋" w:cs="仿宋"/>
          <w:bCs/>
          <w:sz w:val="32"/>
          <w:szCs w:val="32"/>
        </w:rPr>
        <w:t>股</w:t>
      </w:r>
      <w:r>
        <w:rPr>
          <w:rFonts w:hint="eastAsia" w:ascii="仿宋" w:hAnsi="仿宋" w:eastAsia="仿宋" w:cs="仿宋"/>
          <w:sz w:val="32"/>
          <w:szCs w:val="32"/>
        </w:rPr>
        <w:t>。负责制定涉及行政审批的各项规章制度和管理办法并组织实施；负责规范行政审批行为，建立和完善相应工作机制；负责机关依法行政工作和行政审批涉及的法律、法规咨询解释、宣传教育和培训工作；负责处理涉及行政审批的行政复议、行政应诉等法律纠纷；负责对审批服务事项的设定依据、受理要件、办理流程进行合法性审查；负责内部监督和审批案卷规范性审查；负责进驻窗口单位及人员的日常管理、考评、考核等工作；负责对行政审批、公共资源交易及政务服务事项办理情况、办理效能以及工作人员的服务态度、服务质量、工作纪律等进行监督；负责受理服务对象行政投诉，接待群众来信来访。负责对行政审批、公共资源交易及政务服务事项的投诉举报的承办、转办和督办工作，配合有关部门查处违法、违规、违纪问题。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</w:t>
      </w:r>
      <w:r>
        <w:rPr>
          <w:rFonts w:hint="eastAsia" w:ascii="仿宋" w:hAnsi="仿宋" w:eastAsia="仿宋" w:cs="仿宋"/>
          <w:bCs/>
          <w:sz w:val="32"/>
          <w:szCs w:val="32"/>
        </w:rPr>
        <w:t>统一受理股。负责咨询引导工作；负责非即办类审批事项的统一受理；负责统一制证及证照统一送达工作；负责受理办事申请，一次告知申请材料；负责审验申报材料完整度，核对申请人信息并录入审批系统；负责将接收的资料转交相关审批业务股室；负责各入驻窗口审批事项的统一登记工作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二、部门预算安排的总体情况</w:t>
      </w:r>
    </w:p>
    <w:p>
      <w:pPr>
        <w:spacing w:line="56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按照预算管理有关规定，目前我部门预算的编制实行综合预算制度，即全部收入和支出都反映在预算中。</w:t>
      </w:r>
    </w:p>
    <w:p>
      <w:pPr>
        <w:spacing w:line="560" w:lineRule="exact"/>
        <w:ind w:firstLine="64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1、收入说明</w:t>
      </w:r>
    </w:p>
    <w:p>
      <w:pPr>
        <w:spacing w:line="560" w:lineRule="exact"/>
        <w:ind w:firstLine="64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2021</w:t>
      </w:r>
      <w:r>
        <w:rPr>
          <w:rFonts w:hint="eastAsia" w:ascii="仿宋" w:hAnsi="仿宋" w:eastAsia="仿宋" w:cs="方正仿宋_GBK"/>
          <w:sz w:val="32"/>
          <w:szCs w:val="32"/>
        </w:rPr>
        <w:t>年预算收入1551.13万元，其中：一般公共预算收入1551.13万元，国有资本经营收入0万元，事业收入0万元，其他收入0万元。</w:t>
      </w:r>
    </w:p>
    <w:p>
      <w:pPr>
        <w:spacing w:line="560" w:lineRule="exact"/>
        <w:ind w:firstLine="64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2、支出说明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2021</w:t>
      </w:r>
      <w:r>
        <w:rPr>
          <w:rFonts w:hint="eastAsia" w:ascii="仿宋" w:hAnsi="仿宋" w:eastAsia="仿宋" w:cs="方正仿宋_GBK"/>
          <w:sz w:val="32"/>
          <w:szCs w:val="32"/>
        </w:rPr>
        <w:t>年支出预算1551.13万元，其中基本支出1505.88万元，主要包括人员经费1390.25万元，日常公用经费160.88万元；项目支出45.25万元，主要为劳务派遣人员工资及福利支出。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3、比上年增减变化情况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2021年预算收支安排1551.13万元，2020年财政拨款收入376.66万元，2021年比2020年增加1174.47万元。其中：基本支出增加1181.22万元，由于机构改革增加职能和人员，在2021年预算中予以调增；项目支出减少6.75万元，主要是劳务派遣人员减少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三、机关运行经费安排情况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机关运行经费共计安排105.21万元，主要用于人员经费和办公区日常维修、办公用房水电费、邮电费、差旅费、办公用房物业管理费、印刷费等日常运行支出。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="1795" w:leftChars="398" w:hanging="960" w:hangingChars="3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财政拨款“三公”经费预算情况</w:t>
      </w:r>
    </w:p>
    <w:p>
      <w:pPr>
        <w:pStyle w:val="10"/>
        <w:autoSpaceDE w:val="0"/>
        <w:autoSpaceDN w:val="0"/>
        <w:adjustRightInd w:val="0"/>
        <w:spacing w:line="560" w:lineRule="exact"/>
        <w:ind w:left="420" w:leftChars="200" w:firstLine="480" w:firstLineChars="150"/>
        <w:jc w:val="left"/>
        <w:rPr>
          <w:rFonts w:ascii="仿宋_GB2312" w:hAns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2021年度“三公”预算安排0万元，其中，因公出国（境）费0元，安排公务用车维护费0元，（其中公务用车购置费0元，公务用车运行维护费0万元），公务接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待</w:t>
      </w:r>
      <w:bookmarkStart w:id="1" w:name="_GoBack"/>
      <w:bookmarkEnd w:id="1"/>
      <w:r>
        <w:rPr>
          <w:rFonts w:hint="eastAsia" w:ascii="仿宋" w:hAnsi="仿宋" w:eastAsia="仿宋" w:cs="仿宋_GB2312"/>
          <w:kern w:val="0"/>
          <w:sz w:val="32"/>
          <w:szCs w:val="32"/>
        </w:rPr>
        <w:t>费0万元，2021年“三公”经费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中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因公出国（境）费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与去年持平，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公务用车维护费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与去年持平，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公务接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待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费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与去年持平。</w:t>
      </w:r>
    </w:p>
    <w:p>
      <w:pPr>
        <w:spacing w:line="560" w:lineRule="exact"/>
        <w:ind w:firstLine="838" w:firstLineChars="262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五、绩效预算信息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600" w:lineRule="exact"/>
        <w:ind w:firstLine="600"/>
        <w:rPr>
          <w:rFonts w:ascii="新宋体" w:hAnsi="新宋体" w:eastAsia="新宋体" w:cs="新宋体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b/>
          <w:bCs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方正仿宋_GBK"/>
          <w:b/>
          <w:bCs/>
          <w:sz w:val="32"/>
          <w:szCs w:val="32"/>
        </w:rPr>
        <w:t>总体绩效目标：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600" w:lineRule="exact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30"/>
          <w:szCs w:val="30"/>
        </w:rPr>
        <w:t>深化审批机制改革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600" w:lineRule="exact"/>
        <w:ind w:firstLine="600" w:firstLineChars="2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深化审批机制改革，要推进工程建设项目审批制度改革；推进商事制度改革，实施企业开办提速、“证照分离”等专项行动；推进公共资源交易改革；全面推行统一受理；提升重点项目代办工作。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600" w:lineRule="exact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30"/>
          <w:szCs w:val="30"/>
        </w:rPr>
        <w:t>深化政务服务改革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600" w:lineRule="exact"/>
        <w:ind w:firstLine="600" w:firstLineChars="2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深化政务服务改革，要健全完善政务服务体系；加强审批服务标准化建设；加快推动“互联网＋政务服务”；提高群众服务热线水平。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600" w:lineRule="exact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kern w:val="0"/>
          <w:sz w:val="30"/>
          <w:szCs w:val="30"/>
        </w:rPr>
        <w:t>加大“四减”力度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600" w:lineRule="exact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减少审批事项；减少审批环节；减少审批材料；减少审批时限。</w:t>
      </w:r>
    </w:p>
    <w:p>
      <w:pPr>
        <w:widowControl/>
        <w:numPr>
          <w:ilvl w:val="0"/>
          <w:numId w:val="0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600" w:lineRule="exact"/>
        <w:ind w:left="630" w:leftChars="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kern w:val="0"/>
          <w:sz w:val="30"/>
          <w:szCs w:val="30"/>
        </w:rPr>
        <w:t>提升企业群众获得感和满意度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600" w:lineRule="exact"/>
        <w:ind w:firstLine="600" w:firstLineChars="2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扎实开展“便民利企主题活动”，进一步增强企业群众的获得感和满意度。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（二）分项绩效目标</w:t>
      </w:r>
    </w:p>
    <w:p>
      <w:pPr>
        <w:keepNext/>
        <w:keepLines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Lines="0" w:afterLines="0" w:line="580" w:lineRule="exact"/>
        <w:ind w:firstLine="64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1.行政审批大楼运行和审批业务工作经费绩效目标：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Lines="0" w:afterLines="0" w:line="560" w:lineRule="exact"/>
        <w:ind w:firstLine="64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承办上级交办的各项事项，协调推进机关日常工作。完成机关运转需要的办公、维修、文印等事务管理工作，综合业务完成率达到100%。大楼近</w:t>
      </w:r>
      <w:r>
        <w:rPr>
          <w:rFonts w:hint="eastAsia" w:ascii="仿宋" w:hAnsi="仿宋" w:eastAsia="仿宋"/>
          <w:sz w:val="32"/>
          <w:lang w:val="en-US" w:eastAsia="zh-CN"/>
        </w:rPr>
        <w:t>4</w:t>
      </w:r>
      <w:r>
        <w:rPr>
          <w:rFonts w:hint="eastAsia" w:ascii="仿宋" w:hAnsi="仿宋" w:eastAsia="仿宋"/>
          <w:sz w:val="32"/>
        </w:rPr>
        <w:t>000平米环境卫生、绿植养护及安全防卫完成率达到100%。政府服务热线电话电话办结率、回访满意率均达到</w:t>
      </w:r>
      <w:r>
        <w:rPr>
          <w:rFonts w:hint="eastAsia" w:ascii="仿宋" w:hAnsi="仿宋" w:eastAsia="仿宋"/>
          <w:sz w:val="32"/>
          <w:lang w:val="en-US" w:eastAsia="zh-CN"/>
        </w:rPr>
        <w:t>98</w:t>
      </w:r>
      <w:r>
        <w:rPr>
          <w:rFonts w:hint="eastAsia" w:ascii="仿宋" w:hAnsi="仿宋" w:eastAsia="仿宋"/>
          <w:sz w:val="32"/>
        </w:rPr>
        <w:t>%。审批业务顺利办结,相关审批事项出证率达到100%。现场勘验工作顺利实施出现场率达到100%。提高勘验工作的专业性,第三方专业技术进行评价服务完采纳达到100%。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Lines="0" w:afterLines="0" w:line="560" w:lineRule="exact"/>
        <w:ind w:firstLine="64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2.公共资源交易活动职责绩效目标：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Lines="0" w:afterLines="0" w:line="560" w:lineRule="exact"/>
        <w:ind w:firstLine="64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评标工作正常有序开展，评标过程标准化，为各级政府单位采购工作提供数据支撑和科学参考,确保招投标结果的科学性、正确性,按规定抽取专家评审，确保全年系统稳定运行，累计故障时间可控范围内；公共资源交易中心门户网站维护，确保网站安全运行，外联单位信息全面可查询，网站全年安全访问。建立完善规则统一、公开透明、服务高效、监督规范的公共资源交易平台体系，实现公共资源交易全部线上留痕率达100%，政府采购公开招标、工程建设项目全流程电子化覆盖率100%。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Lines="0" w:afterLines="0" w:line="560" w:lineRule="exact"/>
        <w:ind w:firstLine="643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3.推进“互联网＋政务服务”工作职责绩效目标：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Lines="0" w:afterLines="0" w:line="560" w:lineRule="exact"/>
        <w:ind w:firstLine="643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保证</w:t>
      </w:r>
      <w:r>
        <w:rPr>
          <w:rFonts w:hint="eastAsia" w:ascii="仿宋" w:hAnsi="仿宋" w:eastAsia="仿宋"/>
          <w:sz w:val="32"/>
          <w:lang w:eastAsia="zh-CN"/>
        </w:rPr>
        <w:t>县</w:t>
      </w:r>
      <w:r>
        <w:rPr>
          <w:rFonts w:hint="eastAsia" w:ascii="仿宋" w:hAnsi="仿宋" w:eastAsia="仿宋"/>
          <w:sz w:val="32"/>
        </w:rPr>
        <w:t>一体化政务服务平台与</w:t>
      </w:r>
      <w:r>
        <w:rPr>
          <w:rFonts w:hint="eastAsia" w:ascii="仿宋" w:hAnsi="仿宋" w:eastAsia="仿宋"/>
          <w:sz w:val="32"/>
          <w:lang w:eastAsia="zh-CN"/>
        </w:rPr>
        <w:t>市</w:t>
      </w:r>
      <w:r>
        <w:rPr>
          <w:rFonts w:hint="eastAsia" w:ascii="仿宋" w:hAnsi="仿宋" w:eastAsia="仿宋"/>
          <w:sz w:val="32"/>
        </w:rPr>
        <w:t>平台连通顺畅，满足县级正常业务办理使用，推进</w:t>
      </w:r>
      <w:r>
        <w:rPr>
          <w:rFonts w:hint="eastAsia" w:ascii="仿宋" w:hAnsi="仿宋" w:eastAsia="仿宋"/>
          <w:sz w:val="32"/>
          <w:lang w:eastAsia="zh-CN"/>
        </w:rPr>
        <w:t>县</w:t>
      </w:r>
      <w:r>
        <w:rPr>
          <w:rFonts w:hint="eastAsia" w:ascii="仿宋" w:hAnsi="仿宋" w:eastAsia="仿宋"/>
          <w:sz w:val="32"/>
        </w:rPr>
        <w:t>政务服务平台与垂建业务系统对接，承接部分审批职能，实现接口对接、数据调用和结果汇聚等功能。确保系统功能完善率95%以上。</w:t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 xml:space="preserve"> 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Lines="0" w:afterLines="0" w:line="560" w:lineRule="exact"/>
        <w:ind w:firstLine="643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4.社会信用体系建设运维职责绩效目标：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Lines="0" w:afterLines="0" w:line="560" w:lineRule="exact"/>
        <w:ind w:firstLine="643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提升我</w:t>
      </w:r>
      <w:r>
        <w:rPr>
          <w:rFonts w:hint="eastAsia" w:ascii="仿宋" w:hAnsi="仿宋" w:eastAsia="仿宋"/>
          <w:sz w:val="32"/>
          <w:lang w:eastAsia="zh-CN"/>
        </w:rPr>
        <w:t>县</w:t>
      </w:r>
      <w:r>
        <w:rPr>
          <w:rFonts w:hint="eastAsia" w:ascii="仿宋" w:hAnsi="仿宋" w:eastAsia="仿宋"/>
          <w:sz w:val="32"/>
        </w:rPr>
        <w:t>信用门户网站和信用信息共享平台建设水平，完善平台信用信息采集报送共享、公示查询管理、联合奖惩、场景应用、信用监管、数据分析和信息安全等系统，推进信用服务应用“高度集成、一网通办”。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Lines="0" w:afterLines="0" w:line="560" w:lineRule="exact"/>
        <w:ind w:firstLine="643"/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（三）工作保障措施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Lines="0" w:afterLines="0" w:line="560" w:lineRule="exact"/>
        <w:ind w:firstLine="643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1.</w:t>
      </w:r>
      <w:r>
        <w:rPr>
          <w:rFonts w:hint="eastAsia" w:ascii="仿宋" w:hAnsi="仿宋" w:eastAsia="仿宋"/>
          <w:sz w:val="32"/>
        </w:rPr>
        <w:t>持续做好审批服务。通过节假日“不打烊”、帮办代办、特事特办、预约服务、延时服务，倡导推进“网上办、指尖办、预约办、邮寄办”，严格测温登记、查验健康码等措施，保障审批服务不断档。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Lines="0" w:afterLines="0" w:line="560" w:lineRule="exact"/>
        <w:ind w:firstLine="643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2.</w:t>
      </w:r>
      <w:r>
        <w:rPr>
          <w:rFonts w:hint="eastAsia" w:ascii="仿宋" w:hAnsi="仿宋" w:eastAsia="仿宋"/>
          <w:sz w:val="32"/>
        </w:rPr>
        <w:t>加强审批服务标准化建设。一是大力推进政务服务事项标准化工作，编制完善政务服务事项权责清单；持续推进一次性告知书和审查要点标准化，为企业群众提供规范便捷的办事指引。二是认真组织实施《</w:t>
      </w:r>
      <w:r>
        <w:rPr>
          <w:rFonts w:hint="eastAsia" w:ascii="仿宋" w:hAnsi="仿宋" w:eastAsia="仿宋"/>
          <w:sz w:val="32"/>
          <w:lang w:eastAsia="zh-CN"/>
        </w:rPr>
        <w:t>成安县</w:t>
      </w:r>
      <w:r>
        <w:rPr>
          <w:rFonts w:hint="eastAsia" w:ascii="仿宋" w:hAnsi="仿宋" w:eastAsia="仿宋"/>
          <w:sz w:val="32"/>
        </w:rPr>
        <w:t>政务服务“好差评”评价实施办法》，加强素质提升、服务环境、服务行为、事项公开、绩效考核等方面的管理，持续推进政务服务系统标准规范、科学高效。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Lines="0" w:afterLines="0" w:line="560" w:lineRule="exact"/>
        <w:ind w:firstLine="643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3.</w:t>
      </w:r>
      <w:r>
        <w:rPr>
          <w:rFonts w:hint="eastAsia" w:ascii="仿宋" w:hAnsi="仿宋" w:eastAsia="仿宋"/>
          <w:sz w:val="32"/>
        </w:rPr>
        <w:t>持续推进简政放权优化服务。一是结合我省相关工作方案，制定我</w:t>
      </w:r>
      <w:r>
        <w:rPr>
          <w:rFonts w:hint="eastAsia" w:ascii="仿宋" w:hAnsi="仿宋" w:eastAsia="仿宋"/>
          <w:sz w:val="32"/>
          <w:lang w:eastAsia="zh-CN"/>
        </w:rPr>
        <w:t>县</w:t>
      </w:r>
      <w:r>
        <w:rPr>
          <w:rFonts w:hint="eastAsia" w:ascii="仿宋" w:hAnsi="仿宋" w:eastAsia="仿宋"/>
          <w:sz w:val="32"/>
        </w:rPr>
        <w:t>涉企经营许可事项告知承诺制的工作方案，推动“证照分离”改革全覆盖落地落实。二是按照国务院工作安排，继续衔接取消一批事项，承接上级下放事项，并结合我</w:t>
      </w:r>
      <w:r>
        <w:rPr>
          <w:rFonts w:hint="eastAsia" w:ascii="仿宋" w:hAnsi="仿宋" w:eastAsia="仿宋"/>
          <w:sz w:val="32"/>
          <w:lang w:eastAsia="zh-CN"/>
        </w:rPr>
        <w:t>县</w:t>
      </w:r>
      <w:r>
        <w:rPr>
          <w:rFonts w:hint="eastAsia" w:ascii="仿宋" w:hAnsi="仿宋" w:eastAsia="仿宋"/>
          <w:sz w:val="32"/>
        </w:rPr>
        <w:t>工作实际，研究向</w:t>
      </w:r>
      <w:r>
        <w:rPr>
          <w:rFonts w:hint="eastAsia" w:ascii="仿宋" w:hAnsi="仿宋" w:eastAsia="仿宋"/>
          <w:sz w:val="32"/>
          <w:lang w:eastAsia="zh-CN"/>
        </w:rPr>
        <w:t>乡镇</w:t>
      </w:r>
      <w:r>
        <w:rPr>
          <w:rFonts w:hint="eastAsia" w:ascii="仿宋" w:hAnsi="仿宋" w:eastAsia="仿宋"/>
          <w:sz w:val="32"/>
        </w:rPr>
        <w:t>放一批事项，加大简政放权力度，进一步便民利企。三是继续深化“一件事、一次办”改革，再造办事流程，取消重复材料，压减办理时限，全流程标准化办理，实现一窗受理、一表申请、一次提交、极简审批的集成服务。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Lines="0" w:afterLines="0" w:line="560" w:lineRule="exact"/>
        <w:ind w:firstLine="643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4.</w:t>
      </w:r>
      <w:r>
        <w:rPr>
          <w:rFonts w:hint="eastAsia" w:ascii="仿宋" w:hAnsi="仿宋" w:eastAsia="仿宋"/>
          <w:sz w:val="32"/>
        </w:rPr>
        <w:t>深化工程建设项目审批制度改革。一是推进工程建设审批管理系统与邯郸政务服务网对接，依托工程建设项目审批管理系统网上办事大厅，推行智能化申报和审批。二是全面落实上级部署，进一步抓好并联审批、联合验收、区域评估应用等工作开展。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Lines="0" w:afterLines="0" w:line="560" w:lineRule="exact"/>
        <w:ind w:firstLine="643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5.</w:t>
      </w:r>
      <w:r>
        <w:rPr>
          <w:rFonts w:hint="eastAsia" w:ascii="仿宋" w:hAnsi="仿宋" w:eastAsia="仿宋"/>
          <w:sz w:val="32"/>
        </w:rPr>
        <w:t>紧盯公共资源交易工作。一是进一步加强公共资源交易平台建设，在功能适应性方面持续优化升级，推进交易中心电子档案系统和电子保函平台的建设应用，持续提升全流程电子化水平。二是进一步精简交易环节、简化交易流程，取消不必要的人员到场和纸质材料，让数据“多跑路”、群众“少跑腿”，做到交易进场“零门槛”，交易过程“零拖延”，交易环节“零障碍”，交易服务“零距离”。三是严格落实疫情防控期间公共资源交易工作方案，严格做好入场登记，严格标区出入管理，按照“能简则简、能优则优、特事特办、急事急办”的原则，稳妥有序地开展公共资源交易工作。</w:t>
      </w:r>
    </w:p>
    <w:p>
      <w:pPr>
        <w:spacing w:line="560" w:lineRule="exact"/>
        <w:ind w:firstLine="600" w:firstLineChars="200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spacing w:line="560" w:lineRule="exact"/>
        <w:ind w:firstLine="640" w:firstLineChars="200"/>
        <w:jc w:val="center"/>
        <w:outlineLvl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部门职责-工作活动绩效目标指标：</w:t>
      </w:r>
    </w:p>
    <w:p>
      <w:pPr>
        <w:spacing w:line="560" w:lineRule="exact"/>
        <w:jc w:val="left"/>
        <w:outlineLvl w:val="0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223 成安县行政审批局                                                                      单位：万元</w:t>
      </w:r>
    </w:p>
    <w:tbl>
      <w:tblPr>
        <w:tblStyle w:val="6"/>
        <w:tblW w:w="14357" w:type="dxa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072"/>
        <w:gridCol w:w="2901"/>
        <w:gridCol w:w="2152"/>
        <w:gridCol w:w="2822"/>
        <w:gridCol w:w="1125"/>
        <w:gridCol w:w="1066"/>
        <w:gridCol w:w="849"/>
        <w:gridCol w:w="7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职责活动名称</w:t>
            </w:r>
          </w:p>
        </w:tc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年度预算数</w:t>
            </w:r>
          </w:p>
        </w:tc>
        <w:tc>
          <w:tcPr>
            <w:tcW w:w="2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内容描述</w:t>
            </w:r>
          </w:p>
        </w:tc>
        <w:tc>
          <w:tcPr>
            <w:tcW w:w="2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绩效目标</w:t>
            </w:r>
          </w:p>
        </w:tc>
        <w:tc>
          <w:tcPr>
            <w:tcW w:w="2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3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评价标准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</w:p>
        </w:tc>
        <w:tc>
          <w:tcPr>
            <w:tcW w:w="2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良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县级审批规范化建设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加快县级审批局建设，提高行政审批和服务效率，为群众和社会提供优质服务。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县级审批服务达到标准化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场地建设办公面积达四千平米，办公设施；开通100兆光纤，统一配备办公桌椅，中央空调，专业保安保洁人员。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≥80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≥60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＜60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优化办公环境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加快县级审批局建设，加快装修进度，组织人员监督监管。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县级审批局达到标准化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办公环境标准化建设完成率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≥95%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≥85%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≥80%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＜80%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3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信息化建设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网络建设管理，计算机信息网络建设；组织协调各类信息资源上网和扩充，保障网络和信息安全。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数据资源丰富、数据正版、权威、可靠，用户满意度高。故障及时修复，线路畅通，系统运行稳定。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用户满意度率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≥95%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≥85%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≥75%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＜75%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负责全县行政审批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负责投资项目、市场服务等的审批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完善高效便民行政审批体系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行政审批服务体系完善程度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≥90%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≥80%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≥70%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＜70%</w:t>
            </w:r>
          </w:p>
        </w:tc>
      </w:tr>
    </w:tbl>
    <w:p>
      <w:pPr>
        <w:spacing w:line="560" w:lineRule="exact"/>
        <w:ind w:firstLine="600" w:firstLineChars="200"/>
        <w:jc w:val="left"/>
        <w:rPr>
          <w:rFonts w:ascii="新宋体" w:hAnsi="新宋体" w:eastAsia="新宋体" w:cs="新宋体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六、政府采购预算情况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bookmarkStart w:id="0" w:name="_Toc471398468"/>
      <w:r>
        <w:rPr>
          <w:rFonts w:ascii="仿宋" w:hAnsi="仿宋" w:eastAsia="仿宋" w:cs="仿宋_GB2312"/>
          <w:kern w:val="0"/>
          <w:sz w:val="32"/>
          <w:szCs w:val="32"/>
        </w:rPr>
        <w:t>政府采购指国家机关、事业单位和社会团体组织，使用财政性资金，购买集中采购目录以内的或者采购限额标准以上的货物、工程或服务的行为。政府采购应遵循公开透明、公平竞争、公正和诚实信用的原则。凡使用纳入预算管理的资金采购符合《河北省政府采购集中采购目录和限额标准》（冀财采[2015]11号）要求的货物、工程或服务的项目，采购人均应编入政府采购预算。按照政府采购相关法律法规要求，结合我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单位</w:t>
      </w:r>
      <w:r>
        <w:rPr>
          <w:rFonts w:ascii="仿宋" w:hAnsi="仿宋" w:eastAsia="仿宋" w:cs="仿宋_GB2312"/>
          <w:kern w:val="0"/>
          <w:sz w:val="32"/>
          <w:szCs w:val="32"/>
        </w:rPr>
        <w:t>实际，</w:t>
      </w:r>
      <w:r>
        <w:rPr>
          <w:rFonts w:hint="eastAsia" w:ascii="仿宋" w:hAnsi="仿宋" w:eastAsia="仿宋" w:cs="Times New Roman"/>
          <w:sz w:val="32"/>
          <w:szCs w:val="32"/>
        </w:rPr>
        <w:t>2021</w:t>
      </w:r>
      <w:r>
        <w:rPr>
          <w:rFonts w:hint="eastAsia" w:ascii="仿宋" w:hAnsi="仿宋" w:eastAsia="仿宋" w:cs="方正仿宋_GBK"/>
          <w:sz w:val="32"/>
          <w:szCs w:val="32"/>
        </w:rPr>
        <w:t>年，我单位安排政府采购预算4万元，</w:t>
      </w:r>
      <w:r>
        <w:rPr>
          <w:rFonts w:hint="eastAsia" w:ascii="仿宋" w:hAnsi="仿宋" w:eastAsia="仿宋" w:cs="仿宋"/>
          <w:kern w:val="0"/>
          <w:sz w:val="32"/>
          <w:szCs w:val="32"/>
        </w:rPr>
        <w:t>主要用于改善办公条件，</w:t>
      </w:r>
      <w:r>
        <w:rPr>
          <w:rFonts w:hint="eastAsia" w:ascii="仿宋" w:hAnsi="仿宋" w:eastAsia="仿宋" w:cs="方正仿宋_GBK"/>
          <w:sz w:val="32"/>
          <w:szCs w:val="32"/>
        </w:rPr>
        <w:t>具体内容见下表。</w:t>
      </w:r>
    </w:p>
    <w:p>
      <w:pPr>
        <w:spacing w:line="560" w:lineRule="exact"/>
        <w:jc w:val="center"/>
        <w:outlineLvl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部门政府采购预算</w:t>
      </w:r>
      <w:bookmarkEnd w:id="0"/>
    </w:p>
    <w:tbl>
      <w:tblPr>
        <w:tblStyle w:val="6"/>
        <w:tblW w:w="1501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76"/>
        <w:gridCol w:w="1405"/>
        <w:gridCol w:w="1447"/>
        <w:gridCol w:w="910"/>
        <w:gridCol w:w="877"/>
        <w:gridCol w:w="970"/>
        <w:gridCol w:w="931"/>
        <w:gridCol w:w="931"/>
        <w:gridCol w:w="931"/>
        <w:gridCol w:w="847"/>
        <w:gridCol w:w="913"/>
        <w:gridCol w:w="913"/>
        <w:gridCol w:w="8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694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tabs>
                <w:tab w:val="left" w:pos="2606"/>
              </w:tabs>
              <w:spacing w:line="5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方正小标宋_GBK"/>
                <w:sz w:val="24"/>
                <w:szCs w:val="24"/>
              </w:rPr>
              <w:t>部门（单位）名称：成安县行政审批局</w:t>
            </w:r>
          </w:p>
        </w:tc>
        <w:tc>
          <w:tcPr>
            <w:tcW w:w="631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方正书宋_GBK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  <w:jc w:val="center"/>
        </w:trPr>
        <w:tc>
          <w:tcPr>
            <w:tcW w:w="30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政府采购项目来源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采购物品名称</w:t>
            </w:r>
          </w:p>
        </w:tc>
        <w:tc>
          <w:tcPr>
            <w:tcW w:w="144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政府采购目录序号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数量单位</w:t>
            </w:r>
          </w:p>
        </w:tc>
        <w:tc>
          <w:tcPr>
            <w:tcW w:w="87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数量</w:t>
            </w:r>
          </w:p>
        </w:tc>
        <w:tc>
          <w:tcPr>
            <w:tcW w:w="97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单价</w:t>
            </w:r>
          </w:p>
        </w:tc>
        <w:tc>
          <w:tcPr>
            <w:tcW w:w="6319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政府采购金额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tblHeader/>
          <w:jc w:val="center"/>
        </w:trPr>
        <w:tc>
          <w:tcPr>
            <w:tcW w:w="180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预算资金</w:t>
            </w:r>
          </w:p>
        </w:tc>
        <w:tc>
          <w:tcPr>
            <w:tcW w:w="1405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447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93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总计</w:t>
            </w:r>
          </w:p>
        </w:tc>
        <w:tc>
          <w:tcPr>
            <w:tcW w:w="453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当年部门预算安排资金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其他渠道资金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447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合计</w:t>
            </w:r>
          </w:p>
        </w:tc>
        <w:tc>
          <w:tcPr>
            <w:tcW w:w="93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一般公共预算拨款</w:t>
            </w:r>
          </w:p>
        </w:tc>
        <w:tc>
          <w:tcPr>
            <w:tcW w:w="8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基金预算拨款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财政专户核拨</w:t>
            </w:r>
          </w:p>
        </w:tc>
        <w:tc>
          <w:tcPr>
            <w:tcW w:w="91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其他来源收入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80" w:lineRule="exact"/>
              <w:jc w:val="left"/>
              <w:outlineLvl w:val="0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合　计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4</w:t>
            </w:r>
          </w:p>
        </w:tc>
        <w:tc>
          <w:tcPr>
            <w:tcW w:w="14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11</w:t>
            </w:r>
          </w:p>
        </w:tc>
        <w:tc>
          <w:tcPr>
            <w:tcW w:w="9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4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560" w:lineRule="exact"/>
              <w:jc w:val="right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  <w:t>日常公用经费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3.5</w:t>
            </w:r>
          </w:p>
        </w:tc>
        <w:tc>
          <w:tcPr>
            <w:tcW w:w="14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电脑</w:t>
            </w:r>
          </w:p>
        </w:tc>
        <w:tc>
          <w:tcPr>
            <w:tcW w:w="144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黑体" w:eastAsia="仿宋_GB2312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A02010199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台</w:t>
            </w:r>
          </w:p>
        </w:tc>
        <w:tc>
          <w:tcPr>
            <w:tcW w:w="8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10</w:t>
            </w:r>
          </w:p>
        </w:tc>
        <w:tc>
          <w:tcPr>
            <w:tcW w:w="9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3.5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3.5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3.5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3.5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560" w:lineRule="exact"/>
              <w:jc w:val="right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  <w:t>日常公用经费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0.5</w:t>
            </w:r>
          </w:p>
        </w:tc>
        <w:tc>
          <w:tcPr>
            <w:tcW w:w="14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复印机</w:t>
            </w:r>
          </w:p>
        </w:tc>
        <w:tc>
          <w:tcPr>
            <w:tcW w:w="144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黑体" w:eastAsia="仿宋_GB2312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A0201060199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个</w:t>
            </w:r>
          </w:p>
        </w:tc>
        <w:tc>
          <w:tcPr>
            <w:tcW w:w="8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0.5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0.5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0.5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0.5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560" w:lineRule="exact"/>
              <w:jc w:val="right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ind w:firstLine="640" w:firstLineChars="200"/>
        <w:jc w:val="left"/>
        <w:rPr>
          <w:rFonts w:ascii="Calibri" w:hAnsi="Calibri" w:eastAsia="仿宋_GB2312" w:cs="Calibri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七、国有资产信息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成安县行政审批局部门（含所属单位）上年末固定资产金额为179.133488万元，本年度拟购置固定资产4万元，主要为计算机设备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10台共计3.5万元</w:t>
      </w:r>
      <w:r>
        <w:rPr>
          <w:rFonts w:hint="eastAsia" w:ascii="仿宋" w:hAnsi="仿宋" w:eastAsia="仿宋" w:cs="仿宋"/>
          <w:sz w:val="32"/>
          <w:szCs w:val="32"/>
        </w:rPr>
        <w:t>、打印设备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1台共计0.5万元</w:t>
      </w:r>
      <w:r>
        <w:rPr>
          <w:rFonts w:hint="eastAsia" w:ascii="仿宋" w:hAnsi="仿宋" w:eastAsia="仿宋" w:cs="仿宋"/>
          <w:sz w:val="32"/>
          <w:szCs w:val="32"/>
        </w:rPr>
        <w:t>，已列入政府采购预算。详见上表。</w:t>
      </w:r>
    </w:p>
    <w:tbl>
      <w:tblPr>
        <w:tblStyle w:val="6"/>
        <w:tblW w:w="1501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8"/>
        <w:gridCol w:w="1417"/>
        <w:gridCol w:w="67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部门固定资产占用情况表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编制部门：成安县行政审批局</w:t>
            </w:r>
          </w:p>
        </w:tc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0"/>
              <w:ind w:firstLine="3780" w:firstLineChars="1800"/>
            </w:pPr>
            <w:r>
              <w:rPr>
                <w:rFonts w:hint="eastAsia"/>
              </w:rPr>
              <w:t>截止时间：2020年12月31日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6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价值（金额单位：万元）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资产总额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——</w:t>
            </w:r>
          </w:p>
        </w:tc>
        <w:tc>
          <w:tcPr>
            <w:tcW w:w="6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179.133488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1、房屋（平方米）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3900</w:t>
            </w:r>
          </w:p>
        </w:tc>
        <w:tc>
          <w:tcPr>
            <w:tcW w:w="6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租赁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其中：办公用房（平方米）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3900</w:t>
            </w:r>
          </w:p>
        </w:tc>
        <w:tc>
          <w:tcPr>
            <w:tcW w:w="6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租赁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2、车辆（台、辆）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0</w:t>
            </w:r>
          </w:p>
        </w:tc>
        <w:tc>
          <w:tcPr>
            <w:tcW w:w="6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3、单价在50万元以上的设备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0</w:t>
            </w:r>
          </w:p>
        </w:tc>
        <w:tc>
          <w:tcPr>
            <w:tcW w:w="6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4、其他固定资产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11445</w:t>
            </w:r>
          </w:p>
        </w:tc>
        <w:tc>
          <w:tcPr>
            <w:tcW w:w="6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179.133488</w:t>
            </w:r>
          </w:p>
        </w:tc>
      </w:tr>
    </w:tbl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八、</w:t>
      </w:r>
      <w:r>
        <w:rPr>
          <w:rFonts w:hint="eastAsia" w:ascii="黑体" w:hAnsi="黑体" w:eastAsia="黑体" w:cs="仿宋"/>
          <w:bCs/>
          <w:kern w:val="0"/>
          <w:sz w:val="32"/>
          <w:szCs w:val="32"/>
        </w:rPr>
        <w:t>名词解释 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1、财政拨款收入：指</w:t>
      </w:r>
      <w:r>
        <w:rPr>
          <w:rFonts w:hint="eastAsia" w:ascii="仿宋" w:hAnsi="仿宋" w:eastAsia="仿宋" w:cs="仿宋"/>
          <w:kern w:val="0"/>
          <w:sz w:val="32"/>
          <w:szCs w:val="32"/>
        </w:rPr>
        <w:t>财政当年拨付的资金。</w:t>
      </w:r>
    </w:p>
    <w:p>
      <w:pPr>
        <w:widowControl/>
        <w:spacing w:line="360" w:lineRule="auto"/>
        <w:ind w:firstLine="640" w:firstLineChars="200"/>
        <w:jc w:val="left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“三公”经费：包括因公出国（境）费、公务接待费和公务用车购置及运行费。因公出国（境）费，指单位工作人员公务出国（境）的住宿费、差旅费、伙食补助费、杂费、培训费等支出。公务接待费，指单位按规定开支的各类公务接待（含外宾接待）支出。公务用车购置及运行费，指单位公务用车购置费及租用费、燃料费、维修费、等支出，公务用车指用于履行公务的机动车辆，包括领导干部专车、一般公务用车和执法执勤等业务用车。</w:t>
      </w:r>
    </w:p>
    <w:p>
      <w:pPr>
        <w:widowControl/>
        <w:spacing w:line="360" w:lineRule="auto"/>
        <w:ind w:firstLine="720" w:firstLineChars="3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、年初结转和结余：指以前年度尚未完成，结转到本年仍按照原规定用途继续使用的资金，或项目已完成等产生的结余资金。 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4、基本支出：指单位为了保障其正常运转、完成日常工作任务而发生的人员支出和公用支出。 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5、项目支出：指单位为了特定的工作任务和事业发展目标，在基本支出之外所发生的支出。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九、其他需要说明的事项</w:t>
      </w:r>
    </w:p>
    <w:p>
      <w:pPr>
        <w:tabs>
          <w:tab w:val="left" w:pos="11490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方正仿宋_GBK"/>
          <w:bCs/>
          <w:sz w:val="32"/>
          <w:szCs w:val="32"/>
        </w:rPr>
        <w:t>无其它需要说明的事项。</w:t>
      </w:r>
    </w:p>
    <w:p>
      <w:pPr>
        <w:widowControl/>
        <w:spacing w:line="360" w:lineRule="auto"/>
        <w:ind w:firstLine="420" w:firstLineChars="200"/>
        <w:jc w:val="left"/>
      </w:pPr>
    </w:p>
    <w:sectPr>
      <w:headerReference r:id="rId3" w:type="default"/>
      <w:pgSz w:w="16839" w:h="11907" w:orient="landscape"/>
      <w:pgMar w:top="1134" w:right="1021" w:bottom="1134" w:left="102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F4F13C"/>
    <w:multiLevelType w:val="singleLevel"/>
    <w:tmpl w:val="95F4F13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0D6"/>
    <w:rsid w:val="00002654"/>
    <w:rsid w:val="00011263"/>
    <w:rsid w:val="00022CD1"/>
    <w:rsid w:val="000907B7"/>
    <w:rsid w:val="000A324F"/>
    <w:rsid w:val="000F049A"/>
    <w:rsid w:val="0010350A"/>
    <w:rsid w:val="001768FB"/>
    <w:rsid w:val="001A2660"/>
    <w:rsid w:val="00207E5F"/>
    <w:rsid w:val="00215B59"/>
    <w:rsid w:val="002406B2"/>
    <w:rsid w:val="002665C0"/>
    <w:rsid w:val="00282714"/>
    <w:rsid w:val="002E3A95"/>
    <w:rsid w:val="00313031"/>
    <w:rsid w:val="00322AEB"/>
    <w:rsid w:val="0038545C"/>
    <w:rsid w:val="003868FC"/>
    <w:rsid w:val="003D4C5A"/>
    <w:rsid w:val="004128E2"/>
    <w:rsid w:val="00444DE5"/>
    <w:rsid w:val="00456341"/>
    <w:rsid w:val="0048189D"/>
    <w:rsid w:val="004A0CB1"/>
    <w:rsid w:val="004A5A9C"/>
    <w:rsid w:val="004C3F0F"/>
    <w:rsid w:val="00550B7C"/>
    <w:rsid w:val="00595CBD"/>
    <w:rsid w:val="005D136A"/>
    <w:rsid w:val="00620C8A"/>
    <w:rsid w:val="0062621A"/>
    <w:rsid w:val="00685811"/>
    <w:rsid w:val="00693EC1"/>
    <w:rsid w:val="006B6EED"/>
    <w:rsid w:val="006D1C5B"/>
    <w:rsid w:val="006D6245"/>
    <w:rsid w:val="00784C27"/>
    <w:rsid w:val="007A507B"/>
    <w:rsid w:val="007B03EA"/>
    <w:rsid w:val="007C661E"/>
    <w:rsid w:val="007D6BF0"/>
    <w:rsid w:val="008058DC"/>
    <w:rsid w:val="008151E1"/>
    <w:rsid w:val="00872A92"/>
    <w:rsid w:val="008C7744"/>
    <w:rsid w:val="008E534B"/>
    <w:rsid w:val="00957CCE"/>
    <w:rsid w:val="00965E34"/>
    <w:rsid w:val="00A07D70"/>
    <w:rsid w:val="00A31438"/>
    <w:rsid w:val="00AD476D"/>
    <w:rsid w:val="00B31308"/>
    <w:rsid w:val="00B63B82"/>
    <w:rsid w:val="00B64D9D"/>
    <w:rsid w:val="00C54695"/>
    <w:rsid w:val="00C81E5E"/>
    <w:rsid w:val="00CB0818"/>
    <w:rsid w:val="00CE356A"/>
    <w:rsid w:val="00CF5C46"/>
    <w:rsid w:val="00D021C2"/>
    <w:rsid w:val="00DC3B1F"/>
    <w:rsid w:val="00E810D6"/>
    <w:rsid w:val="00F0748E"/>
    <w:rsid w:val="00F36369"/>
    <w:rsid w:val="00FA0ED5"/>
    <w:rsid w:val="00FD7F58"/>
    <w:rsid w:val="00FE1BD4"/>
    <w:rsid w:val="013B67CD"/>
    <w:rsid w:val="01CA412B"/>
    <w:rsid w:val="037D399A"/>
    <w:rsid w:val="03B213E5"/>
    <w:rsid w:val="06096D52"/>
    <w:rsid w:val="06550E5D"/>
    <w:rsid w:val="0726741C"/>
    <w:rsid w:val="07CF4628"/>
    <w:rsid w:val="085D674B"/>
    <w:rsid w:val="08D34D69"/>
    <w:rsid w:val="09E50DB9"/>
    <w:rsid w:val="0A772D4D"/>
    <w:rsid w:val="0B877459"/>
    <w:rsid w:val="0BB701D5"/>
    <w:rsid w:val="0BB759F9"/>
    <w:rsid w:val="0BBC3B88"/>
    <w:rsid w:val="0CBF7A43"/>
    <w:rsid w:val="0DD4180B"/>
    <w:rsid w:val="0EC35BB8"/>
    <w:rsid w:val="11C94949"/>
    <w:rsid w:val="13073D0C"/>
    <w:rsid w:val="130B706D"/>
    <w:rsid w:val="139106CF"/>
    <w:rsid w:val="13DE0FA8"/>
    <w:rsid w:val="14EB6265"/>
    <w:rsid w:val="14F50FB2"/>
    <w:rsid w:val="15084A43"/>
    <w:rsid w:val="163506CD"/>
    <w:rsid w:val="1706252E"/>
    <w:rsid w:val="17252863"/>
    <w:rsid w:val="175940C0"/>
    <w:rsid w:val="17C16AC9"/>
    <w:rsid w:val="180D78B9"/>
    <w:rsid w:val="1AEF7278"/>
    <w:rsid w:val="1AFC1951"/>
    <w:rsid w:val="1B2A5EA4"/>
    <w:rsid w:val="1CC97251"/>
    <w:rsid w:val="1CEB0A1C"/>
    <w:rsid w:val="1CEC6347"/>
    <w:rsid w:val="1E8167C1"/>
    <w:rsid w:val="1EAA0AE1"/>
    <w:rsid w:val="20D043CA"/>
    <w:rsid w:val="21B66276"/>
    <w:rsid w:val="228819EE"/>
    <w:rsid w:val="22FE44C6"/>
    <w:rsid w:val="25B242F0"/>
    <w:rsid w:val="25D57E95"/>
    <w:rsid w:val="2716314B"/>
    <w:rsid w:val="271C5769"/>
    <w:rsid w:val="288A4B30"/>
    <w:rsid w:val="28E516DB"/>
    <w:rsid w:val="29866431"/>
    <w:rsid w:val="299267B6"/>
    <w:rsid w:val="2A901CA6"/>
    <w:rsid w:val="2AD57C75"/>
    <w:rsid w:val="2BAA47A7"/>
    <w:rsid w:val="2CA11475"/>
    <w:rsid w:val="2DCE40BA"/>
    <w:rsid w:val="2E066AE5"/>
    <w:rsid w:val="2E2777CE"/>
    <w:rsid w:val="2EE04A84"/>
    <w:rsid w:val="30580DAA"/>
    <w:rsid w:val="31D059F4"/>
    <w:rsid w:val="332A0BBD"/>
    <w:rsid w:val="336841DF"/>
    <w:rsid w:val="3387759D"/>
    <w:rsid w:val="351C5D1D"/>
    <w:rsid w:val="368B62A5"/>
    <w:rsid w:val="36BE0030"/>
    <w:rsid w:val="36DF5EE5"/>
    <w:rsid w:val="38963AA1"/>
    <w:rsid w:val="39341F93"/>
    <w:rsid w:val="39461E7C"/>
    <w:rsid w:val="39A75722"/>
    <w:rsid w:val="3AE84D0F"/>
    <w:rsid w:val="3B6E7B6E"/>
    <w:rsid w:val="3C712CD5"/>
    <w:rsid w:val="3CEC5D53"/>
    <w:rsid w:val="3DD87277"/>
    <w:rsid w:val="3DE43B1B"/>
    <w:rsid w:val="41D2211C"/>
    <w:rsid w:val="441C57E9"/>
    <w:rsid w:val="44240E6E"/>
    <w:rsid w:val="44686DC4"/>
    <w:rsid w:val="44986D47"/>
    <w:rsid w:val="45197C1F"/>
    <w:rsid w:val="452C22AE"/>
    <w:rsid w:val="456A5D0D"/>
    <w:rsid w:val="457C0C14"/>
    <w:rsid w:val="458E5FF5"/>
    <w:rsid w:val="45A4421D"/>
    <w:rsid w:val="45B90BF3"/>
    <w:rsid w:val="460127C2"/>
    <w:rsid w:val="460143F1"/>
    <w:rsid w:val="475B18CD"/>
    <w:rsid w:val="479C1653"/>
    <w:rsid w:val="4A1A5A38"/>
    <w:rsid w:val="4A4F1F05"/>
    <w:rsid w:val="4A5D4056"/>
    <w:rsid w:val="4B7040C7"/>
    <w:rsid w:val="4C6B0BF2"/>
    <w:rsid w:val="4CA957E7"/>
    <w:rsid w:val="4D3E1CC9"/>
    <w:rsid w:val="4D9730D4"/>
    <w:rsid w:val="4E4335D2"/>
    <w:rsid w:val="507023FC"/>
    <w:rsid w:val="530431CE"/>
    <w:rsid w:val="54101C55"/>
    <w:rsid w:val="546E44D6"/>
    <w:rsid w:val="58263237"/>
    <w:rsid w:val="59AF56D7"/>
    <w:rsid w:val="5A6349D1"/>
    <w:rsid w:val="5B2B3FCD"/>
    <w:rsid w:val="5BAE356C"/>
    <w:rsid w:val="5CB07A05"/>
    <w:rsid w:val="5ED17601"/>
    <w:rsid w:val="5FA41991"/>
    <w:rsid w:val="612F2391"/>
    <w:rsid w:val="617B2374"/>
    <w:rsid w:val="61897173"/>
    <w:rsid w:val="63F21B1B"/>
    <w:rsid w:val="65493192"/>
    <w:rsid w:val="65BD2245"/>
    <w:rsid w:val="666C26EF"/>
    <w:rsid w:val="67981D24"/>
    <w:rsid w:val="68701BC4"/>
    <w:rsid w:val="698F6EE1"/>
    <w:rsid w:val="69C9612A"/>
    <w:rsid w:val="6B511389"/>
    <w:rsid w:val="6C9F05E4"/>
    <w:rsid w:val="6CE54067"/>
    <w:rsid w:val="6D2C4D48"/>
    <w:rsid w:val="6D5763C1"/>
    <w:rsid w:val="6D81148F"/>
    <w:rsid w:val="6E8006EE"/>
    <w:rsid w:val="6ECC4D84"/>
    <w:rsid w:val="6F247B28"/>
    <w:rsid w:val="6F2F14BC"/>
    <w:rsid w:val="70BA2DA1"/>
    <w:rsid w:val="70DB303E"/>
    <w:rsid w:val="71B87B2B"/>
    <w:rsid w:val="729B4F6A"/>
    <w:rsid w:val="733E01F4"/>
    <w:rsid w:val="7424079F"/>
    <w:rsid w:val="74D4598A"/>
    <w:rsid w:val="759F3427"/>
    <w:rsid w:val="75EE34FD"/>
    <w:rsid w:val="76FD3FC3"/>
    <w:rsid w:val="7AA5545A"/>
    <w:rsid w:val="7B90601B"/>
    <w:rsid w:val="7BAA5900"/>
    <w:rsid w:val="7C1829B7"/>
    <w:rsid w:val="7D441904"/>
    <w:rsid w:val="7D9A3104"/>
    <w:rsid w:val="7DB21100"/>
    <w:rsid w:val="7DB94919"/>
    <w:rsid w:val="7E791631"/>
    <w:rsid w:val="7F895A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844</Words>
  <Characters>4817</Characters>
  <Lines>40</Lines>
  <Paragraphs>11</Paragraphs>
  <TotalTime>3</TotalTime>
  <ScaleCrop>false</ScaleCrop>
  <LinksUpToDate>false</LinksUpToDate>
  <CharactersWithSpaces>5650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2016-04-01T02:15:00Z</dcterms:created>
  <dc:creator>lenovo</dc:creator>
  <cp:lastModifiedBy>Administrator</cp:lastModifiedBy>
  <cp:lastPrinted>2016-04-01T02:44:00Z</cp:lastPrinted>
  <dcterms:modified xsi:type="dcterms:W3CDTF">2021-05-17T10:07:53Z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BF12A82DB5DF47EB9349AEC1BBB2500C</vt:lpwstr>
  </property>
</Properties>
</file>