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2021</w:t>
      </w:r>
      <w:r>
        <w:rPr>
          <w:rFonts w:hint="eastAsia" w:ascii="宋体" w:hAnsi="宋体" w:eastAsia="宋体" w:cs="宋体"/>
          <w:b/>
          <w:bCs/>
          <w:sz w:val="44"/>
          <w:szCs w:val="44"/>
        </w:rPr>
        <w:t>年</w:t>
      </w:r>
      <w:r>
        <w:rPr>
          <w:rFonts w:hint="eastAsia" w:ascii="宋体" w:hAnsi="宋体" w:eastAsia="宋体" w:cs="宋体"/>
          <w:b/>
          <w:bCs/>
          <w:sz w:val="44"/>
          <w:szCs w:val="44"/>
          <w:lang w:eastAsia="zh-CN"/>
        </w:rPr>
        <w:t>单位</w:t>
      </w:r>
      <w:r>
        <w:rPr>
          <w:rFonts w:hint="eastAsia" w:ascii="宋体" w:hAnsi="宋体" w:eastAsia="宋体" w:cs="宋体"/>
          <w:b/>
          <w:bCs/>
          <w:sz w:val="44"/>
          <w:szCs w:val="44"/>
        </w:rPr>
        <w:t>预算信息公开目录</w:t>
      </w:r>
    </w:p>
    <w:p>
      <w:pPr>
        <w:ind w:firstLine="600" w:firstLineChars="200"/>
        <w:rPr>
          <w:rFonts w:ascii="黑体" w:hAnsi="黑体" w:eastAsia="黑体" w:cs="仿宋_GB2312"/>
          <w:sz w:val="30"/>
          <w:szCs w:val="30"/>
        </w:rPr>
      </w:pPr>
      <w:r>
        <w:rPr>
          <w:rFonts w:hint="eastAsia" w:ascii="黑体" w:hAnsi="黑体" w:eastAsia="黑体" w:cs="仿宋_GB2312"/>
          <w:sz w:val="30"/>
          <w:szCs w:val="30"/>
        </w:rPr>
        <w:t>一、</w:t>
      </w:r>
      <w:r>
        <w:rPr>
          <w:rFonts w:hint="eastAsia" w:ascii="黑体" w:hAnsi="黑体" w:eastAsia="黑体" w:cs="仿宋_GB2312"/>
          <w:sz w:val="30"/>
          <w:szCs w:val="30"/>
          <w:lang w:eastAsia="zh-CN"/>
        </w:rPr>
        <w:t>2021</w:t>
      </w:r>
      <w:r>
        <w:rPr>
          <w:rFonts w:hint="eastAsia" w:ascii="黑体" w:hAnsi="黑体" w:eastAsia="黑体" w:cs="仿宋_GB2312"/>
          <w:sz w:val="30"/>
          <w:szCs w:val="30"/>
        </w:rPr>
        <w:t>年</w:t>
      </w:r>
      <w:r>
        <w:rPr>
          <w:rFonts w:hint="eastAsia" w:ascii="黑体" w:hAnsi="黑体" w:eastAsia="黑体" w:cs="仿宋_GB2312"/>
          <w:sz w:val="30"/>
          <w:szCs w:val="30"/>
          <w:lang w:eastAsia="zh-CN"/>
        </w:rPr>
        <w:t>单位</w:t>
      </w:r>
      <w:r>
        <w:rPr>
          <w:rFonts w:hint="eastAsia" w:ascii="黑体" w:hAnsi="黑体" w:eastAsia="黑体" w:cs="仿宋_GB2312"/>
          <w:sz w:val="30"/>
          <w:szCs w:val="30"/>
        </w:rPr>
        <w:t>预算公开表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预算收支总表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预算收入总表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预算支出总表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预算财政拨款收支总表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预算一般公共预算财政拨款支出表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预算一般公共预算财政拨款基本支出表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预算政府基金预算财政拨款支出表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预算国有资本经营预算财政拨款支出表</w:t>
      </w:r>
    </w:p>
    <w:p>
      <w:pPr>
        <w:numPr>
          <w:ilvl w:val="0"/>
          <w:numId w:val="1"/>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预算财政拨款“三公”经费支出表</w:t>
      </w:r>
    </w:p>
    <w:p>
      <w:pPr>
        <w:ind w:firstLine="600" w:firstLineChars="200"/>
        <w:rPr>
          <w:rFonts w:ascii="黑体" w:hAnsi="黑体" w:eastAsia="黑体" w:cs="仿宋_GB2312"/>
          <w:sz w:val="30"/>
          <w:szCs w:val="30"/>
        </w:rPr>
      </w:pPr>
      <w:r>
        <w:rPr>
          <w:rFonts w:hint="eastAsia" w:ascii="黑体" w:hAnsi="黑体" w:eastAsia="黑体" w:cs="仿宋_GB2312"/>
          <w:sz w:val="30"/>
          <w:szCs w:val="30"/>
        </w:rPr>
        <w:t>二、</w:t>
      </w:r>
      <w:r>
        <w:rPr>
          <w:rFonts w:hint="eastAsia" w:ascii="黑体" w:hAnsi="黑体" w:eastAsia="黑体" w:cs="仿宋_GB2312"/>
          <w:sz w:val="30"/>
          <w:szCs w:val="30"/>
          <w:lang w:eastAsia="zh-CN"/>
        </w:rPr>
        <w:t>2021</w:t>
      </w:r>
      <w:r>
        <w:rPr>
          <w:rFonts w:hint="eastAsia" w:ascii="黑体" w:hAnsi="黑体" w:eastAsia="黑体" w:cs="仿宋_GB2312"/>
          <w:sz w:val="30"/>
          <w:szCs w:val="30"/>
        </w:rPr>
        <w:t>年预算说明</w:t>
      </w:r>
    </w:p>
    <w:p>
      <w:pPr>
        <w:numPr>
          <w:ilvl w:val="0"/>
          <w:numId w:val="2"/>
        </w:num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职责及机构设置情况</w:t>
      </w:r>
    </w:p>
    <w:p>
      <w:pPr>
        <w:ind w:firstLine="64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预算安排的总体情况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3、机关运行经费安排情况</w:t>
      </w:r>
    </w:p>
    <w:p>
      <w:pPr>
        <w:autoSpaceDE w:val="0"/>
        <w:autoSpaceDN w:val="0"/>
        <w:adjustRightInd w:val="0"/>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4、财政拨款“三公”经费预算情况及增减变化原因</w:t>
      </w:r>
    </w:p>
    <w:p>
      <w:pPr>
        <w:autoSpaceDE w:val="0"/>
        <w:autoSpaceDN w:val="0"/>
        <w:adjustRightInd w:val="0"/>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5、绩效预算信息</w:t>
      </w:r>
    </w:p>
    <w:p>
      <w:pPr>
        <w:autoSpaceDE w:val="0"/>
        <w:autoSpaceDN w:val="0"/>
        <w:adjustRightInd w:val="0"/>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6、政府采购预算情况</w:t>
      </w:r>
    </w:p>
    <w:p>
      <w:pPr>
        <w:autoSpaceDE w:val="0"/>
        <w:autoSpaceDN w:val="0"/>
        <w:adjustRightInd w:val="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7、国有资产信息</w:t>
      </w:r>
    </w:p>
    <w:p>
      <w:pPr>
        <w:autoSpaceDE w:val="0"/>
        <w:autoSpaceDN w:val="0"/>
        <w:adjustRightInd w:val="0"/>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8、名词解释</w:t>
      </w:r>
    </w:p>
    <w:p>
      <w:pPr>
        <w:autoSpaceDE w:val="0"/>
        <w:autoSpaceDN w:val="0"/>
        <w:adjustRightInd w:val="0"/>
        <w:jc w:val="left"/>
      </w:pPr>
      <w:r>
        <w:rPr>
          <w:rFonts w:hint="eastAsia" w:ascii="仿宋_GB2312" w:hAnsi="仿宋_GB2312" w:eastAsia="仿宋_GB2312" w:cs="仿宋_GB2312"/>
          <w:sz w:val="30"/>
          <w:szCs w:val="30"/>
        </w:rPr>
        <w:t xml:space="preserve">    9、其他需要说明的事项</w:t>
      </w:r>
    </w:p>
    <w:p>
      <w:pPr>
        <w:ind w:firstLine="883"/>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成安县财政局</w:t>
      </w:r>
    </w:p>
    <w:p>
      <w:pPr>
        <w:ind w:firstLine="883"/>
        <w:jc w:val="center"/>
        <w:rPr>
          <w:rFonts w:cs="仿宋" w:asciiTheme="majorEastAsia" w:hAnsiTheme="majorEastAsia" w:eastAsiaTheme="majorEastAsia"/>
          <w:b/>
          <w:kern w:val="0"/>
          <w:sz w:val="44"/>
          <w:szCs w:val="44"/>
        </w:rPr>
      </w:pPr>
      <w:r>
        <w:rPr>
          <w:rFonts w:hint="eastAsia" w:cs="仿宋" w:asciiTheme="majorEastAsia" w:hAnsiTheme="majorEastAsia" w:eastAsiaTheme="majorEastAsia"/>
          <w:b/>
          <w:kern w:val="0"/>
          <w:sz w:val="44"/>
          <w:szCs w:val="44"/>
        </w:rPr>
        <w:t>2021年</w:t>
      </w:r>
      <w:r>
        <w:rPr>
          <w:rFonts w:hint="eastAsia" w:cs="仿宋" w:asciiTheme="majorEastAsia" w:hAnsiTheme="majorEastAsia" w:eastAsiaTheme="majorEastAsia"/>
          <w:b/>
          <w:kern w:val="0"/>
          <w:sz w:val="44"/>
          <w:szCs w:val="44"/>
          <w:lang w:eastAsia="zh-CN"/>
        </w:rPr>
        <w:t>单位</w:t>
      </w:r>
      <w:r>
        <w:rPr>
          <w:rFonts w:hint="eastAsia" w:cs="仿宋" w:asciiTheme="majorEastAsia" w:hAnsiTheme="majorEastAsia" w:eastAsiaTheme="majorEastAsia"/>
          <w:b/>
          <w:kern w:val="0"/>
          <w:sz w:val="44"/>
          <w:szCs w:val="44"/>
        </w:rPr>
        <w:t>预算公开情况说明</w:t>
      </w:r>
    </w:p>
    <w:p>
      <w:pPr>
        <w:ind w:firstLine="640"/>
        <w:jc w:val="left"/>
        <w:rPr>
          <w:rFonts w:ascii="仿宋" w:hAnsi="仿宋" w:eastAsia="仿宋" w:cs="仿宋_GB2312"/>
          <w:sz w:val="32"/>
          <w:szCs w:val="32"/>
        </w:rPr>
      </w:pPr>
    </w:p>
    <w:p>
      <w:pPr>
        <w:ind w:firstLine="640"/>
        <w:jc w:val="left"/>
        <w:rPr>
          <w:rFonts w:ascii="仿宋" w:hAnsi="仿宋" w:eastAsia="仿宋" w:cs="仿宋_GB2312"/>
          <w:kern w:val="0"/>
          <w:sz w:val="32"/>
          <w:szCs w:val="32"/>
        </w:rPr>
      </w:pPr>
      <w:r>
        <w:rPr>
          <w:rFonts w:ascii="仿宋" w:hAnsi="仿宋" w:eastAsia="仿宋" w:cs="仿宋_GB2312"/>
          <w:sz w:val="32"/>
          <w:szCs w:val="32"/>
        </w:rPr>
        <w:t>按照</w:t>
      </w:r>
      <w:r>
        <w:rPr>
          <w:rFonts w:ascii="仿宋_GB2312" w:hAnsi="黑体" w:eastAsia="仿宋_GB2312" w:cs="仿宋_GB2312"/>
          <w:sz w:val="32"/>
          <w:szCs w:val="32"/>
        </w:rPr>
        <w:t>《</w:t>
      </w:r>
      <w:r>
        <w:rPr>
          <w:rFonts w:hint="eastAsia" w:ascii="仿宋" w:hAnsi="仿宋" w:eastAsia="仿宋" w:cs="仿宋"/>
          <w:color w:val="000000"/>
          <w:sz w:val="32"/>
          <w:szCs w:val="32"/>
          <w:highlight w:val="none"/>
          <w:lang w:val="en-US" w:eastAsia="zh-CN"/>
        </w:rPr>
        <w:t>中华人民共和国</w:t>
      </w:r>
      <w:r>
        <w:rPr>
          <w:rFonts w:hint="eastAsia" w:ascii="仿宋" w:hAnsi="仿宋" w:eastAsia="仿宋" w:cs="仿宋"/>
          <w:color w:val="000000"/>
          <w:sz w:val="32"/>
          <w:szCs w:val="32"/>
          <w:highlight w:val="none"/>
        </w:rPr>
        <w:t>预算法</w:t>
      </w:r>
      <w:r>
        <w:rPr>
          <w:rFonts w:ascii="仿宋_GB2312" w:hAnsi="黑体" w:eastAsia="仿宋_GB2312" w:cs="仿宋_GB2312"/>
          <w:sz w:val="32"/>
          <w:szCs w:val="32"/>
        </w:rPr>
        <w:t>》</w:t>
      </w:r>
      <w:r>
        <w:rPr>
          <w:rFonts w:ascii="仿宋" w:hAnsi="仿宋" w:eastAsia="仿宋" w:cs="仿宋_GB2312"/>
          <w:sz w:val="32"/>
          <w:szCs w:val="32"/>
        </w:rPr>
        <w:t>有关规定</w:t>
      </w:r>
      <w:r>
        <w:rPr>
          <w:rFonts w:hint="eastAsia" w:ascii="仿宋" w:hAnsi="仿宋" w:eastAsia="仿宋" w:cs="仿宋_GB2312"/>
          <w:sz w:val="32"/>
          <w:szCs w:val="32"/>
        </w:rPr>
        <w:t>和</w:t>
      </w:r>
      <w:r>
        <w:rPr>
          <w:rFonts w:ascii="仿宋" w:hAnsi="仿宋" w:eastAsia="仿宋" w:cs="楷体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成安县财政</w:t>
      </w:r>
      <w:r>
        <w:rPr>
          <w:rFonts w:ascii="仿宋" w:hAnsi="仿宋" w:eastAsia="仿宋" w:cs="仿宋_GB2312"/>
          <w:kern w:val="0"/>
          <w:sz w:val="32"/>
          <w:szCs w:val="32"/>
        </w:rPr>
        <w:t>局</w:t>
      </w:r>
      <w:r>
        <w:rPr>
          <w:rFonts w:hint="eastAsia" w:ascii="仿宋" w:hAnsi="仿宋" w:eastAsia="仿宋" w:cs="仿宋_GB2312"/>
          <w:kern w:val="0"/>
          <w:sz w:val="32"/>
          <w:szCs w:val="32"/>
        </w:rPr>
        <w:t>2021</w:t>
      </w:r>
      <w:r>
        <w:rPr>
          <w:rFonts w:ascii="仿宋" w:hAnsi="仿宋" w:eastAsia="仿宋" w:cs="仿宋_GB2312"/>
          <w:kern w:val="0"/>
          <w:sz w:val="32"/>
          <w:szCs w:val="32"/>
        </w:rPr>
        <w:t>年</w:t>
      </w:r>
      <w:r>
        <w:rPr>
          <w:rFonts w:hint="eastAsia" w:ascii="仿宋" w:hAnsi="仿宋" w:eastAsia="仿宋" w:cs="仿宋_GB2312"/>
          <w:kern w:val="0"/>
          <w:sz w:val="32"/>
          <w:szCs w:val="32"/>
          <w:lang w:eastAsia="zh-CN"/>
        </w:rPr>
        <w:t>单位</w:t>
      </w:r>
      <w:r>
        <w:rPr>
          <w:rFonts w:ascii="仿宋" w:hAnsi="仿宋" w:eastAsia="仿宋" w:cs="仿宋_GB2312"/>
          <w:kern w:val="0"/>
          <w:sz w:val="32"/>
          <w:szCs w:val="32"/>
        </w:rPr>
        <w:t>预算公开如下</w:t>
      </w:r>
      <w:r>
        <w:rPr>
          <w:rFonts w:hint="eastAsia" w:ascii="仿宋" w:hAnsi="仿宋" w:eastAsia="仿宋" w:cs="仿宋_GB2312"/>
          <w:kern w:val="0"/>
          <w:sz w:val="32"/>
          <w:szCs w:val="32"/>
        </w:rPr>
        <w:t>：</w:t>
      </w:r>
    </w:p>
    <w:p>
      <w:pPr>
        <w:numPr>
          <w:ilvl w:val="0"/>
          <w:numId w:val="3"/>
        </w:numPr>
        <w:ind w:firstLineChars="0"/>
        <w:rPr>
          <w:rFonts w:ascii="黑体" w:hAnsi="黑体" w:eastAsia="黑体" w:cs="黑体"/>
          <w:sz w:val="32"/>
          <w:szCs w:val="32"/>
        </w:rPr>
      </w:pPr>
      <w:r>
        <w:rPr>
          <w:rFonts w:hint="eastAsia" w:ascii="黑体" w:hAnsi="黑体" w:eastAsia="黑体" w:cs="黑体"/>
          <w:sz w:val="32"/>
          <w:szCs w:val="32"/>
          <w:lang w:eastAsia="zh-CN"/>
        </w:rPr>
        <w:t>单位</w:t>
      </w:r>
      <w:r>
        <w:rPr>
          <w:rFonts w:hint="eastAsia" w:ascii="黑体" w:hAnsi="黑体" w:eastAsia="黑体" w:cs="黑体"/>
          <w:sz w:val="32"/>
          <w:szCs w:val="32"/>
        </w:rPr>
        <w:t>职责及机构设置情况</w:t>
      </w:r>
    </w:p>
    <w:p>
      <w:pPr>
        <w:ind w:firstLine="600"/>
        <w:jc w:val="left"/>
        <w:rPr>
          <w:rFonts w:ascii="仿宋" w:hAnsi="仿宋" w:eastAsia="仿宋"/>
          <w:sz w:val="30"/>
          <w:szCs w:val="30"/>
        </w:rPr>
      </w:pPr>
      <w:r>
        <w:rPr>
          <w:rFonts w:hint="eastAsia" w:ascii="仿宋" w:hAnsi="仿宋" w:eastAsia="仿宋"/>
          <w:sz w:val="30"/>
          <w:szCs w:val="30"/>
        </w:rPr>
        <w:t>1、拟定和执行我县财政、税收的发展计划、改革方案及其有关政策，参与</w:t>
      </w:r>
      <w:r>
        <w:rPr>
          <w:rFonts w:hint="eastAsia" w:ascii="仿宋" w:hAnsi="仿宋" w:eastAsia="仿宋"/>
          <w:sz w:val="30"/>
          <w:szCs w:val="30"/>
          <w:lang w:eastAsia="zh-CN"/>
        </w:rPr>
        <w:t>制订</w:t>
      </w:r>
      <w:r>
        <w:rPr>
          <w:rFonts w:hint="eastAsia" w:ascii="仿宋" w:hAnsi="仿宋" w:eastAsia="仿宋"/>
          <w:sz w:val="30"/>
          <w:szCs w:val="30"/>
        </w:rPr>
        <w:t>县域经济宏观经济政策，提出运用财税政策实施宏观调控和综合平衡社会财力的建议。</w:t>
      </w:r>
    </w:p>
    <w:p>
      <w:pPr>
        <w:ind w:firstLine="600"/>
        <w:jc w:val="left"/>
        <w:rPr>
          <w:rFonts w:ascii="仿宋" w:hAnsi="仿宋" w:eastAsia="仿宋"/>
          <w:sz w:val="30"/>
          <w:szCs w:val="30"/>
        </w:rPr>
      </w:pPr>
      <w:r>
        <w:rPr>
          <w:rFonts w:hint="eastAsia" w:ascii="仿宋" w:hAnsi="仿宋" w:eastAsia="仿宋"/>
          <w:sz w:val="30"/>
          <w:szCs w:val="30"/>
        </w:rPr>
        <w:t>2、拟定和执行县与乡、企事业单位的分配政策，监督财税方针政策，法律法规的执行情况，检查反映财政收支管理的重大问题，提出加强财政管理的政策建议。</w:t>
      </w:r>
    </w:p>
    <w:p>
      <w:pPr>
        <w:ind w:firstLine="600"/>
        <w:jc w:val="left"/>
        <w:rPr>
          <w:rFonts w:ascii="仿宋" w:hAnsi="仿宋" w:eastAsia="仿宋"/>
          <w:sz w:val="30"/>
          <w:szCs w:val="30"/>
        </w:rPr>
      </w:pPr>
      <w:r>
        <w:rPr>
          <w:rFonts w:hint="eastAsia" w:ascii="仿宋" w:hAnsi="仿宋" w:eastAsia="仿宋"/>
          <w:sz w:val="30"/>
          <w:szCs w:val="30"/>
        </w:rPr>
        <w:t>3、编制全县年度预决</w:t>
      </w:r>
      <w:bookmarkStart w:id="4" w:name="_GoBack"/>
      <w:bookmarkEnd w:id="4"/>
      <w:r>
        <w:rPr>
          <w:rFonts w:hint="eastAsia" w:ascii="仿宋" w:hAnsi="仿宋" w:eastAsia="仿宋"/>
          <w:sz w:val="30"/>
          <w:szCs w:val="30"/>
        </w:rPr>
        <w:t>算草案并组织执行，受县政府委托，向全县人民代表大会报告全县年度预算及其执行情况，向县人大常委会报告决算。</w:t>
      </w:r>
    </w:p>
    <w:p>
      <w:pPr>
        <w:ind w:firstLine="600"/>
        <w:jc w:val="left"/>
        <w:rPr>
          <w:rFonts w:ascii="仿宋" w:hAnsi="仿宋" w:eastAsia="仿宋"/>
          <w:sz w:val="30"/>
          <w:szCs w:val="30"/>
        </w:rPr>
      </w:pPr>
      <w:r>
        <w:rPr>
          <w:rFonts w:hint="eastAsia" w:ascii="仿宋" w:hAnsi="仿宋" w:eastAsia="仿宋"/>
          <w:sz w:val="30"/>
          <w:szCs w:val="30"/>
        </w:rPr>
        <w:t>4、管理全县各项财政收入，管理全县非税收入资金和财政专户，管理有关政府性基金，管理全县财政公共支出。</w:t>
      </w:r>
    </w:p>
    <w:p>
      <w:pPr>
        <w:ind w:firstLine="600"/>
        <w:jc w:val="left"/>
        <w:rPr>
          <w:rFonts w:ascii="仿宋" w:hAnsi="仿宋" w:eastAsia="仿宋"/>
          <w:sz w:val="30"/>
          <w:szCs w:val="30"/>
        </w:rPr>
      </w:pPr>
      <w:r>
        <w:rPr>
          <w:rFonts w:hint="eastAsia" w:ascii="仿宋" w:hAnsi="仿宋" w:eastAsia="仿宋"/>
          <w:sz w:val="30"/>
          <w:szCs w:val="30"/>
        </w:rPr>
        <w:t>5、拟定和执行政府采购制度，拟定和执行财政投资评审制度。</w:t>
      </w:r>
    </w:p>
    <w:p>
      <w:pPr>
        <w:ind w:firstLine="600"/>
        <w:jc w:val="left"/>
        <w:rPr>
          <w:rFonts w:ascii="仿宋" w:hAnsi="仿宋" w:eastAsia="仿宋"/>
          <w:sz w:val="30"/>
          <w:szCs w:val="30"/>
        </w:rPr>
      </w:pPr>
      <w:r>
        <w:rPr>
          <w:rFonts w:hint="eastAsia" w:ascii="仿宋" w:hAnsi="仿宋" w:eastAsia="仿宋"/>
          <w:sz w:val="30"/>
          <w:szCs w:val="30"/>
        </w:rPr>
        <w:t>6、</w:t>
      </w:r>
      <w:r>
        <w:rPr>
          <w:rFonts w:hint="eastAsia" w:ascii="仿宋" w:hAnsi="仿宋" w:eastAsia="仿宋"/>
          <w:sz w:val="30"/>
          <w:szCs w:val="30"/>
          <w:lang w:eastAsia="zh-CN"/>
        </w:rPr>
        <w:t>制订</w:t>
      </w:r>
      <w:r>
        <w:rPr>
          <w:rFonts w:hint="eastAsia" w:ascii="仿宋" w:hAnsi="仿宋" w:eastAsia="仿宋"/>
          <w:sz w:val="30"/>
          <w:szCs w:val="30"/>
        </w:rPr>
        <w:t>基本建设财务制度，管理和监督财政预算内行政机构，事业单位执行《事业单位财务规则》，《行政单位财务规则》，监督执行《企业财务通则》。</w:t>
      </w:r>
    </w:p>
    <w:p>
      <w:pPr>
        <w:ind w:firstLine="600"/>
        <w:jc w:val="left"/>
        <w:rPr>
          <w:rFonts w:ascii="仿宋" w:hAnsi="仿宋" w:eastAsia="仿宋"/>
          <w:sz w:val="30"/>
          <w:szCs w:val="30"/>
        </w:rPr>
      </w:pPr>
      <w:r>
        <w:rPr>
          <w:rFonts w:hint="eastAsia" w:ascii="仿宋" w:hAnsi="仿宋" w:eastAsia="仿宋"/>
          <w:sz w:val="30"/>
          <w:szCs w:val="30"/>
        </w:rPr>
        <w:t>7、拟定和执行国有资本金基础管理的政策、改革方案，规章制度，管理办法，组织实施国有企业的清产，资本金权属界定和登记，负责国有资本金的统计，分析，指导财产评估业务。</w:t>
      </w:r>
    </w:p>
    <w:p>
      <w:pPr>
        <w:ind w:firstLine="600"/>
        <w:jc w:val="left"/>
        <w:rPr>
          <w:rFonts w:ascii="仿宋" w:hAnsi="仿宋" w:eastAsia="仿宋"/>
          <w:sz w:val="30"/>
          <w:szCs w:val="30"/>
        </w:rPr>
      </w:pPr>
      <w:r>
        <w:rPr>
          <w:rFonts w:hint="eastAsia" w:ascii="仿宋" w:hAnsi="仿宋" w:eastAsia="仿宋"/>
          <w:sz w:val="30"/>
          <w:szCs w:val="30"/>
        </w:rPr>
        <w:t>8、办理和监督县财政的经济发展支出，县投资项目的财政拨款</w:t>
      </w:r>
    </w:p>
    <w:p>
      <w:pPr>
        <w:ind w:firstLine="600"/>
        <w:jc w:val="left"/>
        <w:rPr>
          <w:rFonts w:ascii="仿宋" w:hAnsi="仿宋" w:eastAsia="仿宋"/>
          <w:sz w:val="30"/>
          <w:szCs w:val="30"/>
        </w:rPr>
      </w:pPr>
      <w:r>
        <w:rPr>
          <w:rFonts w:hint="eastAsia" w:ascii="仿宋" w:hAnsi="仿宋" w:eastAsia="仿宋"/>
          <w:sz w:val="30"/>
          <w:szCs w:val="30"/>
        </w:rPr>
        <w:t>9、负责农业综合开发，管理县社会保障支出，组织实施对社会保障资金使用的财政监督。</w:t>
      </w:r>
    </w:p>
    <w:p>
      <w:pPr>
        <w:ind w:firstLine="600"/>
        <w:jc w:val="left"/>
        <w:rPr>
          <w:rFonts w:ascii="仿宋" w:hAnsi="仿宋" w:eastAsia="仿宋"/>
          <w:sz w:val="30"/>
          <w:szCs w:val="30"/>
        </w:rPr>
      </w:pPr>
      <w:r>
        <w:rPr>
          <w:rFonts w:hint="eastAsia" w:ascii="仿宋" w:hAnsi="仿宋" w:eastAsia="仿宋"/>
          <w:sz w:val="30"/>
          <w:szCs w:val="30"/>
        </w:rPr>
        <w:t>10、监督执行会计规章制度、《企业会计准则》和监督执行政府总预算、行政和事业单位及分行业的会计制度，指导和监督注册会计师和会计师事务所的业务。</w:t>
      </w:r>
    </w:p>
    <w:p>
      <w:pPr>
        <w:ind w:firstLine="600"/>
        <w:jc w:val="left"/>
        <w:rPr>
          <w:rFonts w:ascii="仿宋" w:hAnsi="仿宋" w:eastAsia="仿宋"/>
          <w:sz w:val="30"/>
          <w:szCs w:val="30"/>
        </w:rPr>
      </w:pPr>
      <w:r>
        <w:rPr>
          <w:rFonts w:hint="eastAsia" w:ascii="仿宋" w:hAnsi="仿宋" w:eastAsia="仿宋"/>
          <w:sz w:val="30"/>
          <w:szCs w:val="30"/>
        </w:rPr>
        <w:t>11、拟定和执行县政府国内债务管理，承担外国政府贷款、世行贷款的谈判等工作。</w:t>
      </w:r>
    </w:p>
    <w:p>
      <w:pPr>
        <w:ind w:firstLine="600"/>
        <w:jc w:val="left"/>
        <w:rPr>
          <w:rFonts w:ascii="仿宋" w:hAnsi="仿宋" w:eastAsia="仿宋"/>
          <w:sz w:val="30"/>
          <w:szCs w:val="30"/>
        </w:rPr>
      </w:pPr>
      <w:r>
        <w:rPr>
          <w:rFonts w:hint="eastAsia" w:ascii="仿宋" w:hAnsi="仿宋" w:eastAsia="仿宋"/>
          <w:sz w:val="30"/>
          <w:szCs w:val="30"/>
        </w:rPr>
        <w:t>12、组织财会人才培训，负责财政信息和财政宣传工作。</w:t>
      </w:r>
    </w:p>
    <w:p>
      <w:pPr>
        <w:ind w:firstLine="600"/>
        <w:jc w:val="left"/>
        <w:rPr>
          <w:rFonts w:ascii="仿宋" w:hAnsi="仿宋" w:eastAsia="仿宋"/>
          <w:sz w:val="30"/>
          <w:szCs w:val="30"/>
        </w:rPr>
      </w:pPr>
      <w:r>
        <w:rPr>
          <w:rFonts w:hint="eastAsia" w:ascii="仿宋" w:hAnsi="仿宋" w:eastAsia="仿宋"/>
          <w:sz w:val="30"/>
          <w:szCs w:val="30"/>
        </w:rPr>
        <w:t>13、承办县委、县政府交办的其他事项。</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内部机构职责：</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（一）非税收入管理局</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全县预算外资金、纳入预算管理的行政事业性收费、罚没收入和政府性基金征管工作，根据国家和省、市有关规定，拟定预算外资金管理办法；负责全县“票款分离”，落实“收支两条线”规定，负责全县执收执罚</w:t>
      </w:r>
      <w:r>
        <w:rPr>
          <w:rFonts w:hint="eastAsia" w:ascii="仿宋" w:hAnsi="仿宋" w:eastAsia="仿宋" w:cs="仿宋"/>
          <w:sz w:val="32"/>
          <w:szCs w:val="32"/>
          <w:lang w:eastAsia="zh-CN"/>
        </w:rPr>
        <w:t>单位</w:t>
      </w:r>
      <w:r>
        <w:rPr>
          <w:rFonts w:hint="eastAsia" w:ascii="仿宋" w:hAnsi="仿宋" w:eastAsia="仿宋" w:cs="仿宋"/>
          <w:sz w:val="32"/>
          <w:szCs w:val="32"/>
        </w:rPr>
        <w:t>监督检查工作；参与研究收费管理制度改革。</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（1）负责全县行政事业单位预算外资金征收工作；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（2）落实和拟定非税收入管理政策和相关规章制度，负责审核或申报全县行政事业性收费项目和收费标准，严格罚没及收费许可证制度，规范财政票据管理；</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负责编制年度非税收入征缴计划，并按程序审批后组织实施；负责行政事业性收费（含政府性基金）“票款分离”办法的实施，分析和改进征管工作，组织非税收入的监督检查工作，确保非税收入按进度及时足额征收；</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（4）牵头负责全县罚没物资管理工作，根据省、市有关政策，拟定罚没物资管理办法；</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（5）负责全县行政事业性收费和罚没收入的财政票据管理工作，并对财政票据使用情况进行监督检查；</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（6）负责全县“票款分离”工作，会同有关科室实施全县的“收支两条线”工作；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（7）负责预算外资金信息宣传工作；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（8）一个漏斗收费工作；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2、对口：市局非税收入管理局。</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（二）、农村财税管理局职责范围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负责组织落实“乡财县管”工作，落实国家、省、市部署的农村税费改革的各项工作，研究执行农村综合改革中的相关政策和负责全县耕地占用税、契税法律法规与政策实施中的一般解释和指导、协调。</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组织落实“乡财县管”工作；（2）探索县乡财税综合改革制度工作；（3）对全县农村“一事一议”财政奖补资金审批；（4）对农村“普九”债务进行清理化解；（5）完成领导交办的其它各项任务。2、对口：市综改办、市局农村财政管理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（三）、财政监督稽查局职责范围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w:t>
      </w:r>
      <w:r>
        <w:rPr>
          <w:rFonts w:hint="eastAsia" w:ascii="仿宋" w:hAnsi="仿宋" w:eastAsia="仿宋" w:cs="仿宋"/>
          <w:sz w:val="32"/>
          <w:szCs w:val="32"/>
          <w:lang w:eastAsia="zh-CN"/>
        </w:rPr>
        <w:t>制订</w:t>
      </w:r>
      <w:r>
        <w:rPr>
          <w:rFonts w:hint="eastAsia" w:ascii="仿宋" w:hAnsi="仿宋" w:eastAsia="仿宋" w:cs="仿宋"/>
          <w:sz w:val="32"/>
          <w:szCs w:val="32"/>
        </w:rPr>
        <w:t>财政监督的政策和制度，监督财税法律、法规、方针、政策的执行情况，协调财政监督的工作关系，检查财政收支管理中的重大问题，提出加强财政管理的政策建议，依法查处违反财经纪律和打击报复的重点案件，管理财政监督稽查局的业务工作。具体办事机构为财监科。</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其职责如下：（1）协调财政监督检查与其他经济监督</w:t>
      </w:r>
      <w:r>
        <w:rPr>
          <w:rFonts w:hint="eastAsia" w:ascii="仿宋" w:hAnsi="仿宋" w:eastAsia="仿宋" w:cs="仿宋"/>
          <w:sz w:val="32"/>
          <w:szCs w:val="32"/>
          <w:lang w:eastAsia="zh-CN"/>
        </w:rPr>
        <w:t>单位</w:t>
      </w:r>
      <w:r>
        <w:rPr>
          <w:rFonts w:hint="eastAsia" w:ascii="仿宋" w:hAnsi="仿宋" w:eastAsia="仿宋" w:cs="仿宋"/>
          <w:sz w:val="32"/>
          <w:szCs w:val="32"/>
        </w:rPr>
        <w:t>的工作关系，研究拟定强化财政监督的建议或措施；（2）监督检查财税法规、政策、制度和财经纪律的执行情况，对存在的问题依法进行处理，并提出完善财经法规、财会制度和加强财政管理的意见和建议；（3）监督本级预算的执行，监督各项财政收入的征管和“一口对外”检查财政资金的分配、使用、效益等；（4）会同有关</w:t>
      </w:r>
      <w:r>
        <w:rPr>
          <w:rFonts w:hint="eastAsia" w:ascii="仿宋" w:hAnsi="仿宋" w:eastAsia="仿宋" w:cs="仿宋"/>
          <w:sz w:val="32"/>
          <w:szCs w:val="32"/>
          <w:lang w:eastAsia="zh-CN"/>
        </w:rPr>
        <w:t>单位</w:t>
      </w:r>
      <w:r>
        <w:rPr>
          <w:rFonts w:hint="eastAsia" w:ascii="仿宋" w:hAnsi="仿宋" w:eastAsia="仿宋" w:cs="仿宋"/>
          <w:sz w:val="32"/>
          <w:szCs w:val="32"/>
        </w:rPr>
        <w:t>做好对有关单位、人员违反财经纪律、财税政策和财务、会计制度的检查处理及违纪款项的收缴入库工作；（5）受理对违反财税法律、法规、政策、制度的重大举报事宜，依法对财政干部及财务人员因认真贯彻执行财政法规和财务会计制度而受打击报复的重点案件；（6）协调各科室、单位的监督检查事宜，检查各业务科室、单位履行各自财政监督职责的情况；（7）牵头组织全县重大和专项财政监督检查工作；（8）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2、对口：市财政监督稽查局、市局财监处。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（四）、财政集中支付中心职责范围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主要任务：负责县级行政事业单位工资支出、购买支出、转移支出和其他支出的审核及支付工作，负责审核、支付纳入财政直接支付范围的专项资金工作。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其职责如下：（1）负责办理全县行政事业单位资金的集中收付业务，合理调度和及时拨付资金，确保</w:t>
      </w:r>
      <w:r>
        <w:rPr>
          <w:rFonts w:hint="eastAsia" w:ascii="仿宋" w:hAnsi="仿宋" w:eastAsia="仿宋" w:cs="仿宋"/>
          <w:sz w:val="32"/>
          <w:szCs w:val="32"/>
          <w:lang w:eastAsia="zh-CN"/>
        </w:rPr>
        <w:t>单位</w:t>
      </w:r>
      <w:r>
        <w:rPr>
          <w:rFonts w:hint="eastAsia" w:ascii="仿宋" w:hAnsi="仿宋" w:eastAsia="仿宋" w:cs="仿宋"/>
          <w:sz w:val="32"/>
          <w:szCs w:val="32"/>
        </w:rPr>
        <w:t>单位工作正常运转；（2）在资金所有权、使用权、支配权不变的情况下，对预算单位的支出进行再审核，并完整记录预算单位资金活动情况，定期与单位核对资金结存数额，保证资金的安全、完整；（3）贯彻执行国家财经纪律和财会制度，通过对预算单位支付申请进行合规性、合理性、合法性的审核，充分发挥财政的监督作用；（4）按照财政预算，审核和监督行政事业单位执行财政预算的具体情况，并向有关科室和领导进行反馈；（5）办理政府采购资金的支付，对纳入政府采购目录的支出项目，将资金直接支付给商品供应商或劳务提供者；（6）统一公开各单位预算执行情况，为财政监督和单位对帐提供及时准确的信息；（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2、对口：市局集中支付中心。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（五）、办公室职责范围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综合协调、处理局机关日常政务；负责有关重要会议的组织；起草和修改有关重要报告和文件；研究财政政策；统一管理财政信息、宣传、新闻发布；负责文电、机要保密、档案、信访、办公自动化、人事、财务、车辆、后勤、计划生育、精神文明建设、民主评议、法制宣传教育、党务、工青妇、老干部等工作；负责重要事项的督查督办。</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局机关日常政务的综合协调和处理，保证局机关正确履行职能和维持正常、良好的工作秩序；（2）组织财政调研工作，研究财政工作重点、难点、热点问题的解决办法，为领导当好参谋；（3）负责</w:t>
      </w:r>
      <w:r>
        <w:rPr>
          <w:rFonts w:hint="eastAsia" w:ascii="仿宋" w:hAnsi="仿宋" w:eastAsia="仿宋" w:cs="仿宋"/>
          <w:sz w:val="32"/>
          <w:szCs w:val="32"/>
          <w:lang w:eastAsia="zh-CN"/>
        </w:rPr>
        <w:t>制订</w:t>
      </w:r>
      <w:r>
        <w:rPr>
          <w:rFonts w:hint="eastAsia" w:ascii="仿宋" w:hAnsi="仿宋" w:eastAsia="仿宋" w:cs="仿宋"/>
          <w:sz w:val="32"/>
          <w:szCs w:val="32"/>
        </w:rPr>
        <w:t xml:space="preserve">机关各项工作制度，并督导落实；（4）负责局机关重要综合性文稿的起草、修改和以局名义发出的正式文件的核稿；（5）负责机要文电的收发和文印工作；（6）负责全县财政系统财政信息、财政宣传的统一规划和组织，管理财政对外宣传报道和重要财政新闻发布；（7）负责全县财政工作会议及有关重要会议的组织；（8）办理局党组、局长办公会、局务会议定的各项具体工作并编写会议纪要；（9）负责局机关办公自动化工作的组织、协调和运行；（10）负责管理局机关档案，指导全局各科室档案立卷、归档工作，整理和利用财政档案史料；（11）负责财政系统保密规则制度建设，检查局机关和所属单位保密法规执行情况，调查失泄密事件；（12）负责局机关、直属单位的机构设置和人员编制工作；（13）负责全县财政系统干部职工队伍建设和人事、教育、统计工作，及局机关工作人员的考核、培训、工资福利、退（离）休等工作；（14）负责管理局机关财务和编报局机关行政经费预算建议和决算；（15）负责管理局机关车辆管理、后勤服务、固定资产、安全保卫、综合治理等有关事项；（16）负责全局行政执法证年检、办证工作；（17）负责县委、县政府批办事项的督查、督办工作；（18）负责组织和办理县人大代表建议及县政协委员提案工作；（19）负责局机关党务、团务、工会、妇女、计划生育、信访及财政系统民主评议、精神文明建设、法制宣传教育、纪律检查、行政监督等工作；（20）负责组织安排全县财政系统文体活动；（21）负责组织编写财政局年度大事记；（22）完成领导交办的其它各项任务。 </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2、对口：市局办公室、人教处、纪检监察室。</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（六）、预算科职责范围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主要任务：编制县本级政府年度预算（草案）和县直</w:t>
      </w:r>
      <w:r>
        <w:rPr>
          <w:rFonts w:hint="eastAsia" w:ascii="仿宋" w:hAnsi="仿宋" w:eastAsia="仿宋" w:cs="仿宋"/>
          <w:sz w:val="32"/>
          <w:szCs w:val="32"/>
          <w:lang w:eastAsia="zh-CN"/>
        </w:rPr>
        <w:t>单位</w:t>
      </w:r>
      <w:r>
        <w:rPr>
          <w:rFonts w:hint="eastAsia" w:ascii="仿宋" w:hAnsi="仿宋" w:eastAsia="仿宋" w:cs="仿宋"/>
          <w:sz w:val="32"/>
          <w:szCs w:val="32"/>
        </w:rPr>
        <w:t>预算建议，汇编全县年度预算（草案）；编制县本级预算调整方案，汇总全县收支预算调整；负责本级预算指标的管理，统一办理本级预算追加（减）等事宜；负责本级预算执行的协调和预算内、外资金执行指标、各类财政性资金及各类政府性基金的审核与核算。</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分析预测全县经济运行情况，并提出运用财税政策加强地方财源建设和落实宏观调控的建议；研究和提出财政收支政策及财政分配政策，拟定增收节支，平衡财政预算，加强预算管理的建议；（2）负责编制年度政府公共预算草案及县级综合财政预算草案，按法定程序批准后，直接批复</w:t>
      </w:r>
      <w:r>
        <w:rPr>
          <w:rFonts w:hint="eastAsia" w:ascii="仿宋" w:hAnsi="仿宋" w:eastAsia="仿宋" w:cs="仿宋"/>
          <w:sz w:val="32"/>
          <w:szCs w:val="32"/>
          <w:lang w:eastAsia="zh-CN"/>
        </w:rPr>
        <w:t>单位</w:t>
      </w:r>
      <w:r>
        <w:rPr>
          <w:rFonts w:hint="eastAsia" w:ascii="仿宋" w:hAnsi="仿宋" w:eastAsia="仿宋" w:cs="仿宋"/>
          <w:sz w:val="32"/>
          <w:szCs w:val="32"/>
        </w:rPr>
        <w:t>单位。参与县直行政事业单位编制管理，</w:t>
      </w:r>
      <w:r>
        <w:rPr>
          <w:rFonts w:hint="eastAsia" w:ascii="仿宋" w:hAnsi="仿宋" w:eastAsia="仿宋" w:cs="仿宋"/>
          <w:sz w:val="32"/>
          <w:szCs w:val="32"/>
          <w:lang w:eastAsia="zh-CN"/>
        </w:rPr>
        <w:t>制订</w:t>
      </w:r>
      <w:r>
        <w:rPr>
          <w:rFonts w:hint="eastAsia" w:ascii="仿宋" w:hAnsi="仿宋" w:eastAsia="仿宋" w:cs="仿宋"/>
          <w:sz w:val="32"/>
          <w:szCs w:val="32"/>
        </w:rPr>
        <w:t>和调整</w:t>
      </w:r>
      <w:r>
        <w:rPr>
          <w:rFonts w:hint="eastAsia" w:ascii="仿宋" w:hAnsi="仿宋" w:eastAsia="仿宋" w:cs="仿宋"/>
          <w:sz w:val="32"/>
          <w:szCs w:val="32"/>
          <w:lang w:eastAsia="zh-CN"/>
        </w:rPr>
        <w:t>单位</w:t>
      </w:r>
      <w:r>
        <w:rPr>
          <w:rFonts w:hint="eastAsia" w:ascii="仿宋" w:hAnsi="仿宋" w:eastAsia="仿宋" w:cs="仿宋"/>
          <w:sz w:val="32"/>
          <w:szCs w:val="32"/>
        </w:rPr>
        <w:t>单位公用经费开支标准和定额。确定财政资金预算安排顺序，研究财政投资政策；（3）负责编制财政预算调整方案，办理动用县级预备费的申报事宜，负责县级预算内、预算外总指标的分配、调整，办理县直</w:t>
      </w:r>
      <w:r>
        <w:rPr>
          <w:rFonts w:hint="eastAsia" w:ascii="仿宋" w:hAnsi="仿宋" w:eastAsia="仿宋" w:cs="仿宋"/>
          <w:sz w:val="32"/>
          <w:szCs w:val="32"/>
          <w:lang w:eastAsia="zh-CN"/>
        </w:rPr>
        <w:t>单位</w:t>
      </w:r>
      <w:r>
        <w:rPr>
          <w:rFonts w:hint="eastAsia" w:ascii="仿宋" w:hAnsi="仿宋" w:eastAsia="仿宋" w:cs="仿宋"/>
          <w:sz w:val="32"/>
          <w:szCs w:val="32"/>
        </w:rPr>
        <w:t>预算的追加（减）预算指标的审批，审核主管业务科室对年初预算没有确定具体项目的资金提出的使用意见；（4）负责办理市对县的转移支付和县与市财政体制结算的有关事宜，解释和执行地方税收政策，审核税收减免；（5）负责进一步完善乡镇财政管理体制；（6）负责指导本辖区内预算单位的预算管理工作；（7）负责协调县财政与国税局、地税局有关组织收入方面的事宜，牵头负责审计机关对财政预算执行和其他财政收支情况进行的审计，以及对县人大联络的相关事宜；（8）负责在预算编制和执行过程中，逐步开展财政支出效益评价工作，推行财政绩效预算管理；（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2、对口：市局预算处。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（七）、国库科职责范围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主要任务：负责全县财政预算的执行工作；归口管理各类财政资金，负责总预算会计核算与资金拨付工作；负责编制财政收支旬、月报工作；牵头负责全县预算内、外资金总决算；批复县直</w:t>
      </w:r>
      <w:r>
        <w:rPr>
          <w:rFonts w:hint="eastAsia" w:ascii="仿宋" w:hAnsi="仿宋" w:eastAsia="仿宋" w:cs="仿宋"/>
          <w:sz w:val="32"/>
          <w:szCs w:val="32"/>
          <w:lang w:eastAsia="zh-CN"/>
        </w:rPr>
        <w:t>单位</w:t>
      </w:r>
      <w:r>
        <w:rPr>
          <w:rFonts w:hint="eastAsia" w:ascii="仿宋" w:hAnsi="仿宋" w:eastAsia="仿宋" w:cs="仿宋"/>
          <w:sz w:val="32"/>
          <w:szCs w:val="32"/>
        </w:rPr>
        <w:t>决算；负责全县各行政、事业单位新开设帐户管理；压缩各项支出，组织配合有关单位争取资金，整合财力办大事。</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综合财政预算的执行。对预算内、预算外、政府性基金执行指标认真审核、及时拨付与核算；按照预外局批准的拨付计划，拨付预算外资金；负责协调预算执行中的有关问题，向有关领导、</w:t>
      </w:r>
      <w:r>
        <w:rPr>
          <w:rFonts w:hint="eastAsia" w:ascii="仿宋" w:hAnsi="仿宋" w:eastAsia="仿宋" w:cs="仿宋"/>
          <w:sz w:val="32"/>
          <w:szCs w:val="32"/>
          <w:lang w:eastAsia="zh-CN"/>
        </w:rPr>
        <w:t>单位</w:t>
      </w:r>
      <w:r>
        <w:rPr>
          <w:rFonts w:hint="eastAsia" w:ascii="仿宋" w:hAnsi="仿宋" w:eastAsia="仿宋" w:cs="仿宋"/>
          <w:sz w:val="32"/>
          <w:szCs w:val="32"/>
        </w:rPr>
        <w:t>、科室及时反映预算执行情况；（2）负责总预算会计工作。加强资金调度，联系人行国库并协调有关事宜；负责局内所有的财政性资金和乡镇、县直行政事业单位资金帐户的管理，会同有关科室审批新开帐户；（3）编制财政收支旬报和月报，分析财政收支存在的问题，及时向领导和有关方面提出合理化建议，确保财政收支正常运行；（4）牵头负责编制全县预算内、外资金总决算，批复县直</w:t>
      </w:r>
      <w:r>
        <w:rPr>
          <w:rFonts w:hint="eastAsia" w:ascii="仿宋" w:hAnsi="仿宋" w:eastAsia="仿宋" w:cs="仿宋"/>
          <w:sz w:val="32"/>
          <w:szCs w:val="32"/>
          <w:lang w:eastAsia="zh-CN"/>
        </w:rPr>
        <w:t>单位</w:t>
      </w:r>
      <w:r>
        <w:rPr>
          <w:rFonts w:hint="eastAsia" w:ascii="仿宋" w:hAnsi="仿宋" w:eastAsia="仿宋" w:cs="仿宋"/>
          <w:sz w:val="32"/>
          <w:szCs w:val="32"/>
        </w:rPr>
        <w:t>决算，会同有关科室起草有关预算执行和财政总决算的文件；（5）推进国库集中支付制度改革；（6）完成领导交办的其它各项任务。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2、对口：市局国库处。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3、归口联系的</w:t>
      </w:r>
      <w:r>
        <w:rPr>
          <w:rFonts w:hint="eastAsia" w:ascii="仿宋" w:hAnsi="仿宋" w:eastAsia="仿宋" w:cs="仿宋"/>
          <w:sz w:val="32"/>
          <w:szCs w:val="32"/>
          <w:lang w:eastAsia="zh-CN"/>
        </w:rPr>
        <w:t>单位</w:t>
      </w:r>
      <w:r>
        <w:rPr>
          <w:rFonts w:hint="eastAsia" w:ascii="仿宋" w:hAnsi="仿宋" w:eastAsia="仿宋" w:cs="仿宋"/>
          <w:sz w:val="32"/>
          <w:szCs w:val="32"/>
        </w:rPr>
        <w:t>和单位为：人行、工行、建行、农行、农发行、联社。</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（八）、综合科职责范围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主要任务：牵头负责国家财政政策的落实以及在财政投资领域的政策协调和项目安排；监督基建项目实施中资金的管理使用情况；办理归口管理</w:t>
      </w:r>
      <w:r>
        <w:rPr>
          <w:rFonts w:hint="eastAsia" w:ascii="仿宋" w:hAnsi="仿宋" w:eastAsia="仿宋" w:cs="仿宋"/>
          <w:sz w:val="32"/>
          <w:szCs w:val="32"/>
          <w:lang w:eastAsia="zh-CN"/>
        </w:rPr>
        <w:t>单位</w:t>
      </w:r>
      <w:r>
        <w:rPr>
          <w:rFonts w:hint="eastAsia" w:ascii="仿宋" w:hAnsi="仿宋" w:eastAsia="仿宋" w:cs="仿宋"/>
          <w:sz w:val="32"/>
          <w:szCs w:val="32"/>
        </w:rPr>
        <w:t>、单位基建资金、预算外资金等有关业务；负责城市建设配套资金的执行、管理和监督；牵头管理国债专项资金等。</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其职责如下：（1）负责国家财政政策的组织落实工作；（2）牵头管理在财政投资基本建设领域的政策协调和项目安排，并对基建资金的使用情况进行监督；（3）对归口管理</w:t>
      </w:r>
      <w:r>
        <w:rPr>
          <w:rFonts w:hint="eastAsia" w:ascii="仿宋" w:hAnsi="仿宋" w:eastAsia="仿宋" w:cs="仿宋"/>
          <w:sz w:val="32"/>
          <w:szCs w:val="32"/>
          <w:lang w:eastAsia="zh-CN"/>
        </w:rPr>
        <w:t>单位</w:t>
      </w:r>
      <w:r>
        <w:rPr>
          <w:rFonts w:hint="eastAsia" w:ascii="仿宋" w:hAnsi="仿宋" w:eastAsia="仿宋" w:cs="仿宋"/>
          <w:sz w:val="32"/>
          <w:szCs w:val="32"/>
        </w:rPr>
        <w:t>、各单位的预算外资金支出计划审核、建议，按程序审批后，组织实施，会同有关科室对预算外资金支出进行监督检查；（4）对上级财政补助的专项资金提出安排使用意见，按程序审批后，组织实施，并对专项资金追踪问效，监督项目实施中资金管理使用情况；（5）牵头参与减轻企业负担、农民负担和治理乱收费工作；（6）会同有关科室组织实施对全县各单位的“收支两条线”监督检查工作；（7）负责县级城市建设配套资金的管理和监督；（8）负责基金会、城市信用社专项贷款资金的使用；（10）负责住房公积金的管理和使用工作；（11）负责审核汇总全县的基本建设、预算外资金年度财务决算；（12）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2、对口：市局综合处、经济建设处。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w:t>
      </w:r>
      <w:r>
        <w:rPr>
          <w:rFonts w:hint="eastAsia" w:ascii="仿宋" w:hAnsi="仿宋" w:eastAsia="仿宋" w:cs="仿宋"/>
          <w:sz w:val="32"/>
          <w:szCs w:val="32"/>
          <w:lang w:eastAsia="zh-CN"/>
        </w:rPr>
        <w:t>单位</w:t>
      </w:r>
      <w:r>
        <w:rPr>
          <w:rFonts w:hint="eastAsia" w:ascii="仿宋" w:hAnsi="仿宋" w:eastAsia="仿宋" w:cs="仿宋"/>
          <w:sz w:val="32"/>
          <w:szCs w:val="32"/>
        </w:rPr>
        <w:t>和单位为：住房建设局、建筑业管理局、人防办、城区管理局、环保局、环洁公司、商业局、图书管理办、粮食局、国土局。</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（九）、行政政法科职责范围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主要任务：负责掌握分管业务的全县基本情况，并参与分管</w:t>
      </w:r>
      <w:r>
        <w:rPr>
          <w:rFonts w:hint="eastAsia" w:ascii="仿宋" w:hAnsi="仿宋" w:eastAsia="仿宋" w:cs="仿宋"/>
          <w:sz w:val="32"/>
          <w:szCs w:val="32"/>
          <w:lang w:eastAsia="zh-CN"/>
        </w:rPr>
        <w:t>单位</w:t>
      </w:r>
      <w:r>
        <w:rPr>
          <w:rFonts w:hint="eastAsia" w:ascii="仿宋" w:hAnsi="仿宋" w:eastAsia="仿宋" w:cs="仿宋"/>
          <w:sz w:val="32"/>
          <w:szCs w:val="32"/>
        </w:rPr>
        <w:t>行业发展规划和相关政策、制度的研究制订工作；监督执行《行政单位财务规则》、《事业单位财务规则》，研究拟定行政政法、事业、教科文单位财务管理办法；监督项目实施中资金的管理使用情况，并进行项目完成后的效益考核；负责县级行政政法</w:t>
      </w:r>
      <w:r>
        <w:rPr>
          <w:rFonts w:hint="eastAsia" w:ascii="仿宋" w:hAnsi="仿宋" w:eastAsia="仿宋" w:cs="仿宋"/>
          <w:sz w:val="32"/>
          <w:szCs w:val="32"/>
          <w:lang w:eastAsia="zh-CN"/>
        </w:rPr>
        <w:t>单位</w:t>
      </w:r>
      <w:r>
        <w:rPr>
          <w:rFonts w:hint="eastAsia" w:ascii="仿宋" w:hAnsi="仿宋" w:eastAsia="仿宋" w:cs="仿宋"/>
          <w:sz w:val="32"/>
          <w:szCs w:val="32"/>
        </w:rPr>
        <w:t>和教育科学文化及所属事业单位年度预算执行分析及监督检查工作；负责审核归口管理</w:t>
      </w:r>
      <w:r>
        <w:rPr>
          <w:rFonts w:hint="eastAsia" w:ascii="仿宋" w:hAnsi="仿宋" w:eastAsia="仿宋" w:cs="仿宋"/>
          <w:sz w:val="32"/>
          <w:szCs w:val="32"/>
          <w:lang w:eastAsia="zh-CN"/>
        </w:rPr>
        <w:t>单位</w:t>
      </w:r>
      <w:r>
        <w:rPr>
          <w:rFonts w:hint="eastAsia" w:ascii="仿宋" w:hAnsi="仿宋" w:eastAsia="仿宋" w:cs="仿宋"/>
          <w:sz w:val="32"/>
          <w:szCs w:val="32"/>
        </w:rPr>
        <w:t>、单位的有关财务、会计报表和年度财务决算；负责分管单位指标管理工作。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其职责如下：（1）负责掌握分管</w:t>
      </w:r>
      <w:r>
        <w:rPr>
          <w:rFonts w:hint="eastAsia" w:ascii="仿宋" w:hAnsi="仿宋" w:eastAsia="仿宋" w:cs="仿宋"/>
          <w:sz w:val="32"/>
          <w:szCs w:val="32"/>
          <w:lang w:eastAsia="zh-CN"/>
        </w:rPr>
        <w:t>单位</w:t>
      </w:r>
      <w:r>
        <w:rPr>
          <w:rFonts w:hint="eastAsia" w:ascii="仿宋" w:hAnsi="仿宋" w:eastAsia="仿宋" w:cs="仿宋"/>
          <w:sz w:val="32"/>
          <w:szCs w:val="32"/>
        </w:rPr>
        <w:t>的全县基本情况，并参与分管</w:t>
      </w:r>
      <w:r>
        <w:rPr>
          <w:rFonts w:hint="eastAsia" w:ascii="仿宋" w:hAnsi="仿宋" w:eastAsia="仿宋" w:cs="仿宋"/>
          <w:sz w:val="32"/>
          <w:szCs w:val="32"/>
          <w:lang w:eastAsia="zh-CN"/>
        </w:rPr>
        <w:t>单位</w:t>
      </w:r>
      <w:r>
        <w:rPr>
          <w:rFonts w:hint="eastAsia" w:ascii="仿宋" w:hAnsi="仿宋" w:eastAsia="仿宋" w:cs="仿宋"/>
          <w:sz w:val="32"/>
          <w:szCs w:val="32"/>
        </w:rPr>
        <w:t>行业发展规划和相关政策、制度的研究</w:t>
      </w:r>
      <w:r>
        <w:rPr>
          <w:rFonts w:hint="eastAsia" w:ascii="仿宋" w:hAnsi="仿宋" w:eastAsia="仿宋" w:cs="仿宋"/>
          <w:sz w:val="32"/>
          <w:szCs w:val="32"/>
          <w:lang w:eastAsia="zh-CN"/>
        </w:rPr>
        <w:t>制订</w:t>
      </w:r>
      <w:r>
        <w:rPr>
          <w:rFonts w:hint="eastAsia" w:ascii="仿宋" w:hAnsi="仿宋" w:eastAsia="仿宋" w:cs="仿宋"/>
          <w:sz w:val="32"/>
          <w:szCs w:val="32"/>
        </w:rPr>
        <w:t>工作；（2）归口管理县级行政政法、事业、党派团体、文化、出版、文物、教育、科学、计划生育、体育、广播电视等</w:t>
      </w:r>
      <w:r>
        <w:rPr>
          <w:rFonts w:hint="eastAsia" w:ascii="仿宋" w:hAnsi="仿宋" w:eastAsia="仿宋" w:cs="仿宋"/>
          <w:sz w:val="32"/>
          <w:szCs w:val="32"/>
          <w:lang w:eastAsia="zh-CN"/>
        </w:rPr>
        <w:t>单位</w:t>
      </w:r>
      <w:r>
        <w:rPr>
          <w:rFonts w:hint="eastAsia" w:ascii="仿宋" w:hAnsi="仿宋" w:eastAsia="仿宋" w:cs="仿宋"/>
          <w:sz w:val="32"/>
          <w:szCs w:val="32"/>
        </w:rPr>
        <w:t>及所属事业单位涉及财政、财务有关事宜；（3）监督执行《行政单位财务规则》、《事业单位财务规则》，研究拟定行政政法</w:t>
      </w:r>
      <w:r>
        <w:rPr>
          <w:rFonts w:hint="eastAsia" w:ascii="仿宋" w:hAnsi="仿宋" w:eastAsia="仿宋" w:cs="仿宋"/>
          <w:sz w:val="32"/>
          <w:szCs w:val="32"/>
          <w:lang w:eastAsia="zh-CN"/>
        </w:rPr>
        <w:t>单位</w:t>
      </w:r>
      <w:r>
        <w:rPr>
          <w:rFonts w:hint="eastAsia" w:ascii="仿宋" w:hAnsi="仿宋" w:eastAsia="仿宋" w:cs="仿宋"/>
          <w:sz w:val="32"/>
          <w:szCs w:val="32"/>
        </w:rPr>
        <w:t>、教科文</w:t>
      </w:r>
      <w:r>
        <w:rPr>
          <w:rFonts w:hint="eastAsia" w:ascii="仿宋" w:hAnsi="仿宋" w:eastAsia="仿宋" w:cs="仿宋"/>
          <w:sz w:val="32"/>
          <w:szCs w:val="32"/>
          <w:lang w:eastAsia="zh-CN"/>
        </w:rPr>
        <w:t>单位</w:t>
      </w:r>
      <w:r>
        <w:rPr>
          <w:rFonts w:hint="eastAsia" w:ascii="仿宋" w:hAnsi="仿宋" w:eastAsia="仿宋" w:cs="仿宋"/>
          <w:sz w:val="32"/>
          <w:szCs w:val="32"/>
        </w:rPr>
        <w:t>和单位的财务规章制度，并对归口管理</w:t>
      </w:r>
      <w:r>
        <w:rPr>
          <w:rFonts w:hint="eastAsia" w:ascii="仿宋" w:hAnsi="仿宋" w:eastAsia="仿宋" w:cs="仿宋"/>
          <w:sz w:val="32"/>
          <w:szCs w:val="32"/>
          <w:lang w:eastAsia="zh-CN"/>
        </w:rPr>
        <w:t>单位</w:t>
      </w:r>
      <w:r>
        <w:rPr>
          <w:rFonts w:hint="eastAsia" w:ascii="仿宋" w:hAnsi="仿宋" w:eastAsia="仿宋" w:cs="仿宋"/>
          <w:sz w:val="32"/>
          <w:szCs w:val="32"/>
        </w:rPr>
        <w:t>、单位的执行情况进行监督检查；（4）对专项资金追踪问效，监督项目实施中资金的管理使用情况，并进行项目完成后的效益考核；（5）负责归口管理</w:t>
      </w:r>
      <w:r>
        <w:rPr>
          <w:rFonts w:hint="eastAsia" w:ascii="仿宋" w:hAnsi="仿宋" w:eastAsia="仿宋" w:cs="仿宋"/>
          <w:sz w:val="32"/>
          <w:szCs w:val="32"/>
          <w:lang w:eastAsia="zh-CN"/>
        </w:rPr>
        <w:t>单位</w:t>
      </w:r>
      <w:r>
        <w:rPr>
          <w:rFonts w:hint="eastAsia" w:ascii="仿宋" w:hAnsi="仿宋" w:eastAsia="仿宋" w:cs="仿宋"/>
          <w:sz w:val="32"/>
          <w:szCs w:val="32"/>
        </w:rPr>
        <w:t>、单位的年度预算执行分析和监督检查工作，审核有关财务、会计报表和年度决算；（6）指导行政政法单位、教科文单位建立健全内部财务制度，并对行政、政法事业单位、教科文单位会计人员执业质量进行有关检查；（7）参与教科文事业体制改革，研究拟定相关的财政、财务政策；（8）负责归口管理行政事业单位预算指标核算工作；（9）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2、对口：市局行政政法处、教科文处。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w:t>
      </w:r>
      <w:r>
        <w:rPr>
          <w:rFonts w:hint="eastAsia" w:ascii="仿宋" w:hAnsi="仿宋" w:eastAsia="仿宋" w:cs="仿宋"/>
          <w:sz w:val="32"/>
          <w:szCs w:val="32"/>
          <w:lang w:eastAsia="zh-CN"/>
        </w:rPr>
        <w:t>单位</w:t>
      </w:r>
      <w:r>
        <w:rPr>
          <w:rFonts w:hint="eastAsia" w:ascii="仿宋" w:hAnsi="仿宋" w:eastAsia="仿宋" w:cs="仿宋"/>
          <w:sz w:val="32"/>
          <w:szCs w:val="32"/>
        </w:rPr>
        <w:t>和单位为：县委办、政府办、人大、政协、人武部、统战部、国防办、民兵训练基地、纪检委（监察局）、宣传部（文明办、创建办）、组织部（党建办）、信访局、机要局、保密局、团委、农工委、妇联、610办、县直工委、小康办、 优化办、工商联、档案局、广播局、计生局、党校、安监局、财政局、审计局、物价局、统计局、科技局、科协、宗教局、经济发展局、发展计划局、县志办、党史办、公安局、检察院、法院、司法局、消防科、消防中队、户政科、看守所、拘留所、政法委、开放办、外贸局、教育体育局、文广新局、特教学校、文化科、教育督导室、电教站、教研室、招生办、一中、二中、三中、四中、职校、进修学校、向阳小学、幼儿园、特教学校、文化馆、文联、图书馆、剧团、各乡镇统计广播差补工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（十）、农财科职责范围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主要任务：负责财政在全县农业领域的政策协调和项目安排，监督项目实施中的资金管理使用情况；负责归口管理的</w:t>
      </w:r>
      <w:r>
        <w:rPr>
          <w:rFonts w:hint="eastAsia" w:ascii="仿宋" w:hAnsi="仿宋" w:eastAsia="仿宋" w:cs="仿宋"/>
          <w:sz w:val="32"/>
          <w:szCs w:val="32"/>
          <w:lang w:eastAsia="zh-CN"/>
        </w:rPr>
        <w:t>单位</w:t>
      </w:r>
      <w:r>
        <w:rPr>
          <w:rFonts w:hint="eastAsia" w:ascii="仿宋" w:hAnsi="仿宋" w:eastAsia="仿宋" w:cs="仿宋"/>
          <w:sz w:val="32"/>
          <w:szCs w:val="32"/>
        </w:rPr>
        <w:t>、单位和乡镇预算指标等业务。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其职责如下：（1）负责掌握全县农口</w:t>
      </w:r>
      <w:r>
        <w:rPr>
          <w:rFonts w:hint="eastAsia" w:ascii="仿宋" w:hAnsi="仿宋" w:eastAsia="仿宋" w:cs="仿宋"/>
          <w:sz w:val="32"/>
          <w:szCs w:val="32"/>
          <w:lang w:eastAsia="zh-CN"/>
        </w:rPr>
        <w:t>单位</w:t>
      </w:r>
      <w:r>
        <w:rPr>
          <w:rFonts w:hint="eastAsia" w:ascii="仿宋" w:hAnsi="仿宋" w:eastAsia="仿宋" w:cs="仿宋"/>
          <w:sz w:val="32"/>
          <w:szCs w:val="32"/>
        </w:rPr>
        <w:t>及乡镇财政业务的基本情况和涉及财政、财务的有关事宜，参与分管</w:t>
      </w:r>
      <w:r>
        <w:rPr>
          <w:rFonts w:hint="eastAsia" w:ascii="仿宋" w:hAnsi="仿宋" w:eastAsia="仿宋" w:cs="仿宋"/>
          <w:sz w:val="32"/>
          <w:szCs w:val="32"/>
          <w:lang w:eastAsia="zh-CN"/>
        </w:rPr>
        <w:t>单位</w:t>
      </w:r>
      <w:r>
        <w:rPr>
          <w:rFonts w:hint="eastAsia" w:ascii="仿宋" w:hAnsi="仿宋" w:eastAsia="仿宋" w:cs="仿宋"/>
          <w:sz w:val="32"/>
          <w:szCs w:val="32"/>
        </w:rPr>
        <w:t>行业发展规划和相关政策、制度的研究制订工作；（2）负责农业综合开发项目资金的审核和验收工作，负责农发有偿资金及支农周转金的清理回收及相关报表工作；（3）研究拟定农口</w:t>
      </w:r>
      <w:r>
        <w:rPr>
          <w:rFonts w:hint="eastAsia" w:ascii="仿宋" w:hAnsi="仿宋" w:eastAsia="仿宋" w:cs="仿宋"/>
          <w:sz w:val="32"/>
          <w:szCs w:val="32"/>
          <w:lang w:eastAsia="zh-CN"/>
        </w:rPr>
        <w:t>单位</w:t>
      </w:r>
      <w:r>
        <w:rPr>
          <w:rFonts w:hint="eastAsia" w:ascii="仿宋" w:hAnsi="仿宋" w:eastAsia="仿宋" w:cs="仿宋"/>
          <w:sz w:val="32"/>
          <w:szCs w:val="32"/>
        </w:rPr>
        <w:t>、单位和乡镇的财务管理办法，并对县级农口</w:t>
      </w:r>
      <w:r>
        <w:rPr>
          <w:rFonts w:hint="eastAsia" w:ascii="仿宋" w:hAnsi="仿宋" w:eastAsia="仿宋" w:cs="仿宋"/>
          <w:sz w:val="32"/>
          <w:szCs w:val="32"/>
          <w:lang w:eastAsia="zh-CN"/>
        </w:rPr>
        <w:t>单位</w:t>
      </w:r>
      <w:r>
        <w:rPr>
          <w:rFonts w:hint="eastAsia" w:ascii="仿宋" w:hAnsi="仿宋" w:eastAsia="仿宋" w:cs="仿宋"/>
          <w:sz w:val="32"/>
          <w:szCs w:val="32"/>
        </w:rPr>
        <w:t>、单位和乡镇财政所的执行情况进行监督检查；（4）负责财政在全县农业领域的政策协调和项目安排，监督项目实施中的资金管理使用情况，对专项资金跟踪问效，并进行项目完成后的效益考核；（5）负责归口管理</w:t>
      </w:r>
      <w:r>
        <w:rPr>
          <w:rFonts w:hint="eastAsia" w:ascii="仿宋" w:hAnsi="仿宋" w:eastAsia="仿宋" w:cs="仿宋"/>
          <w:sz w:val="32"/>
          <w:szCs w:val="32"/>
          <w:lang w:eastAsia="zh-CN"/>
        </w:rPr>
        <w:t>单位</w:t>
      </w:r>
      <w:r>
        <w:rPr>
          <w:rFonts w:hint="eastAsia" w:ascii="仿宋" w:hAnsi="仿宋" w:eastAsia="仿宋" w:cs="仿宋"/>
          <w:sz w:val="32"/>
          <w:szCs w:val="32"/>
        </w:rPr>
        <w:t>、单位和乡镇财政所的年度正常预算执行分析和监督检查工作，审核有关财务、会计报表和年度财务决算；（6）参与研究全县农业发展、农村改革政策和法规；拟定财政支农政策，确定财政支农资金投向政策的农业产业重点、地区重点及管理办法；（7）参与管理和分配财政扶贫资金、扶贫贷款、乡镇企业政策性贷款的贴息资金、农业综合开发资金；（8）负责全县利用世界银行及其他国际金融组织和外国政府贷款的前期准备、项目执行、还款管理、定期检查和回收工作及相关决算报表；（9）负责全县乡镇财政所人员、财务等管理工作；（10）负责全县能繁母猪及奶牛等补贴资金的安排、发放和督查工作。（11）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2、对口：市局农业处、涉外处。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w:t>
      </w:r>
      <w:r>
        <w:rPr>
          <w:rFonts w:hint="eastAsia" w:ascii="仿宋" w:hAnsi="仿宋" w:eastAsia="仿宋" w:cs="仿宋"/>
          <w:sz w:val="32"/>
          <w:szCs w:val="32"/>
          <w:lang w:eastAsia="zh-CN"/>
        </w:rPr>
        <w:t>单位</w:t>
      </w:r>
      <w:r>
        <w:rPr>
          <w:rFonts w:hint="eastAsia" w:ascii="仿宋" w:hAnsi="仿宋" w:eastAsia="仿宋" w:cs="仿宋"/>
          <w:sz w:val="32"/>
          <w:szCs w:val="32"/>
        </w:rPr>
        <w:t>和单位为：农开办、农业区划办、水务局、水资办、农业局、畜牧局、农机局、林业局、企业局、农协办、高新技术园区、各乡镇农口差补工资。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（十一）、社保科职责范围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1、主要任务及职责：主要任务：根据国家和省、市有关政策，拟定社会保障财务管理办法；负责办理县级社会保障专项资金（基金）业务，并对资金使用情况进行管理监督；负责县级社会保障</w:t>
      </w:r>
      <w:r>
        <w:rPr>
          <w:rFonts w:hint="eastAsia" w:ascii="仿宋" w:hAnsi="仿宋" w:eastAsia="仿宋" w:cs="仿宋"/>
          <w:sz w:val="32"/>
          <w:szCs w:val="32"/>
          <w:lang w:eastAsia="zh-CN"/>
        </w:rPr>
        <w:t>单位</w:t>
      </w:r>
      <w:r>
        <w:rPr>
          <w:rFonts w:hint="eastAsia" w:ascii="仿宋" w:hAnsi="仿宋" w:eastAsia="仿宋" w:cs="仿宋"/>
          <w:sz w:val="32"/>
          <w:szCs w:val="32"/>
        </w:rPr>
        <w:t>及所属企事业单位年度预算执行分析及监督检查工作；负责审核归口管理</w:t>
      </w:r>
      <w:r>
        <w:rPr>
          <w:rFonts w:hint="eastAsia" w:ascii="仿宋" w:hAnsi="仿宋" w:eastAsia="仿宋" w:cs="仿宋"/>
          <w:sz w:val="32"/>
          <w:szCs w:val="32"/>
          <w:lang w:eastAsia="zh-CN"/>
        </w:rPr>
        <w:t>单位</w:t>
      </w:r>
      <w:r>
        <w:rPr>
          <w:rFonts w:hint="eastAsia" w:ascii="仿宋" w:hAnsi="仿宋" w:eastAsia="仿宋" w:cs="仿宋"/>
          <w:sz w:val="32"/>
          <w:szCs w:val="32"/>
        </w:rPr>
        <w:t>有关年度财务会计报表和年度财务决算；参与研究社会保障制度改革。</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其职责如下：（1）负责编制县级社会保障</w:t>
      </w:r>
      <w:r>
        <w:rPr>
          <w:rFonts w:hint="eastAsia" w:ascii="仿宋" w:hAnsi="仿宋" w:eastAsia="仿宋" w:cs="仿宋"/>
          <w:sz w:val="32"/>
          <w:szCs w:val="32"/>
          <w:lang w:eastAsia="zh-CN"/>
        </w:rPr>
        <w:t>单位</w:t>
      </w:r>
      <w:r>
        <w:rPr>
          <w:rFonts w:hint="eastAsia" w:ascii="仿宋" w:hAnsi="仿宋" w:eastAsia="仿宋" w:cs="仿宋"/>
          <w:sz w:val="32"/>
          <w:szCs w:val="32"/>
        </w:rPr>
        <w:t>和单位资金预算，按预算安排的重点及顺序组织实施；（2）具体负责归口管理</w:t>
      </w:r>
      <w:r>
        <w:rPr>
          <w:rFonts w:hint="eastAsia" w:ascii="仿宋" w:hAnsi="仿宋" w:eastAsia="仿宋" w:cs="仿宋"/>
          <w:sz w:val="32"/>
          <w:szCs w:val="32"/>
          <w:lang w:eastAsia="zh-CN"/>
        </w:rPr>
        <w:t>单位</w:t>
      </w:r>
      <w:r>
        <w:rPr>
          <w:rFonts w:hint="eastAsia" w:ascii="仿宋" w:hAnsi="仿宋" w:eastAsia="仿宋" w:cs="仿宋"/>
          <w:sz w:val="32"/>
          <w:szCs w:val="32"/>
        </w:rPr>
        <w:t>和单位涉及财政、财务的有关事宜；（3）对专项资金跟踪问效，监督项目实施中资金的管理使用情况，并进行项目完成后的效益考核；（4）规范财务规章制度管理，对归口管理的社会保障</w:t>
      </w:r>
      <w:r>
        <w:rPr>
          <w:rFonts w:hint="eastAsia" w:ascii="仿宋" w:hAnsi="仿宋" w:eastAsia="仿宋" w:cs="仿宋"/>
          <w:sz w:val="32"/>
          <w:szCs w:val="32"/>
          <w:lang w:eastAsia="zh-CN"/>
        </w:rPr>
        <w:t>单位</w:t>
      </w:r>
      <w:r>
        <w:rPr>
          <w:rFonts w:hint="eastAsia" w:ascii="仿宋" w:hAnsi="仿宋" w:eastAsia="仿宋" w:cs="仿宋"/>
          <w:sz w:val="32"/>
          <w:szCs w:val="32"/>
        </w:rPr>
        <w:t>、单位的财务和各类社会保障资金进行审核与监督；（5）负责归口管理</w:t>
      </w:r>
      <w:r>
        <w:rPr>
          <w:rFonts w:hint="eastAsia" w:ascii="仿宋" w:hAnsi="仿宋" w:eastAsia="仿宋" w:cs="仿宋"/>
          <w:sz w:val="32"/>
          <w:szCs w:val="32"/>
          <w:lang w:eastAsia="zh-CN"/>
        </w:rPr>
        <w:t>单位</w:t>
      </w:r>
      <w:r>
        <w:rPr>
          <w:rFonts w:hint="eastAsia" w:ascii="仿宋" w:hAnsi="仿宋" w:eastAsia="仿宋" w:cs="仿宋"/>
          <w:sz w:val="32"/>
          <w:szCs w:val="32"/>
        </w:rPr>
        <w:t>、单位的年度正常预算执行分析和监督审核工作，编制有关财务、会计报表和年度财务决算；（6）研究归口管理</w:t>
      </w:r>
      <w:r>
        <w:rPr>
          <w:rFonts w:hint="eastAsia" w:ascii="仿宋" w:hAnsi="仿宋" w:eastAsia="仿宋" w:cs="仿宋"/>
          <w:sz w:val="32"/>
          <w:szCs w:val="32"/>
          <w:lang w:eastAsia="zh-CN"/>
        </w:rPr>
        <w:t>单位</w:t>
      </w:r>
      <w:r>
        <w:rPr>
          <w:rFonts w:hint="eastAsia" w:ascii="仿宋" w:hAnsi="仿宋" w:eastAsia="仿宋" w:cs="仿宋"/>
          <w:sz w:val="32"/>
          <w:szCs w:val="32"/>
        </w:rPr>
        <w:t>、单位的预算支出改革，提出优化支出结构的政策建议；（7）完成领导交办的其它各项任务。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2、对口：市局社保处。</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3、归口管理的</w:t>
      </w:r>
      <w:r>
        <w:rPr>
          <w:rFonts w:hint="eastAsia" w:ascii="仿宋" w:hAnsi="仿宋" w:eastAsia="仿宋" w:cs="仿宋"/>
          <w:sz w:val="32"/>
          <w:szCs w:val="32"/>
          <w:lang w:eastAsia="zh-CN"/>
        </w:rPr>
        <w:t>单位</w:t>
      </w:r>
      <w:r>
        <w:rPr>
          <w:rFonts w:hint="eastAsia" w:ascii="仿宋" w:hAnsi="仿宋" w:eastAsia="仿宋" w:cs="仿宋"/>
          <w:sz w:val="32"/>
          <w:szCs w:val="32"/>
        </w:rPr>
        <w:t>和单位为：老干部局、民政局（火化场、光荣院、殡葬服务）、劳动和社会保障局（社会保障中心）、残疾人联合会、卫生局、疾控中心、卫生监督所、妇幼保健站、县医院、中医院。</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（十二）、金融科职责范围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参与全县产业政策的研究，研究国家与企业分配改革，监督执行《企业财务通则》；负责归口单位专项资金支出预算管理建议，并监督项目实施中资金的管理使用情况并进行完成后的效益考核；负责国有企业各种报表的收集、审核、汇总（包括国有企业的月报表、季报表、产权登记报表、年终决算报表及其他有关报表）和全县城镇集体企业、集体金融企业的年终决算报表的收集、审核、汇总。</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参与产业结构调整，提出有关政策、建议或措施；（2）掌握全县国有经济发展的基本情况，参与行业发展规划和相关政策、制度的研究制订工作；（3）监督执行《企业财务通则》，拟定相应的企业财务制度并实施监管；（4）负责退耕还林、粮食直补及综合直补资金的发放管理，负责全县农业保险及无害化处理工作；（5）负责上报归口单位的基本建设项目，争取上级资金，并对建设项目资金管理使用情况进行监督检查，进行项目完成后的施工验收和效益考核；（6）负责全县国有企业的授权经营，并对其运营状况进行监管；（7）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2、对口：市局企业处、市局经济建设处。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（十三）、会计科职责范围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根据《会计法》、《注册会计师法》、会计准则、行业会计制度等法规，对全县会计人员进行管理；指导和管理社会审计和评估工作；开展会计诚信建设，督导会计信息质量；组织和管理会计人员业务培训，以专业技术职务管理、会计证管理、电算化管理等手段加强会计基础工作规范和会计建设。</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管理全县会计工作和会计人员，拟定全县会计改革与发展规划，研究和提出加强会计工作的政策和建议；（2）组织贯彻实施国家《会计法》、会计制度和会计准则；（3）指导和管理社会审计工作；（4）负责对会计执业人员的监督管理工作；（5）拟定和实施全县会计人员监督管理的有关办法；（6）负责组织全县会计职称资格考试、会计从业资格考试；（7）负责全县会计基础规范化工作；（8）指导、管理并具体负责资产的评估工作；（9）组织开展会计法执行情况检查；（10）办理会计证年检和会计证发放；（11）表彰和奖励会计工作先进集体和优秀会计人员，负责受理涉及打击报复会计人员的人们来信和来访；（12）办理领导交办的其他事项。</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2、对口：市局会计处。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（十四）、国有资产管理科职责范围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制订全县国有企业、行政事业单位的国有资产管理的规章制度；负责全县国有企业月报及决算工作；监督执行企业和行政事业单位国有资产管理的各项法规、规章制度，组织实施全县各类国有资产权属的界定、登记、年检、转让及变现、改制；指导全县资产评估工作；具体牵头研究拟定行政事业单位国有资产管理的规章制度，组织全县行政事业单位国有资产的管理、权属界定、产权登记、转让、年检、纠纷调处和国有资产的变现、报废工作；贯彻执行清产核资的有关制度、办法，组织实施全县清产核资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其职责如下：（1）贯彻国家有关国有资产管理的方针政策和规章制度，组织国有资产管理理论研究，拟定国有资产管理体制改革方案，提出加强国有资产基础管理工作的合理化建议；（2）在县政府的领导下，组织实施全县国有资本金权属界定、产权登记、转让、处置以及统计、分析等国有资产监管工作，负责全县非经营性国有资产的管理；（3）负责县级各类国有资产权属的界定、登记、年检和转让及变现工作；（4）对非经营性资产转经营性资产进行审批管理，收缴国有资产占用费；（5）负责全县国有资产流失举报案件的受理、查处工作；（6）负责我县国有企业的产权登记报表的收集、审核、汇总上报；（7）管理和指导全县产权交易工作；（8）负责我县国有企业的资产评估项目的立项、确认及企业清算工作的立项、确认；（9）建立全县公共资源统计评价指标体系及确定评价标准系数，对全县国有资产经营绩效进行评价和保值增值考核；（10）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2、对口：市产权交易中心、市国资委统计评价处。</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（十五）、编审中心职责范围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负责全县财政供养人员工资发放银行化工作。（2）负责全县财政供养人员一次性抚恤金及丧葬费审核及发放。（3）负责全县财政供养人员和享受遗属补助人员指纹信息系统管理，以及年检指纹比对工作。（4）负责财政供养人员统计评价系统维护管理及数字上报工作。（5）完成局领导交办的其他各项工作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2、对口：市局编审中心。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（十六）、政府采购职责范围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主要任务：负责本级政府采购的具体组织实施工作。其职责如下：（1）组织实施集中采购；（2）接受采购机关委托代理采购或组织招标事宜；（3）建立与本级政府采购相适应的信息系统；（4）负责管理政府采购项目文件档案，负责机构内部工作人员的教育、培训和考核；（5）受理和处理供应商的询问或者质疑，并在规定时间内给予答复；（6）办理其他有关政府采购事务；（7）办理领导交办的其他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2、对口：市局采购办。</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（十七）、控购管理办公室职责范围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1、主要任务及职责：（1）贯彻国家的控购管理政策，负责小汽车的编制管理工作；（2）按照小汽车控购的规定及核定的配备标准，申报和办理控购审批手续；（3）完成局领导交办的其他各项任务。</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
          <w:sz w:val="32"/>
          <w:szCs w:val="32"/>
        </w:rPr>
        <w:t>2、对口：市局控购办。</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（十八）、投资评审中心职责范围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和职责：（1）审查财政性投资项目的工程概、预、竣工决（结）算，参与项目招标、工程设备采购工作；（2）评估财政性投资的基本建设、技术改造、国土资源勘探等项目，负责出具评审报告；（3）根据纪检、监察、财政</w:t>
      </w:r>
      <w:r>
        <w:rPr>
          <w:rFonts w:hint="eastAsia" w:ascii="仿宋" w:hAnsi="仿宋" w:eastAsia="仿宋" w:cs="仿宋"/>
          <w:sz w:val="32"/>
          <w:szCs w:val="32"/>
          <w:lang w:eastAsia="zh-CN"/>
        </w:rPr>
        <w:t>单位</w:t>
      </w:r>
      <w:r>
        <w:rPr>
          <w:rFonts w:hint="eastAsia" w:ascii="仿宋" w:hAnsi="仿宋" w:eastAsia="仿宋" w:cs="仿宋"/>
          <w:sz w:val="32"/>
          <w:szCs w:val="32"/>
        </w:rPr>
        <w:t>查办财政性投资项目中违法违纪案件的需要，提供评审报告；（4）开展政府财政投资政策、项目管理研究，指导基建财务管理、投资风险、投资效益分析，为实施财政投资政策和宏观调控决策提供基础信息服务；（5）配合建设项目有关管理</w:t>
      </w:r>
      <w:r>
        <w:rPr>
          <w:rFonts w:hint="eastAsia" w:ascii="仿宋" w:hAnsi="仿宋" w:eastAsia="仿宋" w:cs="仿宋"/>
          <w:sz w:val="32"/>
          <w:szCs w:val="32"/>
          <w:lang w:eastAsia="zh-CN"/>
        </w:rPr>
        <w:t>单位</w:t>
      </w:r>
      <w:r>
        <w:rPr>
          <w:rFonts w:hint="eastAsia" w:ascii="仿宋" w:hAnsi="仿宋" w:eastAsia="仿宋" w:cs="仿宋"/>
          <w:sz w:val="32"/>
          <w:szCs w:val="32"/>
        </w:rPr>
        <w:t>进行工程造价控制、工程进度、质量监督和竣工验收工作；（6）完成领导交办的其它各项任务。</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2、对口：市局投资评审中心。</w:t>
      </w:r>
    </w:p>
    <w:p>
      <w:pPr>
        <w:widowControl/>
        <w:spacing w:line="360" w:lineRule="auto"/>
        <w:ind w:firstLine="643"/>
        <w:jc w:val="left"/>
        <w:rPr>
          <w:rFonts w:ascii="仿宋" w:hAnsi="仿宋" w:eastAsia="仿宋" w:cs="仿宋"/>
          <w:b/>
          <w:sz w:val="32"/>
          <w:szCs w:val="32"/>
        </w:rPr>
      </w:pPr>
      <w:r>
        <w:rPr>
          <w:rFonts w:hint="eastAsia" w:ascii="仿宋" w:hAnsi="仿宋" w:eastAsia="仿宋" w:cs="仿宋"/>
          <w:b/>
          <w:sz w:val="32"/>
          <w:szCs w:val="32"/>
        </w:rPr>
        <w:t>（十九）、信息中心职责范围</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1、主要任务及职责：（1）研究制订财政系统信息化建设发展规划，组织和建设“金财工程”，负责县级联网的总体规划和组织实施；（2）统一管理各种信息资源，负责网络的安全运行；（3）负责财政系统各类计算机应用软件的推广，促进财政系统实现办公自动化；（4）负责指导财政系统计算机应用，组织计算机技术培训；（5）负责指导本系统计算机和现代化办公设备的选型和购置，负责机关各科室计算机耗材的供应与管理。</w:t>
      </w:r>
    </w:p>
    <w:p>
      <w:pPr>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2、对口：市局信息中心。</w:t>
      </w:r>
    </w:p>
    <w:p>
      <w:pPr>
        <w:widowControl/>
        <w:spacing w:line="360" w:lineRule="auto"/>
        <w:ind w:firstLine="643"/>
        <w:jc w:val="left"/>
        <w:rPr>
          <w:rFonts w:ascii="仿宋" w:hAnsi="仿宋" w:eastAsia="仿宋" w:cs="Calibri"/>
          <w:b/>
          <w:kern w:val="0"/>
          <w:sz w:val="32"/>
          <w:szCs w:val="32"/>
        </w:rPr>
      </w:pPr>
      <w:r>
        <w:rPr>
          <w:rFonts w:hint="eastAsia" w:ascii="仿宋" w:hAnsi="仿宋" w:eastAsia="仿宋" w:cs="Calibri"/>
          <w:b/>
          <w:kern w:val="0"/>
          <w:sz w:val="32"/>
          <w:szCs w:val="32"/>
        </w:rPr>
        <w:t xml:space="preserve">    内设</w:t>
      </w:r>
      <w:r>
        <w:rPr>
          <w:rFonts w:ascii="仿宋" w:hAnsi="仿宋" w:eastAsia="仿宋" w:cs="Calibri"/>
          <w:b/>
          <w:kern w:val="0"/>
          <w:sz w:val="32"/>
          <w:szCs w:val="32"/>
        </w:rPr>
        <w:t>机构</w:t>
      </w:r>
      <w:r>
        <w:rPr>
          <w:rFonts w:hint="eastAsia" w:ascii="仿宋" w:hAnsi="仿宋" w:eastAsia="仿宋" w:cs="Calibri"/>
          <w:b/>
          <w:kern w:val="0"/>
          <w:sz w:val="32"/>
          <w:szCs w:val="32"/>
        </w:rPr>
        <w:t>及职责</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成安县财政局预算编码318下设个科室:318002成安县财政局机关、财政局预算科、财政局国库科、财政局编审中心、财政局社保科、财政局农财科、财政局</w:t>
      </w:r>
      <w:r>
        <w:rPr>
          <w:rFonts w:hint="eastAsia" w:ascii="仿宋" w:hAnsi="仿宋" w:eastAsia="仿宋" w:cs="仿宋"/>
          <w:bCs/>
          <w:kern w:val="0"/>
          <w:sz w:val="32"/>
          <w:szCs w:val="32"/>
          <w:lang w:val="en-US" w:eastAsia="zh-CN"/>
        </w:rPr>
        <w:t>金融</w:t>
      </w:r>
      <w:r>
        <w:rPr>
          <w:rFonts w:hint="eastAsia" w:ascii="仿宋" w:hAnsi="仿宋" w:eastAsia="仿宋" w:cs="仿宋"/>
          <w:bCs/>
          <w:kern w:val="0"/>
          <w:sz w:val="32"/>
          <w:szCs w:val="32"/>
        </w:rPr>
        <w:t>科、财政局政府采购、财政局资环科、财政局行政政法科、财政局教科文科</w:t>
      </w:r>
      <w:r>
        <w:rPr>
          <w:rFonts w:hint="eastAsia" w:ascii="仿宋" w:hAnsi="仿宋" w:eastAsia="仿宋" w:cs="仿宋"/>
          <w:bCs/>
          <w:kern w:val="0"/>
          <w:sz w:val="32"/>
          <w:szCs w:val="32"/>
          <w:lang w:eastAsia="zh-CN"/>
        </w:rPr>
        <w:t>、</w:t>
      </w:r>
      <w:r>
        <w:rPr>
          <w:rFonts w:hint="eastAsia" w:ascii="仿宋" w:hAnsi="仿宋" w:eastAsia="仿宋" w:cs="仿宋"/>
          <w:bCs/>
          <w:kern w:val="0"/>
          <w:sz w:val="32"/>
          <w:szCs w:val="32"/>
          <w:lang w:val="en-US" w:eastAsia="zh-CN"/>
        </w:rPr>
        <w:t>财政局绩效科</w:t>
      </w:r>
      <w:r>
        <w:rPr>
          <w:rFonts w:hint="eastAsia" w:ascii="仿宋" w:hAnsi="仿宋" w:eastAsia="仿宋" w:cs="仿宋"/>
          <w:bCs/>
          <w:kern w:val="0"/>
          <w:sz w:val="32"/>
          <w:szCs w:val="32"/>
        </w:rPr>
        <w:t>。</w:t>
      </w:r>
    </w:p>
    <w:p>
      <w:pPr>
        <w:widowControl/>
        <w:spacing w:line="360" w:lineRule="auto"/>
        <w:ind w:firstLine="643"/>
        <w:jc w:val="left"/>
        <w:rPr>
          <w:rFonts w:ascii="仿宋" w:hAnsi="仿宋" w:eastAsia="仿宋" w:cs="Calibri"/>
          <w:b/>
          <w:kern w:val="0"/>
          <w:sz w:val="32"/>
          <w:szCs w:val="32"/>
        </w:rPr>
      </w:pPr>
      <w:r>
        <w:rPr>
          <w:rFonts w:hint="eastAsia" w:ascii="仿宋" w:hAnsi="仿宋" w:eastAsia="仿宋" w:cs="Calibri"/>
          <w:b/>
          <w:kern w:val="0"/>
          <w:sz w:val="32"/>
          <w:szCs w:val="32"/>
        </w:rPr>
        <w:t xml:space="preserve">   人员编制和领导职数</w:t>
      </w:r>
    </w:p>
    <w:p>
      <w:pPr>
        <w:widowControl/>
        <w:spacing w:line="360" w:lineRule="auto"/>
        <w:ind w:firstLine="640"/>
        <w:jc w:val="left"/>
        <w:rPr>
          <w:rFonts w:ascii="仿宋" w:hAnsi="仿宋" w:eastAsia="仿宋" w:cs="仿宋"/>
          <w:bCs/>
          <w:kern w:val="0"/>
          <w:sz w:val="32"/>
          <w:szCs w:val="32"/>
        </w:rPr>
      </w:pPr>
      <w:r>
        <w:rPr>
          <w:rFonts w:hint="eastAsia" w:ascii="仿宋" w:hAnsi="仿宋" w:eastAsia="仿宋" w:cs="仿宋"/>
          <w:bCs/>
          <w:kern w:val="0"/>
          <w:sz w:val="32"/>
          <w:szCs w:val="32"/>
        </w:rPr>
        <w:t>成安县财政局，人员编制91名，其中领导职数5个。</w:t>
      </w:r>
    </w:p>
    <w:p>
      <w:pPr>
        <w:autoSpaceDE w:val="0"/>
        <w:autoSpaceDN w:val="0"/>
        <w:adjustRightInd w:val="0"/>
        <w:ind w:firstLine="643"/>
        <w:jc w:val="left"/>
        <w:rPr>
          <w:rFonts w:ascii="方正仿宋_GBK" w:hAnsi="Times New Roman" w:eastAsia="方正仿宋_GBK" w:cs="Times New Roman"/>
          <w:b/>
          <w:bCs/>
          <w:sz w:val="32"/>
          <w:szCs w:val="32"/>
        </w:rPr>
      </w:pPr>
      <w:r>
        <w:rPr>
          <w:rFonts w:hint="eastAsia" w:ascii="方正仿宋_GBK" w:hAnsi="Times New Roman" w:eastAsia="方正仿宋_GBK" w:cs="方正仿宋_GBK"/>
          <w:b/>
          <w:bCs/>
          <w:sz w:val="32"/>
          <w:szCs w:val="32"/>
        </w:rPr>
        <w:t>机构设置：</w:t>
      </w:r>
    </w:p>
    <w:p>
      <w:pPr>
        <w:ind w:firstLine="640"/>
        <w:jc w:val="center"/>
        <w:outlineLvl w:val="0"/>
        <w:rPr>
          <w:rFonts w:ascii="Times New Roman" w:hAnsi="Times New Roman" w:eastAsia="方正小标宋_GBK" w:cs="Times New Roman"/>
          <w:sz w:val="32"/>
          <w:szCs w:val="32"/>
        </w:rPr>
      </w:pPr>
      <w:r>
        <w:rPr>
          <w:rFonts w:hint="eastAsia" w:ascii="Times New Roman" w:hAnsi="Times New Roman" w:eastAsia="方正小标宋_GBK" w:cs="方正小标宋_GBK"/>
          <w:sz w:val="32"/>
          <w:szCs w:val="32"/>
          <w:lang w:eastAsia="zh-CN"/>
        </w:rPr>
        <w:t>单位</w:t>
      </w:r>
      <w:r>
        <w:rPr>
          <w:rFonts w:hint="eastAsia" w:ascii="Times New Roman" w:hAnsi="Times New Roman" w:eastAsia="方正小标宋_GBK" w:cs="方正小标宋_GBK"/>
          <w:sz w:val="32"/>
          <w:szCs w:val="32"/>
        </w:rPr>
        <w:t>机构设置情况</w:t>
      </w:r>
    </w:p>
    <w:tbl>
      <w:tblPr>
        <w:tblStyle w:val="4"/>
        <w:tblW w:w="86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tblHeader/>
          <w:jc w:val="center"/>
        </w:trPr>
        <w:tc>
          <w:tcPr>
            <w:tcW w:w="3317" w:type="dxa"/>
            <w:vAlign w:val="center"/>
          </w:tcPr>
          <w:p>
            <w:pPr>
              <w:spacing w:line="300" w:lineRule="exact"/>
              <w:ind w:firstLine="422"/>
              <w:jc w:val="center"/>
              <w:rPr>
                <w:rFonts w:ascii="宋体" w:hAnsi="宋体" w:eastAsia="宋体" w:cs="Times New Roman"/>
                <w:b/>
                <w:bCs/>
              </w:rPr>
            </w:pPr>
            <w:r>
              <w:rPr>
                <w:rFonts w:hint="eastAsia" w:ascii="宋体" w:hAnsi="宋体" w:eastAsia="宋体" w:cs="方正书宋_GBK"/>
                <w:b/>
                <w:bCs/>
              </w:rPr>
              <w:t>单位名称</w:t>
            </w:r>
          </w:p>
        </w:tc>
        <w:tc>
          <w:tcPr>
            <w:tcW w:w="1134" w:type="dxa"/>
            <w:vAlign w:val="center"/>
          </w:tcPr>
          <w:p>
            <w:pPr>
              <w:spacing w:line="300" w:lineRule="exact"/>
              <w:ind w:firstLine="0" w:firstLineChars="0"/>
              <w:rPr>
                <w:rFonts w:ascii="宋体" w:hAnsi="宋体" w:eastAsia="宋体" w:cs="Times New Roman"/>
                <w:b/>
                <w:bCs/>
              </w:rPr>
            </w:pPr>
            <w:r>
              <w:rPr>
                <w:rFonts w:hint="eastAsia" w:ascii="宋体" w:hAnsi="宋体" w:eastAsia="宋体" w:cs="方正书宋_GBK"/>
                <w:b/>
                <w:bCs/>
              </w:rPr>
              <w:t>单位性质</w:t>
            </w:r>
          </w:p>
        </w:tc>
        <w:tc>
          <w:tcPr>
            <w:tcW w:w="1276" w:type="dxa"/>
            <w:vAlign w:val="center"/>
          </w:tcPr>
          <w:p>
            <w:pPr>
              <w:spacing w:line="300" w:lineRule="exact"/>
              <w:ind w:firstLine="0" w:firstLineChars="0"/>
              <w:rPr>
                <w:rFonts w:ascii="宋体" w:hAnsi="宋体" w:eastAsia="宋体" w:cs="Times New Roman"/>
                <w:b/>
                <w:bCs/>
              </w:rPr>
            </w:pPr>
            <w:r>
              <w:rPr>
                <w:rFonts w:hint="eastAsia" w:ascii="宋体" w:hAnsi="宋体" w:eastAsia="宋体" w:cs="方正书宋_GBK"/>
                <w:b/>
                <w:bCs/>
              </w:rPr>
              <w:t>单位规格</w:t>
            </w:r>
          </w:p>
        </w:tc>
        <w:tc>
          <w:tcPr>
            <w:tcW w:w="2902" w:type="dxa"/>
            <w:vAlign w:val="center"/>
          </w:tcPr>
          <w:p>
            <w:pPr>
              <w:spacing w:line="300" w:lineRule="exact"/>
              <w:ind w:firstLine="422"/>
              <w:jc w:val="center"/>
              <w:rPr>
                <w:rFonts w:ascii="宋体" w:hAnsi="宋体" w:eastAsia="宋体" w:cs="Times New Roman"/>
                <w:b/>
                <w:bCs/>
              </w:rPr>
            </w:pPr>
            <w:r>
              <w:rPr>
                <w:rFonts w:hint="eastAsia" w:ascii="宋体" w:hAnsi="宋体" w:eastAsia="宋体" w:cs="方正书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3317" w:type="dxa"/>
            <w:vAlign w:val="center"/>
          </w:tcPr>
          <w:p>
            <w:pPr>
              <w:spacing w:line="300" w:lineRule="exact"/>
              <w:ind w:firstLine="420"/>
              <w:jc w:val="left"/>
              <w:rPr>
                <w:rFonts w:ascii="Times New Roman" w:hAnsi="Times New Roman" w:eastAsia="方正书宋_GBK" w:cs="Times New Roman"/>
              </w:rPr>
            </w:pPr>
            <w:r>
              <w:rPr>
                <w:rFonts w:hint="eastAsia" w:ascii="宋体" w:hAnsi="宋体" w:eastAsia="宋体" w:cs="宋体"/>
              </w:rPr>
              <w:t>成安县财政局</w:t>
            </w:r>
          </w:p>
        </w:tc>
        <w:tc>
          <w:tcPr>
            <w:tcW w:w="1134" w:type="dxa"/>
            <w:vAlign w:val="center"/>
          </w:tcPr>
          <w:p>
            <w:pPr>
              <w:spacing w:line="300" w:lineRule="exact"/>
              <w:ind w:firstLine="0" w:firstLineChars="0"/>
              <w:jc w:val="left"/>
              <w:rPr>
                <w:rFonts w:ascii="Times New Roman" w:hAnsi="Times New Roman" w:eastAsia="方正书宋_GBK" w:cs="Times New Roman"/>
              </w:rPr>
            </w:pPr>
            <w:r>
              <w:rPr>
                <w:rFonts w:hint="eastAsia" w:ascii="宋体" w:hAnsi="宋体" w:eastAsia="宋体" w:cs="宋体"/>
              </w:rPr>
              <w:t>行政事业</w:t>
            </w:r>
          </w:p>
        </w:tc>
        <w:tc>
          <w:tcPr>
            <w:tcW w:w="1276" w:type="dxa"/>
            <w:vAlign w:val="center"/>
          </w:tcPr>
          <w:p>
            <w:pPr>
              <w:spacing w:line="300" w:lineRule="exact"/>
              <w:ind w:firstLine="420"/>
              <w:jc w:val="left"/>
              <w:rPr>
                <w:rFonts w:ascii="Times New Roman" w:hAnsi="Times New Roman" w:eastAsia="宋体" w:cs="Times New Roman"/>
              </w:rPr>
            </w:pPr>
            <w:r>
              <w:rPr>
                <w:rFonts w:hint="eastAsia" w:ascii="宋体" w:hAnsi="宋体" w:eastAsia="宋体" w:cs="宋体"/>
              </w:rPr>
              <w:t>正科级</w:t>
            </w:r>
          </w:p>
        </w:tc>
        <w:tc>
          <w:tcPr>
            <w:tcW w:w="2902" w:type="dxa"/>
            <w:vAlign w:val="center"/>
          </w:tcPr>
          <w:p>
            <w:pPr>
              <w:spacing w:line="300" w:lineRule="exact"/>
              <w:ind w:firstLine="420"/>
              <w:jc w:val="left"/>
              <w:rPr>
                <w:rFonts w:ascii="Times New Roman" w:hAnsi="Times New Roman" w:eastAsia="方正书宋_GBK" w:cs="Times New Roman"/>
              </w:rPr>
            </w:pPr>
            <w:r>
              <w:rPr>
                <w:rFonts w:hint="eastAsia" w:ascii="宋体" w:hAnsi="宋体" w:eastAsia="宋体" w:cs="宋体"/>
              </w:rPr>
              <w:t>财政性资金基本保障</w:t>
            </w:r>
          </w:p>
        </w:tc>
      </w:tr>
    </w:tbl>
    <w:p>
      <w:pPr>
        <w:spacing w:line="560" w:lineRule="exact"/>
        <w:ind w:firstLine="640"/>
        <w:rPr>
          <w:rFonts w:ascii="黑体" w:hAnsi="黑体" w:eastAsia="黑体" w:cs="Times New Roman"/>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单位</w:t>
      </w:r>
      <w:r>
        <w:rPr>
          <w:rFonts w:hint="eastAsia" w:ascii="黑体" w:hAnsi="黑体" w:eastAsia="黑体" w:cs="黑体"/>
          <w:sz w:val="32"/>
          <w:szCs w:val="32"/>
        </w:rPr>
        <w:t>预算安排的总体情况</w:t>
      </w:r>
    </w:p>
    <w:p>
      <w:pPr>
        <w:spacing w:line="560" w:lineRule="exact"/>
        <w:ind w:firstLine="640"/>
        <w:rPr>
          <w:rFonts w:ascii="仿宋" w:hAnsi="仿宋" w:eastAsia="仿宋"/>
          <w:sz w:val="32"/>
          <w:szCs w:val="32"/>
        </w:rPr>
      </w:pPr>
      <w:r>
        <w:rPr>
          <w:rFonts w:hint="eastAsia" w:ascii="仿宋" w:hAnsi="仿宋" w:eastAsia="仿宋"/>
          <w:sz w:val="32"/>
          <w:szCs w:val="32"/>
        </w:rPr>
        <w:t>按照预算管理有关规定，目前我</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预算的编制实行综合预算制度，即全部收入和支出都反映在预算中。</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年预算收入1313.7万元，其中：一般公共预算收入1313.7万元，政府性基金收入0万元，国有资本经营收入0万元，事业收入0万元，其他收入0万元。</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w:t>
      </w:r>
      <w:r>
        <w:rPr>
          <w:rFonts w:hint="eastAsia" w:ascii="仿宋" w:hAnsi="仿宋" w:eastAsia="仿宋" w:cs="方正仿宋_GBK"/>
          <w:sz w:val="32"/>
          <w:szCs w:val="32"/>
        </w:rPr>
        <w:t>年支出预算1313.7万元，其中基本支出890.79万元，包括人员经费717.33万元和日常公用经费173.46万元；项目支出422.91万元。</w:t>
      </w:r>
    </w:p>
    <w:p>
      <w:pPr>
        <w:spacing w:line="560" w:lineRule="exact"/>
        <w:ind w:firstLine="643"/>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hint="eastAsia" w:ascii="仿宋" w:hAnsi="仿宋" w:eastAsia="仿宋" w:cs="Times New Roman"/>
          <w:sz w:val="32"/>
          <w:szCs w:val="32"/>
        </w:rPr>
        <w:t>2021年预算收支安排1313.7万元，2020</w:t>
      </w:r>
      <w:r>
        <w:rPr>
          <w:rFonts w:hint="eastAsia" w:ascii="仿宋" w:hAnsi="仿宋" w:eastAsia="仿宋" w:cs="方正仿宋_GBK"/>
          <w:sz w:val="32"/>
          <w:szCs w:val="32"/>
        </w:rPr>
        <w:t>年预算收支安排884.8万元，较</w:t>
      </w:r>
      <w:r>
        <w:rPr>
          <w:rFonts w:hint="eastAsia" w:ascii="仿宋" w:hAnsi="仿宋" w:eastAsia="仿宋" w:cs="Times New Roman"/>
          <w:sz w:val="32"/>
          <w:szCs w:val="32"/>
        </w:rPr>
        <w:t>2020</w:t>
      </w:r>
      <w:r>
        <w:rPr>
          <w:rFonts w:hint="eastAsia" w:ascii="仿宋" w:hAnsi="仿宋" w:eastAsia="仿宋" w:cs="方正仿宋_GBK"/>
          <w:sz w:val="32"/>
          <w:szCs w:val="32"/>
        </w:rPr>
        <w:t>年预算增加了428.9万元，主要原因是项目支出增加。</w:t>
      </w:r>
    </w:p>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widowControl/>
        <w:spacing w:line="360" w:lineRule="auto"/>
        <w:ind w:firstLine="640"/>
        <w:jc w:val="left"/>
        <w:rPr>
          <w:rFonts w:ascii="仿宋" w:hAnsi="仿宋" w:eastAsia="仿宋" w:cs="仿宋_GB2312"/>
          <w:kern w:val="0"/>
          <w:sz w:val="32"/>
          <w:szCs w:val="32"/>
        </w:rPr>
      </w:pPr>
      <w:r>
        <w:rPr>
          <w:rFonts w:hint="eastAsia" w:ascii="仿宋" w:hAnsi="仿宋" w:eastAsia="仿宋" w:cs="仿宋_GB2312"/>
          <w:kern w:val="0"/>
          <w:sz w:val="32"/>
          <w:szCs w:val="32"/>
        </w:rPr>
        <w:t>日常公用经费安排173.46万元，包括：办公费、差旅费、水费、电费、会议费、招待费、转移支付，其他支出等。</w:t>
      </w:r>
    </w:p>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widowControl/>
        <w:spacing w:line="360" w:lineRule="auto"/>
        <w:ind w:firstLine="640"/>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2021年度“三公”预算支出2万元，其中，因公出国（境）费0元，与2020年相持平；安排公务用车维护费2万元，（其中公务用车购置费0元，与上年扯平；公务用车运行维护费2万元），较上年下降50%。实行车补，合理安排支出，节约开支，油修费用预算安排减少。公务接待费0万元，与2020年相持平。</w:t>
      </w:r>
    </w:p>
    <w:p>
      <w:pPr>
        <w:spacing w:line="560" w:lineRule="exact"/>
        <w:ind w:firstLine="518" w:firstLineChars="162"/>
        <w:rPr>
          <w:rFonts w:ascii="黑体" w:hAnsi="黑体" w:eastAsia="黑体" w:cs="Times New Roman"/>
          <w:sz w:val="32"/>
          <w:szCs w:val="32"/>
        </w:rPr>
      </w:pPr>
      <w:r>
        <w:rPr>
          <w:rFonts w:hint="eastAsia" w:ascii="黑体" w:hAnsi="黑体" w:eastAsia="黑体" w:cs="黑体"/>
          <w:sz w:val="32"/>
          <w:szCs w:val="32"/>
        </w:rPr>
        <w:t>五、绩效预算信息</w:t>
      </w:r>
    </w:p>
    <w:p>
      <w:pPr>
        <w:widowControl/>
        <w:snapToGrid w:val="0"/>
        <w:spacing w:line="360" w:lineRule="auto"/>
        <w:ind w:firstLine="630" w:firstLineChars="196"/>
        <w:jc w:val="left"/>
        <w:rPr>
          <w:rFonts w:ascii="宋体" w:hAnsi="宋体" w:eastAsia="宋体" w:cs="宋体"/>
          <w:color w:val="000000"/>
          <w:kern w:val="0"/>
          <w:sz w:val="24"/>
          <w:szCs w:val="24"/>
        </w:rPr>
      </w:pPr>
      <w:bookmarkStart w:id="0" w:name="_Toc471398463"/>
      <w:r>
        <w:rPr>
          <w:rFonts w:hint="eastAsia" w:ascii="Calibri" w:hAnsi="Calibri" w:eastAsia="楷体_GB2312" w:cs="宋体"/>
          <w:b/>
          <w:color w:val="000000"/>
          <w:kern w:val="0"/>
          <w:sz w:val="32"/>
          <w:szCs w:val="32"/>
        </w:rPr>
        <w:t>（一）总体绩效目标</w:t>
      </w:r>
    </w:p>
    <w:p>
      <w:pPr>
        <w:widowControl/>
        <w:snapToGrid w:val="0"/>
        <w:spacing w:line="360" w:lineRule="auto"/>
        <w:ind w:firstLine="640" w:firstLineChars="0"/>
        <w:jc w:val="left"/>
        <w:rPr>
          <w:rFonts w:ascii="宋体" w:hAnsi="宋体" w:eastAsia="宋体" w:cs="宋体"/>
          <w:color w:val="000000"/>
          <w:kern w:val="0"/>
          <w:sz w:val="24"/>
          <w:szCs w:val="24"/>
        </w:rPr>
      </w:pPr>
      <w:r>
        <w:rPr>
          <w:rFonts w:hint="eastAsia" w:ascii="仿宋_GB2312" w:hAnsi="宋体" w:eastAsia="仿宋_GB2312" w:cs="宋体"/>
          <w:color w:val="000000"/>
          <w:kern w:val="0"/>
          <w:sz w:val="32"/>
          <w:szCs w:val="32"/>
        </w:rPr>
        <w:t>紧紧围绕促进财政事业发展、落实县委市政府重要部署两大核心任务，以改革统揽全局，创新思路、强化举措，狠抓收支管理，狠抓改革推进，狠抓重点保障，狠抓发展支撑，以点带面、活跃全局，力保财政平稳运转，力推重大改革突破，力争民生持续改善，力促经济健康发展，全力以赴开创全县财政工作新局面。</w:t>
      </w:r>
    </w:p>
    <w:p>
      <w:pPr>
        <w:spacing w:beforeLines="50" w:afterLines="50"/>
        <w:ind w:firstLine="643"/>
        <w:jc w:val="left"/>
        <w:outlineLvl w:val="1"/>
        <w:rPr>
          <w:rFonts w:eastAsia="方正仿宋_GBK"/>
          <w:sz w:val="28"/>
        </w:rPr>
      </w:pPr>
      <w:bookmarkStart w:id="1" w:name="_Toc66451149"/>
      <w:r>
        <w:rPr>
          <w:rFonts w:hint="eastAsia" w:ascii="楷体" w:hAnsi="楷体" w:eastAsia="楷体" w:cs="楷体"/>
          <w:b/>
          <w:sz w:val="32"/>
          <w:szCs w:val="32"/>
        </w:rPr>
        <w:t>（二）分项绩效目标</w:t>
      </w:r>
      <w:bookmarkEnd w:id="1"/>
      <w:r>
        <w:fldChar w:fldCharType="begin"/>
      </w:r>
      <w:r>
        <w:rPr>
          <w:rFonts w:eastAsia="方正仿宋_GBK"/>
          <w:sz w:val="28"/>
        </w:rPr>
        <w:instrText xml:space="preserve"> </w:instrText>
      </w:r>
      <w:r>
        <w:rPr>
          <w:rFonts w:hint="eastAsia" w:eastAsia="方正仿宋_GBK"/>
          <w:sz w:val="28"/>
        </w:rPr>
        <w:instrText xml:space="preserve">TC 分项绩效目标 \f A \l 1</w:instrText>
      </w:r>
      <w:r>
        <w:rPr>
          <w:rFonts w:eastAsia="方正仿宋_GBK"/>
          <w:sz w:val="28"/>
        </w:rPr>
        <w:instrText xml:space="preserve"> </w:instrText>
      </w:r>
      <w:r>
        <w:rPr>
          <w:rFonts w:eastAsia="方正仿宋_GBK"/>
          <w:sz w:val="28"/>
        </w:rPr>
        <w:fldChar w:fldCharType="end"/>
      </w:r>
    </w:p>
    <w:p>
      <w:pPr>
        <w:ind w:firstLine="64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财政收入管理</w:t>
      </w:r>
    </w:p>
    <w:p>
      <w:pPr>
        <w:ind w:firstLine="640"/>
        <w:jc w:val="left"/>
        <w:rPr>
          <w:rFonts w:ascii="仿宋" w:hAnsi="仿宋" w:eastAsia="仿宋"/>
          <w:sz w:val="32"/>
          <w:szCs w:val="32"/>
        </w:rPr>
      </w:pPr>
      <w:r>
        <w:rPr>
          <w:rFonts w:ascii="仿宋" w:hAnsi="仿宋" w:eastAsia="仿宋"/>
          <w:sz w:val="32"/>
          <w:szCs w:val="32"/>
        </w:rPr>
        <w:t>加强非税收入政策宣传，督促各单位及时将收入入库，组织财政非税收入，确保及时、足额入库，非税收入入库率要达到8</w:t>
      </w:r>
      <w:r>
        <w:rPr>
          <w:rFonts w:hint="eastAsia" w:ascii="仿宋" w:hAnsi="仿宋" w:eastAsia="仿宋"/>
          <w:sz w:val="32"/>
          <w:szCs w:val="32"/>
        </w:rPr>
        <w:t>7</w:t>
      </w:r>
      <w:r>
        <w:rPr>
          <w:rFonts w:ascii="仿宋" w:hAnsi="仿宋" w:eastAsia="仿宋"/>
          <w:sz w:val="32"/>
          <w:szCs w:val="32"/>
        </w:rPr>
        <w:t>%以上。</w:t>
      </w:r>
    </w:p>
    <w:p>
      <w:pPr>
        <w:ind w:firstLine="64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财政监督管理</w:t>
      </w:r>
    </w:p>
    <w:p>
      <w:pPr>
        <w:ind w:firstLine="640"/>
        <w:jc w:val="left"/>
        <w:rPr>
          <w:rFonts w:ascii="仿宋" w:hAnsi="仿宋" w:eastAsia="仿宋"/>
          <w:sz w:val="32"/>
          <w:szCs w:val="32"/>
        </w:rPr>
      </w:pPr>
      <w:r>
        <w:rPr>
          <w:rFonts w:ascii="仿宋" w:hAnsi="仿宋" w:eastAsia="仿宋"/>
          <w:sz w:val="32"/>
          <w:szCs w:val="32"/>
        </w:rPr>
        <w:t>提出加强财政管理的政策建议；组织对财政</w:t>
      </w:r>
      <w:r>
        <w:rPr>
          <w:rFonts w:hint="eastAsia" w:ascii="仿宋" w:hAnsi="仿宋" w:eastAsia="仿宋"/>
          <w:sz w:val="32"/>
          <w:szCs w:val="32"/>
          <w:lang w:eastAsia="zh-CN"/>
        </w:rPr>
        <w:t>单位</w:t>
      </w:r>
      <w:r>
        <w:rPr>
          <w:rFonts w:ascii="仿宋" w:hAnsi="仿宋" w:eastAsia="仿宋"/>
          <w:sz w:val="32"/>
          <w:szCs w:val="32"/>
        </w:rPr>
        <w:t>内部财经制度执行情况的监督检查，组织监督检查，依法查处违反财经纪律案件，反映财政收支管理中的重大问题，规范财务账目，监督和规范全县会计人员行为，提高会计人员整体素质，及时做好资金检查工作，提高监督检查质量，保障资金安全运行，实际开展检查次数占计划组织检查次数的80%以上。</w:t>
      </w:r>
    </w:p>
    <w:p>
      <w:pPr>
        <w:ind w:firstLine="64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财务会计管理</w:t>
      </w:r>
    </w:p>
    <w:p>
      <w:pPr>
        <w:ind w:firstLine="640"/>
        <w:jc w:val="left"/>
        <w:rPr>
          <w:rFonts w:ascii="仿宋" w:hAnsi="仿宋" w:eastAsia="仿宋"/>
          <w:sz w:val="32"/>
          <w:szCs w:val="32"/>
        </w:rPr>
      </w:pPr>
      <w:r>
        <w:rPr>
          <w:rFonts w:ascii="仿宋" w:hAnsi="仿宋" w:eastAsia="仿宋"/>
          <w:sz w:val="32"/>
          <w:szCs w:val="32"/>
        </w:rPr>
        <w:t>管理全县会计人员，管理会计人员继续教育培训，培训次数在1次以上。</w:t>
      </w:r>
    </w:p>
    <w:p>
      <w:pPr>
        <w:spacing w:line="480" w:lineRule="auto"/>
        <w:ind w:firstLine="64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党风廉政建设</w:t>
      </w:r>
    </w:p>
    <w:p>
      <w:pPr>
        <w:spacing w:line="480" w:lineRule="auto"/>
        <w:ind w:firstLine="640"/>
        <w:jc w:val="left"/>
        <w:rPr>
          <w:rFonts w:ascii="仿宋" w:hAnsi="仿宋" w:eastAsia="仿宋"/>
          <w:sz w:val="32"/>
          <w:szCs w:val="32"/>
        </w:rPr>
      </w:pPr>
      <w:r>
        <w:rPr>
          <w:rFonts w:ascii="仿宋" w:hAnsi="仿宋" w:eastAsia="仿宋"/>
          <w:sz w:val="32"/>
          <w:szCs w:val="32"/>
        </w:rPr>
        <w:t>组织协调全局党风廉政建设和反腐败宣传教育工作，开展对党员、公务员的廉洁自律教育。实际开展学习教育次数占计划组织活动次数80%以上。</w:t>
      </w:r>
    </w:p>
    <w:p>
      <w:pPr>
        <w:ind w:firstLine="640"/>
        <w:jc w:val="left"/>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国有资产管理</w:t>
      </w:r>
    </w:p>
    <w:p>
      <w:pPr>
        <w:ind w:firstLine="640"/>
        <w:jc w:val="left"/>
        <w:rPr>
          <w:rFonts w:ascii="仿宋" w:hAnsi="仿宋" w:eastAsia="仿宋"/>
          <w:sz w:val="32"/>
          <w:szCs w:val="32"/>
        </w:rPr>
      </w:pPr>
      <w:r>
        <w:rPr>
          <w:rFonts w:ascii="仿宋" w:hAnsi="仿宋" w:eastAsia="仿宋"/>
          <w:sz w:val="32"/>
          <w:szCs w:val="32"/>
        </w:rPr>
        <w:t>拟定机关事业单位国有资产管理制度和办法，对县直行政事业单位资产配置、使用、处置事项进行管理，国有资产转让管理、产权登记、评估监督等工作。登记单位覆盖率80%以上。</w:t>
      </w:r>
    </w:p>
    <w:p>
      <w:pPr>
        <w:ind w:firstLine="640"/>
        <w:jc w:val="left"/>
        <w:rPr>
          <w:rFonts w:ascii="仿宋" w:hAnsi="仿宋" w:eastAsia="仿宋"/>
          <w:sz w:val="32"/>
          <w:szCs w:val="32"/>
        </w:rPr>
      </w:pPr>
      <w:r>
        <w:rPr>
          <w:rFonts w:hint="eastAsia" w:ascii="仿宋" w:hAnsi="仿宋" w:eastAsia="仿宋"/>
          <w:sz w:val="32"/>
          <w:szCs w:val="32"/>
        </w:rPr>
        <w:t>6.</w:t>
      </w:r>
      <w:r>
        <w:rPr>
          <w:rFonts w:ascii="仿宋" w:hAnsi="仿宋" w:eastAsia="仿宋"/>
          <w:sz w:val="32"/>
          <w:szCs w:val="32"/>
        </w:rPr>
        <w:t>政府专项工作服务与管理</w:t>
      </w:r>
    </w:p>
    <w:p>
      <w:pPr>
        <w:ind w:firstLine="640"/>
        <w:jc w:val="left"/>
        <w:rPr>
          <w:rFonts w:ascii="仿宋" w:hAnsi="仿宋" w:eastAsia="仿宋"/>
          <w:sz w:val="32"/>
          <w:szCs w:val="32"/>
        </w:rPr>
      </w:pPr>
      <w:r>
        <w:rPr>
          <w:rFonts w:ascii="仿宋" w:hAnsi="仿宋" w:eastAsia="仿宋"/>
          <w:sz w:val="32"/>
          <w:szCs w:val="32"/>
        </w:rPr>
        <w:t>负责牵头组织推进全县政府购买服务推进工作，代政府起草政府购买服务的实施办法，汇总编制全县政府向社会力量购买服务指导目录，汇总确定年度试点事项，对政府购买服务工作进行政策指导，及时汇总、反馈有关情况。政府购买服务资金占公共服务项目资金的比例10%以上。</w:t>
      </w:r>
    </w:p>
    <w:p>
      <w:pPr>
        <w:ind w:firstLine="640"/>
        <w:jc w:val="left"/>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综合事务管理</w:t>
      </w:r>
    </w:p>
    <w:p>
      <w:pPr>
        <w:ind w:firstLine="640"/>
        <w:jc w:val="left"/>
        <w:rPr>
          <w:rFonts w:ascii="仿宋" w:hAnsi="仿宋" w:eastAsia="仿宋"/>
          <w:sz w:val="32"/>
          <w:szCs w:val="32"/>
        </w:rPr>
      </w:pPr>
      <w:r>
        <w:rPr>
          <w:rFonts w:ascii="仿宋" w:hAnsi="仿宋" w:eastAsia="仿宋"/>
          <w:sz w:val="32"/>
          <w:szCs w:val="32"/>
        </w:rPr>
        <w:t>协调处理机关日常政务；负责机关文电、会务、档案、人事教育等工作，以及应急事项的协调处置；承担机关文稿起草、督查督办、信息、宣传、新闻、安全保密、信访、政务公开、老干部管理等工作；管理机关财务等，工作完成率90%以上。</w:t>
      </w:r>
    </w:p>
    <w:p>
      <w:pPr>
        <w:spacing w:beforeLines="50" w:afterLines="50"/>
        <w:ind w:firstLine="640"/>
        <w:jc w:val="left"/>
        <w:outlineLvl w:val="1"/>
        <w:rPr>
          <w:rFonts w:eastAsia="方正仿宋_GBK"/>
          <w:sz w:val="28"/>
        </w:rPr>
      </w:pPr>
      <w:bookmarkStart w:id="2" w:name="_Toc66451150"/>
      <w:r>
        <w:rPr>
          <w:rFonts w:hint="eastAsia" w:ascii="黑体" w:hAnsi="黑体" w:eastAsia="黑体"/>
          <w:sz w:val="32"/>
          <w:szCs w:val="32"/>
        </w:rPr>
        <w:t>（三）工作保障措施</w:t>
      </w:r>
      <w:bookmarkEnd w:id="2"/>
      <w:r>
        <w:fldChar w:fldCharType="begin"/>
      </w:r>
      <w:r>
        <w:rPr>
          <w:rFonts w:eastAsia="方正仿宋_GBK"/>
          <w:sz w:val="28"/>
        </w:rPr>
        <w:instrText xml:space="preserve"> </w:instrText>
      </w:r>
      <w:r>
        <w:rPr>
          <w:rFonts w:hint="eastAsia" w:eastAsia="方正仿宋_GBK"/>
          <w:sz w:val="28"/>
        </w:rPr>
        <w:instrText xml:space="preserve">TC 工作保障措施 \f A \l 1</w:instrText>
      </w:r>
      <w:r>
        <w:rPr>
          <w:rFonts w:eastAsia="方正仿宋_GBK"/>
          <w:sz w:val="28"/>
        </w:rPr>
        <w:instrText xml:space="preserve"> </w:instrText>
      </w:r>
      <w:r>
        <w:rPr>
          <w:rFonts w:eastAsia="方正仿宋_GBK"/>
          <w:sz w:val="28"/>
        </w:rPr>
        <w:fldChar w:fldCharType="end"/>
      </w:r>
    </w:p>
    <w:p>
      <w:pPr>
        <w:ind w:firstLine="640"/>
        <w:jc w:val="left"/>
        <w:rPr>
          <w:rFonts w:ascii="仿宋" w:hAnsi="仿宋" w:eastAsia="仿宋"/>
          <w:sz w:val="32"/>
          <w:szCs w:val="32"/>
        </w:rPr>
      </w:pPr>
      <w:r>
        <w:rPr>
          <w:rFonts w:ascii="仿宋" w:hAnsi="仿宋" w:eastAsia="仿宋"/>
          <w:sz w:val="32"/>
          <w:szCs w:val="32"/>
        </w:rPr>
        <w:t>保障财政局各项工作正常开展，人员素质和业务水平及政治觉悟不断提升，提升服务，力求重点工作出精品，难点工作求突破、基础工作有创新、常规工作见特色，主要采取以下措施：</w:t>
      </w:r>
    </w:p>
    <w:p>
      <w:pPr>
        <w:ind w:firstLine="640"/>
        <w:jc w:val="left"/>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 xml:space="preserve">强化学习，提高工作质量 </w:t>
      </w:r>
    </w:p>
    <w:p>
      <w:pPr>
        <w:ind w:firstLine="640"/>
        <w:jc w:val="left"/>
        <w:rPr>
          <w:rFonts w:ascii="仿宋" w:hAnsi="仿宋" w:eastAsia="仿宋"/>
          <w:sz w:val="32"/>
          <w:szCs w:val="32"/>
        </w:rPr>
      </w:pPr>
      <w:r>
        <w:rPr>
          <w:rFonts w:ascii="仿宋" w:hAnsi="仿宋" w:eastAsia="仿宋"/>
          <w:sz w:val="32"/>
          <w:szCs w:val="32"/>
        </w:rPr>
        <w:t xml:space="preserve"> 不断学习新知识，掌握新本领，开阔新思路，牢牢抓住工作主动权，更好地为人民服务，做好本职工作。深入学习党的重要会议精神、</w:t>
      </w:r>
      <w:r>
        <w:rPr>
          <w:rFonts w:hint="eastAsia" w:ascii="仿宋" w:hAnsi="仿宋" w:eastAsia="仿宋"/>
          <w:sz w:val="32"/>
          <w:szCs w:val="32"/>
        </w:rPr>
        <w:t>习近平总书记</w:t>
      </w:r>
      <w:r>
        <w:rPr>
          <w:rFonts w:ascii="仿宋" w:hAnsi="仿宋" w:eastAsia="仿宋"/>
          <w:sz w:val="32"/>
          <w:szCs w:val="32"/>
        </w:rPr>
        <w:t>重要讲话精神等上级政策理论和办公室业务知识，深刻领会和全面把握其科学内涵及精神实质，并结合“两学一做”学习教育，不断提高队伍的政治理论素养、服务水平和工作能力。同时，在思考和实践上下功夫，加强理论联系实际，提高工作的能力。</w:t>
      </w:r>
    </w:p>
    <w:p>
      <w:pPr>
        <w:ind w:firstLine="640"/>
        <w:jc w:val="left"/>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全力组织收入，确保高限完成全年收入任务。我们会采取更加有力有效举措，确保高限完成县委、县政府确定的全年财政收入任务。一是积极与国税、地税等</w:t>
      </w:r>
      <w:r>
        <w:rPr>
          <w:rFonts w:hint="eastAsia" w:ascii="仿宋" w:hAnsi="仿宋" w:eastAsia="仿宋"/>
          <w:sz w:val="32"/>
          <w:szCs w:val="32"/>
          <w:lang w:eastAsia="zh-CN"/>
        </w:rPr>
        <w:t>单位</w:t>
      </w:r>
      <w:r>
        <w:rPr>
          <w:rFonts w:ascii="仿宋" w:hAnsi="仿宋" w:eastAsia="仿宋"/>
          <w:sz w:val="32"/>
          <w:szCs w:val="32"/>
        </w:rPr>
        <w:t>沟通协作，加强财政经济运行分析，建立健全综合治税信息共享管理机制和税源监控机制，对重点行业、重点领域和重点税种、重点税源的收入实施动态监控。二是结合公检法等</w:t>
      </w:r>
      <w:r>
        <w:rPr>
          <w:rFonts w:hint="eastAsia" w:ascii="仿宋" w:hAnsi="仿宋" w:eastAsia="仿宋"/>
          <w:sz w:val="32"/>
          <w:szCs w:val="32"/>
          <w:lang w:eastAsia="zh-CN"/>
        </w:rPr>
        <w:t>单位</w:t>
      </w:r>
      <w:r>
        <w:rPr>
          <w:rFonts w:ascii="仿宋" w:hAnsi="仿宋" w:eastAsia="仿宋"/>
          <w:sz w:val="32"/>
          <w:szCs w:val="32"/>
        </w:rPr>
        <w:t>严厉打击偷、漏、骗税行为，狠抓反面典型曝光处罚。坚决制止和纠正违规减免税收现象的发生，公平税负。三是依法加强非税收入征管，严格票据源头管理，严查执收、执罚单位落实“收支两条线”情况，确保非税收入及时入库。</w:t>
      </w:r>
    </w:p>
    <w:p>
      <w:pPr>
        <w:ind w:firstLine="64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合理安排支出，确保每笔资金发挥最大效益。按照精细化管理的要求，科学决策，合理支出，切实提高财政资金使用效益。一是千方百计确保全县公教人员工资、津贴补贴及时足额发放，确保国家机关正常运转。二是加强预算执行和分析，提高支出均衡性，使财政资金能够及时发挥效益，促进经济社会科学发展。三是压减一般性开支，厉行节约，坚决制止各种铺张浪费。对一般性支出，实行跟踪监管，定期审计；对应纳入政府采购的商品，一律实行政府采购，规范支出行为。四是加快各项资金的支出进度，及时支出，同时加强对资金的监管力度，确保其发挥最大效益。</w:t>
      </w:r>
    </w:p>
    <w:p>
      <w:pPr>
        <w:ind w:firstLine="64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加大改革力度，确保管理水平得到较大提升。一是进一步扩大县乡“分税制”财政体制试点，探索财政资金竞争性分配制度，提高资金使用效益。二是强化预算执行管理。按照省市提高财政资金绩效预算管理要求，切实优化财政资金配置，加快预算执行进度，提高资金运行的时效性，逐步实现财政预算管理的科学化、精细化。三是积极推行预算项目库建设，充分发挥预算项目库在预算决策中的作用，以预算项目库的不断完善带动预算项目管理水平的提高。四是深化国库管理制度改革，把国库集中支付改革向乡镇延伸，进一步规范和简化支付程序，确保资金安全，提高财政资金支付效率。五是完善政府采购制度，规范采购程序，进一步扩大采购范围和规模，开展服务项目采购试点，加强监督检查，更好地节约财政资金和发挥财政资金的最大效益。六是探索完善财政监督新机制，进一步严肃财经纪律、强化财政监督。七是推进财政信息化建设，努力将现代化、科学化、精细化理念融入到财政工作中。八是积极探索政府向社会购买公共服务工作，进一步发挥财政资金绩效。九是落实法治财政工作机制，全面推进我县法治财政建设，我们将严格按照上级要求，充分结合我县财政工作实际，进一步明确工作目标、细化工作方案，积极争取“全国财政系统法治财政建设示范单位”。</w:t>
      </w:r>
    </w:p>
    <w:p>
      <w:pPr>
        <w:ind w:firstLine="640"/>
        <w:jc w:val="left"/>
        <w:rPr>
          <w:rFonts w:ascii="楷体_GB2312" w:hAnsi="Calibri" w:eastAsia="楷体_GB2312" w:cs="宋体"/>
          <w:b/>
          <w:color w:val="000000"/>
          <w:kern w:val="0"/>
          <w:sz w:val="32"/>
          <w:szCs w:val="32"/>
        </w:rPr>
      </w:pPr>
      <w:r>
        <w:rPr>
          <w:rFonts w:hint="eastAsia" w:ascii="仿宋" w:hAnsi="仿宋" w:eastAsia="仿宋"/>
          <w:sz w:val="32"/>
          <w:szCs w:val="32"/>
        </w:rPr>
        <w:t>5.</w:t>
      </w:r>
      <w:r>
        <w:rPr>
          <w:rFonts w:ascii="仿宋" w:hAnsi="仿宋" w:eastAsia="仿宋"/>
          <w:sz w:val="32"/>
          <w:szCs w:val="32"/>
        </w:rPr>
        <w:t>加强作风建设，确保各项重点工作较好落实。今后，我们继续将贯彻中央和省、市、县关于党风、政风工作有关要求，尤其是十九大提出的“坚定不移全面从严治党，不断提高党的执政能力和领导水平”的新要求、新精神、新思想，奋力推动财政系统各项工作上水平上台阶。严格遵守政治纪律和政治规矩，在政治立场、政治方向、政治原则、政治道路上同县委、县政府保持高度一致。严格执行新形势下党内政治生活若干准则，增强党内政治生活的政治性、时代性、原则性、战斗性，营造风清气正的政治生态。弘扬忠诚老实、公道正派、实事求是、清正廉洁的价值观，财政系统全体党员要加强党性锻炼，把对党忠诚、为党分忧、为党尽职、为民造福作为根本政治担当，永葆共产党人政治本色。力争把财政党员干部队伍打造成一支“正派、严谨、实干、清廉”的高素质党员干部队伍，当好县委、县政府和全县人民的财政卫士，认真履行好</w:t>
      </w:r>
      <w:r>
        <w:rPr>
          <w:rFonts w:hint="eastAsia" w:ascii="仿宋" w:hAnsi="仿宋" w:eastAsia="仿宋"/>
          <w:sz w:val="32"/>
          <w:szCs w:val="32"/>
          <w:lang w:eastAsia="zh-CN"/>
        </w:rPr>
        <w:t>单位</w:t>
      </w:r>
      <w:r>
        <w:rPr>
          <w:rFonts w:ascii="仿宋" w:hAnsi="仿宋" w:eastAsia="仿宋"/>
          <w:sz w:val="32"/>
          <w:szCs w:val="32"/>
        </w:rPr>
        <w:t>职责。</w:t>
      </w:r>
    </w:p>
    <w:p>
      <w:pPr>
        <w:widowControl/>
        <w:snapToGrid w:val="0"/>
        <w:spacing w:line="360" w:lineRule="auto"/>
        <w:ind w:firstLine="630" w:firstLineChars="196"/>
        <w:jc w:val="left"/>
        <w:rPr>
          <w:rFonts w:ascii="Calibri" w:hAnsi="Calibri" w:eastAsia="楷体_GB2312" w:cs="宋体"/>
          <w:b/>
          <w:color w:val="000000"/>
          <w:kern w:val="0"/>
          <w:sz w:val="32"/>
          <w:szCs w:val="32"/>
        </w:rPr>
      </w:pPr>
    </w:p>
    <w:p>
      <w:pPr>
        <w:widowControl/>
        <w:snapToGrid w:val="0"/>
        <w:spacing w:line="360" w:lineRule="auto"/>
        <w:ind w:firstLine="630" w:firstLineChars="196"/>
        <w:jc w:val="left"/>
        <w:rPr>
          <w:rFonts w:ascii="Calibri" w:hAnsi="Calibri" w:eastAsia="楷体_GB2312" w:cs="宋体"/>
          <w:b/>
          <w:color w:val="000000"/>
          <w:kern w:val="0"/>
          <w:sz w:val="32"/>
          <w:szCs w:val="32"/>
        </w:rPr>
      </w:pPr>
    </w:p>
    <w:p>
      <w:pPr>
        <w:spacing w:line="560" w:lineRule="exact"/>
        <w:ind w:firstLine="640"/>
        <w:jc w:val="center"/>
        <w:outlineLvl w:val="0"/>
        <w:rPr>
          <w:rFonts w:ascii="宋体" w:hAnsi="宋体" w:eastAsia="宋体" w:cs="Times New Roman"/>
          <w:sz w:val="32"/>
          <w:szCs w:val="32"/>
        </w:rPr>
      </w:pPr>
      <w:r>
        <w:rPr>
          <w:rFonts w:hint="eastAsia" w:ascii="宋体" w:hAnsi="宋体" w:eastAsia="宋体" w:cs="方正小标宋_GBK"/>
          <w:sz w:val="32"/>
          <w:szCs w:val="32"/>
          <w:lang w:eastAsia="zh-CN"/>
        </w:rPr>
        <w:t>单位</w:t>
      </w:r>
      <w:r>
        <w:rPr>
          <w:rFonts w:hint="eastAsia" w:ascii="宋体" w:hAnsi="宋体" w:eastAsia="宋体" w:cs="方正小标宋_GBK"/>
          <w:sz w:val="32"/>
          <w:szCs w:val="32"/>
        </w:rPr>
        <w:t>职责</w:t>
      </w:r>
      <w:r>
        <w:rPr>
          <w:rFonts w:ascii="宋体" w:hAnsi="宋体" w:eastAsia="宋体" w:cs="方正小标宋_GBK"/>
          <w:sz w:val="32"/>
          <w:szCs w:val="32"/>
        </w:rPr>
        <w:t>-</w:t>
      </w:r>
      <w:r>
        <w:rPr>
          <w:rFonts w:hint="eastAsia" w:ascii="宋体" w:hAnsi="宋体" w:eastAsia="宋体" w:cs="方正小标宋_GBK"/>
          <w:sz w:val="32"/>
          <w:szCs w:val="32"/>
        </w:rPr>
        <w:t>工作活动绩效目标</w:t>
      </w:r>
      <w:bookmarkEnd w:id="0"/>
    </w:p>
    <w:tbl>
      <w:tblPr>
        <w:tblStyle w:val="4"/>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9"/>
        <w:gridCol w:w="851"/>
        <w:gridCol w:w="1417"/>
        <w:gridCol w:w="995"/>
        <w:gridCol w:w="905"/>
        <w:gridCol w:w="899"/>
        <w:gridCol w:w="728"/>
        <w:gridCol w:w="728"/>
        <w:gridCol w:w="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5977" w:type="dxa"/>
            <w:gridSpan w:val="5"/>
            <w:tcBorders>
              <w:top w:val="single" w:color="FFFFFF" w:sz="6" w:space="0"/>
              <w:left w:val="single" w:color="FFFFFF" w:sz="6" w:space="0"/>
              <w:right w:val="single" w:color="FFFFFF" w:sz="6" w:space="0"/>
            </w:tcBorders>
            <w:vAlign w:val="center"/>
          </w:tcPr>
          <w:p>
            <w:pPr>
              <w:spacing w:line="560" w:lineRule="exact"/>
              <w:ind w:firstLine="480"/>
              <w:jc w:val="left"/>
              <w:rPr>
                <w:rFonts w:ascii="宋体" w:hAnsi="宋体" w:eastAsia="宋体" w:cs="Times New Roman"/>
                <w:sz w:val="24"/>
                <w:szCs w:val="24"/>
              </w:rPr>
            </w:pPr>
            <w:r>
              <w:rPr>
                <w:rFonts w:hint="eastAsia" w:ascii="宋体" w:hAnsi="宋体" w:eastAsia="宋体" w:cs="方正小标宋_GBK"/>
                <w:sz w:val="24"/>
                <w:szCs w:val="24"/>
                <w:lang w:eastAsia="zh-CN"/>
              </w:rPr>
              <w:t>单位</w:t>
            </w:r>
            <w:r>
              <w:rPr>
                <w:rFonts w:hint="eastAsia" w:ascii="宋体" w:hAnsi="宋体" w:eastAsia="宋体" w:cs="方正小标宋_GBK"/>
                <w:sz w:val="24"/>
                <w:szCs w:val="24"/>
              </w:rPr>
              <w:t>（单位）名称：成安县财政局</w:t>
            </w:r>
          </w:p>
        </w:tc>
        <w:tc>
          <w:tcPr>
            <w:tcW w:w="3083" w:type="dxa"/>
            <w:gridSpan w:val="4"/>
            <w:tcBorders>
              <w:top w:val="single" w:color="FFFFFF" w:sz="6" w:space="0"/>
              <w:left w:val="single" w:color="FFFFFF" w:sz="6" w:space="0"/>
              <w:right w:val="single" w:color="FFFFFF" w:sz="6" w:space="0"/>
            </w:tcBorders>
            <w:vAlign w:val="center"/>
          </w:tcPr>
          <w:p>
            <w:pPr>
              <w:spacing w:line="560" w:lineRule="exact"/>
              <w:ind w:firstLine="360"/>
              <w:jc w:val="right"/>
              <w:rPr>
                <w:rFonts w:ascii="宋体" w:hAnsi="宋体" w:eastAsia="宋体" w:cs="Times New Roman"/>
                <w:sz w:val="18"/>
                <w:szCs w:val="18"/>
              </w:rPr>
            </w:pPr>
            <w:r>
              <w:rPr>
                <w:rFonts w:hint="eastAsia" w:ascii="宋体" w:hAnsi="宋体" w:eastAsia="宋体" w:cs="方正书宋_GBK"/>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1809" w:type="dxa"/>
            <w:vMerge w:val="restart"/>
            <w:vAlign w:val="center"/>
          </w:tcPr>
          <w:p>
            <w:pPr>
              <w:spacing w:line="56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职责活动</w:t>
            </w:r>
          </w:p>
        </w:tc>
        <w:tc>
          <w:tcPr>
            <w:tcW w:w="851"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年度预算数</w:t>
            </w:r>
          </w:p>
        </w:tc>
        <w:tc>
          <w:tcPr>
            <w:tcW w:w="1417"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内容描述</w:t>
            </w:r>
          </w:p>
        </w:tc>
        <w:tc>
          <w:tcPr>
            <w:tcW w:w="995"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绩效目标</w:t>
            </w:r>
          </w:p>
        </w:tc>
        <w:tc>
          <w:tcPr>
            <w:tcW w:w="905" w:type="dxa"/>
            <w:vMerge w:val="restart"/>
            <w:vAlign w:val="center"/>
          </w:tcPr>
          <w:p>
            <w:pPr>
              <w:spacing w:line="280" w:lineRule="exact"/>
              <w:ind w:firstLine="0" w:firstLineChars="0"/>
              <w:rPr>
                <w:rFonts w:ascii="宋体" w:hAnsi="宋体" w:eastAsia="宋体" w:cs="Times New Roman"/>
                <w:b/>
                <w:bCs/>
                <w:sz w:val="18"/>
                <w:szCs w:val="18"/>
              </w:rPr>
            </w:pPr>
            <w:r>
              <w:rPr>
                <w:rFonts w:hint="eastAsia" w:ascii="宋体" w:hAnsi="宋体" w:eastAsia="宋体" w:cs="方正书宋_GBK"/>
                <w:b/>
                <w:bCs/>
                <w:sz w:val="18"/>
                <w:szCs w:val="18"/>
              </w:rPr>
              <w:t>绩效指标</w:t>
            </w:r>
          </w:p>
        </w:tc>
        <w:tc>
          <w:tcPr>
            <w:tcW w:w="3083" w:type="dxa"/>
            <w:gridSpan w:val="4"/>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3" w:hRule="atLeast"/>
          <w:tblHeader/>
          <w:jc w:val="center"/>
        </w:trPr>
        <w:tc>
          <w:tcPr>
            <w:tcW w:w="1809" w:type="dxa"/>
            <w:vMerge w:val="continue"/>
            <w:vAlign w:val="center"/>
          </w:tcPr>
          <w:p>
            <w:pPr>
              <w:spacing w:line="560" w:lineRule="exact"/>
              <w:ind w:firstLine="360"/>
              <w:jc w:val="left"/>
              <w:outlineLvl w:val="0"/>
              <w:rPr>
                <w:rFonts w:ascii="宋体" w:hAnsi="宋体" w:eastAsia="宋体" w:cs="Times New Roman"/>
                <w:sz w:val="18"/>
                <w:szCs w:val="18"/>
              </w:rPr>
            </w:pPr>
          </w:p>
        </w:tc>
        <w:tc>
          <w:tcPr>
            <w:tcW w:w="851" w:type="dxa"/>
            <w:vMerge w:val="continue"/>
            <w:vAlign w:val="center"/>
          </w:tcPr>
          <w:p>
            <w:pPr>
              <w:spacing w:line="560" w:lineRule="exact"/>
              <w:ind w:firstLine="360"/>
              <w:jc w:val="left"/>
              <w:outlineLvl w:val="0"/>
              <w:rPr>
                <w:rFonts w:ascii="宋体" w:hAnsi="宋体" w:eastAsia="宋体" w:cs="Times New Roman"/>
                <w:sz w:val="18"/>
                <w:szCs w:val="18"/>
              </w:rPr>
            </w:pPr>
          </w:p>
        </w:tc>
        <w:tc>
          <w:tcPr>
            <w:tcW w:w="1417" w:type="dxa"/>
            <w:vMerge w:val="continue"/>
            <w:vAlign w:val="center"/>
          </w:tcPr>
          <w:p>
            <w:pPr>
              <w:spacing w:line="560" w:lineRule="exact"/>
              <w:ind w:firstLine="360"/>
              <w:jc w:val="left"/>
              <w:outlineLvl w:val="0"/>
              <w:rPr>
                <w:rFonts w:ascii="宋体" w:hAnsi="宋体" w:eastAsia="宋体" w:cs="Times New Roman"/>
                <w:sz w:val="18"/>
                <w:szCs w:val="18"/>
              </w:rPr>
            </w:pPr>
          </w:p>
        </w:tc>
        <w:tc>
          <w:tcPr>
            <w:tcW w:w="995" w:type="dxa"/>
            <w:vMerge w:val="continue"/>
            <w:vAlign w:val="center"/>
          </w:tcPr>
          <w:p>
            <w:pPr>
              <w:spacing w:line="560" w:lineRule="exact"/>
              <w:ind w:firstLine="360"/>
              <w:jc w:val="left"/>
              <w:outlineLvl w:val="0"/>
              <w:rPr>
                <w:rFonts w:ascii="宋体" w:hAnsi="宋体" w:eastAsia="宋体" w:cs="Times New Roman"/>
                <w:sz w:val="18"/>
                <w:szCs w:val="18"/>
              </w:rPr>
            </w:pPr>
          </w:p>
        </w:tc>
        <w:tc>
          <w:tcPr>
            <w:tcW w:w="905" w:type="dxa"/>
            <w:vMerge w:val="continue"/>
            <w:vAlign w:val="center"/>
          </w:tcPr>
          <w:p>
            <w:pPr>
              <w:spacing w:line="560" w:lineRule="exact"/>
              <w:ind w:firstLine="360"/>
              <w:jc w:val="left"/>
              <w:outlineLvl w:val="0"/>
              <w:rPr>
                <w:rFonts w:ascii="宋体" w:hAnsi="宋体" w:eastAsia="宋体" w:cs="Times New Roman"/>
                <w:sz w:val="18"/>
                <w:szCs w:val="18"/>
              </w:rPr>
            </w:pPr>
          </w:p>
        </w:tc>
        <w:tc>
          <w:tcPr>
            <w:tcW w:w="899"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优</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良</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中</w:t>
            </w:r>
          </w:p>
        </w:tc>
        <w:tc>
          <w:tcPr>
            <w:tcW w:w="728" w:type="dxa"/>
            <w:vAlign w:val="center"/>
          </w:tcPr>
          <w:p>
            <w:pPr>
              <w:spacing w:line="560" w:lineRule="exact"/>
              <w:ind w:firstLine="0" w:firstLineChars="0"/>
              <w:jc w:val="center"/>
              <w:rPr>
                <w:rFonts w:ascii="宋体" w:hAnsi="宋体" w:eastAsia="宋体" w:cs="Times New Roman"/>
                <w:b/>
                <w:bCs/>
                <w:sz w:val="18"/>
                <w:szCs w:val="18"/>
              </w:rPr>
            </w:pPr>
            <w:r>
              <w:rPr>
                <w:rFonts w:hint="eastAsia" w:ascii="宋体" w:hAnsi="宋体" w:eastAsia="宋体" w:cs="方正书宋_GBK"/>
                <w:b/>
                <w:bCs/>
                <w:sz w:val="18"/>
                <w:szCs w:val="18"/>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09" w:type="dxa"/>
            <w:vAlign w:val="center"/>
          </w:tcPr>
          <w:p>
            <w:pPr>
              <w:spacing w:line="300" w:lineRule="exact"/>
              <w:ind w:firstLine="0" w:firstLineChars="0"/>
              <w:jc w:val="left"/>
              <w:rPr>
                <w:rFonts w:ascii="方正书宋_GBK" w:eastAsia="方正书宋_GBK"/>
                <w:b/>
              </w:rPr>
            </w:pPr>
            <w:r>
              <w:rPr>
                <w:rFonts w:hint="eastAsia" w:ascii="方正书宋_GBK" w:eastAsia="方正书宋_GBK"/>
                <w:b/>
                <w:lang w:eastAsia="zh-CN"/>
              </w:rPr>
              <w:t>单位</w:t>
            </w:r>
            <w:r>
              <w:rPr>
                <w:rFonts w:hint="eastAsia" w:ascii="方正书宋_GBK" w:eastAsia="方正书宋_GBK"/>
                <w:b/>
              </w:rPr>
              <w:t>预算专项公用经费</w:t>
            </w:r>
          </w:p>
        </w:tc>
        <w:tc>
          <w:tcPr>
            <w:tcW w:w="851" w:type="dxa"/>
            <w:vAlign w:val="center"/>
          </w:tcPr>
          <w:p>
            <w:pPr>
              <w:spacing w:line="300" w:lineRule="exact"/>
              <w:ind w:firstLine="0" w:firstLineChars="0"/>
              <w:jc w:val="left"/>
              <w:rPr>
                <w:rFonts w:ascii="方正书宋_GBK" w:eastAsia="方正书宋_GBK"/>
              </w:rPr>
            </w:pPr>
            <w:r>
              <w:rPr>
                <w:rFonts w:hint="eastAsia" w:ascii="方正书宋_GBK" w:eastAsia="方正书宋_GBK"/>
              </w:rPr>
              <w:t>35</w:t>
            </w:r>
          </w:p>
        </w:tc>
        <w:tc>
          <w:tcPr>
            <w:tcW w:w="1417"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协调各个业务科室编制</w:t>
            </w:r>
            <w:r>
              <w:rPr>
                <w:rFonts w:hint="eastAsia" w:ascii="方正书宋_GBK" w:eastAsia="方正书宋_GBK"/>
                <w:lang w:eastAsia="zh-CN"/>
              </w:rPr>
              <w:t>单位</w:t>
            </w:r>
            <w:r>
              <w:rPr>
                <w:rFonts w:hint="eastAsia" w:ascii="方正书宋_GBK" w:eastAsia="方正书宋_GBK"/>
              </w:rPr>
              <w:t>预算</w:t>
            </w:r>
          </w:p>
        </w:tc>
        <w:tc>
          <w:tcPr>
            <w:tcW w:w="99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完成</w:t>
            </w:r>
            <w:r>
              <w:rPr>
                <w:rFonts w:hint="eastAsia" w:ascii="方正书宋_GBK" w:eastAsia="方正书宋_GBK"/>
                <w:lang w:eastAsia="zh-CN"/>
              </w:rPr>
              <w:t>单位</w:t>
            </w:r>
            <w:r>
              <w:rPr>
                <w:rFonts w:hint="eastAsia" w:ascii="方正书宋_GBK" w:eastAsia="方正书宋_GBK"/>
              </w:rPr>
              <w:t>预算编制</w:t>
            </w:r>
          </w:p>
        </w:tc>
        <w:tc>
          <w:tcPr>
            <w:tcW w:w="90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全部完成</w:t>
            </w:r>
          </w:p>
        </w:tc>
        <w:tc>
          <w:tcPr>
            <w:tcW w:w="899" w:type="dxa"/>
            <w:vAlign w:val="center"/>
          </w:tcPr>
          <w:p>
            <w:pPr>
              <w:spacing w:line="300" w:lineRule="exact"/>
              <w:ind w:firstLine="0" w:firstLineChars="0"/>
              <w:rPr>
                <w:rFonts w:ascii="方正书宋_GBK" w:eastAsia="方正书宋_GBK"/>
              </w:rPr>
            </w:pPr>
            <w:r>
              <w:rPr>
                <w:rFonts w:ascii="方正书宋_GBK" w:eastAsia="方正书宋_GBK"/>
              </w:rPr>
              <w:t>100%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w:t>
            </w:r>
            <w:r>
              <w:rPr>
                <w:rFonts w:ascii="方正书宋_GBK" w:eastAsia="方正书宋_GBK"/>
              </w:rPr>
              <w:t>85%</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≥8</w:t>
            </w:r>
            <w:r>
              <w:rPr>
                <w:rFonts w:ascii="方正书宋_GBK" w:eastAsia="方正书宋_GBK"/>
              </w:rPr>
              <w:t>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＜8</w:t>
            </w: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09" w:type="dxa"/>
            <w:vAlign w:val="center"/>
          </w:tcPr>
          <w:p>
            <w:pPr>
              <w:spacing w:line="300" w:lineRule="exact"/>
              <w:ind w:firstLine="0" w:firstLineChars="0"/>
              <w:jc w:val="left"/>
              <w:rPr>
                <w:rFonts w:ascii="方正书宋_GBK" w:eastAsia="方正书宋_GBK"/>
                <w:b/>
              </w:rPr>
            </w:pPr>
            <w:r>
              <w:rPr>
                <w:rFonts w:hint="eastAsia" w:ascii="方正书宋_GBK" w:eastAsia="方正书宋_GBK"/>
                <w:b/>
              </w:rPr>
              <w:t>单位取暖项目</w:t>
            </w:r>
          </w:p>
        </w:tc>
        <w:tc>
          <w:tcPr>
            <w:tcW w:w="851" w:type="dxa"/>
            <w:vAlign w:val="center"/>
          </w:tcPr>
          <w:p>
            <w:pPr>
              <w:spacing w:line="300" w:lineRule="exact"/>
              <w:ind w:firstLine="0" w:firstLineChars="0"/>
              <w:jc w:val="left"/>
              <w:rPr>
                <w:rFonts w:ascii="方正书宋_GBK" w:eastAsia="方正书宋_GBK"/>
              </w:rPr>
            </w:pPr>
            <w:r>
              <w:rPr>
                <w:rFonts w:ascii="方正书宋_GBK" w:eastAsia="方正书宋_GBK"/>
              </w:rPr>
              <w:t>8.53</w:t>
            </w:r>
          </w:p>
        </w:tc>
        <w:tc>
          <w:tcPr>
            <w:tcW w:w="1417"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财政局单位大楼取暖项目</w:t>
            </w:r>
          </w:p>
        </w:tc>
        <w:tc>
          <w:tcPr>
            <w:tcW w:w="99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完成财政局单位大楼取暖项目</w:t>
            </w:r>
          </w:p>
        </w:tc>
        <w:tc>
          <w:tcPr>
            <w:tcW w:w="905" w:type="dxa"/>
            <w:vAlign w:val="center"/>
          </w:tcPr>
          <w:p>
            <w:pPr>
              <w:spacing w:line="260" w:lineRule="exact"/>
              <w:ind w:firstLine="0" w:firstLineChars="0"/>
              <w:jc w:val="left"/>
              <w:rPr>
                <w:rFonts w:ascii="方正书宋_GBK" w:eastAsia="方正书宋_GBK"/>
              </w:rPr>
            </w:pPr>
            <w:r>
              <w:rPr>
                <w:rFonts w:hint="eastAsia" w:ascii="方正书宋_GBK" w:eastAsia="方正书宋_GBK"/>
              </w:rPr>
              <w:t>对财政局大楼取暖项目的补贴</w:t>
            </w:r>
          </w:p>
        </w:tc>
        <w:tc>
          <w:tcPr>
            <w:tcW w:w="899" w:type="dxa"/>
            <w:vAlign w:val="center"/>
          </w:tcPr>
          <w:p>
            <w:pPr>
              <w:spacing w:line="300" w:lineRule="exact"/>
              <w:ind w:firstLine="0" w:firstLineChars="0"/>
              <w:rPr>
                <w:rFonts w:ascii="方正书宋_GBK" w:eastAsia="方正书宋_GBK"/>
              </w:rPr>
            </w:pPr>
            <w:r>
              <w:rPr>
                <w:rFonts w:ascii="方正书宋_GBK" w:eastAsia="方正书宋_GBK"/>
              </w:rPr>
              <w:t>100%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w:t>
            </w:r>
            <w:r>
              <w:rPr>
                <w:rFonts w:ascii="方正书宋_GBK" w:eastAsia="方正书宋_GBK"/>
              </w:rPr>
              <w:t>85%</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≥7</w:t>
            </w:r>
            <w:r>
              <w:rPr>
                <w:rFonts w:ascii="方正书宋_GBK" w:eastAsia="方正书宋_GBK"/>
              </w:rPr>
              <w:t>0%</w:t>
            </w:r>
          </w:p>
        </w:tc>
        <w:tc>
          <w:tcPr>
            <w:tcW w:w="728" w:type="dxa"/>
            <w:vAlign w:val="center"/>
          </w:tcPr>
          <w:p>
            <w:pPr>
              <w:spacing w:line="300" w:lineRule="exact"/>
              <w:ind w:firstLine="0" w:firstLineChars="0"/>
              <w:rPr>
                <w:rFonts w:ascii="方正书宋_GBK" w:eastAsia="方正书宋_GBK"/>
              </w:rPr>
            </w:pPr>
            <w:r>
              <w:rPr>
                <w:rFonts w:hint="eastAsia" w:ascii="方正书宋_GBK" w:eastAsia="方正书宋_GBK"/>
              </w:rPr>
              <w:t>＜7</w:t>
            </w:r>
            <w:r>
              <w:rPr>
                <w:rFonts w:ascii="方正书宋_GBK" w:eastAsia="方正书宋_GBK"/>
              </w:rPr>
              <w:t>0%</w:t>
            </w:r>
          </w:p>
        </w:tc>
      </w:tr>
    </w:tbl>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六、政府采购预算情况</w:t>
      </w:r>
    </w:p>
    <w:p>
      <w:pPr>
        <w:widowControl/>
        <w:spacing w:line="560" w:lineRule="exact"/>
        <w:ind w:firstLine="640"/>
        <w:jc w:val="left"/>
        <w:rPr>
          <w:rFonts w:ascii="仿宋_GB2312" w:hAnsi="Calibri" w:eastAsia="仿宋_GB2312" w:cs="仿宋_GB2312"/>
          <w:kern w:val="0"/>
          <w:sz w:val="32"/>
          <w:szCs w:val="32"/>
        </w:rPr>
      </w:pPr>
      <w:bookmarkStart w:id="3" w:name="_Toc471398468"/>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Pr>
          <w:rFonts w:hint="eastAsia" w:ascii="仿宋_GB2312" w:hAnsi="微软雅黑" w:eastAsia="仿宋_GB2312" w:cs="仿宋_GB2312"/>
          <w:kern w:val="0"/>
          <w:sz w:val="32"/>
          <w:szCs w:val="32"/>
        </w:rPr>
        <w:t>2021</w:t>
      </w:r>
      <w:r>
        <w:rPr>
          <w:rFonts w:ascii="仿宋_GB2312" w:hAnsi="微软雅黑" w:eastAsia="仿宋_GB2312" w:cs="仿宋_GB2312"/>
          <w:kern w:val="0"/>
          <w:sz w:val="32"/>
          <w:szCs w:val="32"/>
        </w:rPr>
        <w:t>年我局政府采购事项为</w:t>
      </w:r>
      <w:r>
        <w:rPr>
          <w:rFonts w:hint="eastAsia" w:ascii="仿宋_GB2312" w:hAnsi="微软雅黑" w:eastAsia="仿宋_GB2312" w:cs="仿宋_GB2312"/>
          <w:kern w:val="0"/>
          <w:sz w:val="32"/>
          <w:szCs w:val="32"/>
        </w:rPr>
        <w:t>3万元，</w:t>
      </w:r>
      <w:r>
        <w:rPr>
          <w:rFonts w:hint="eastAsia" w:ascii="仿宋_GB2312" w:hAnsi="Calibri" w:eastAsia="仿宋_GB2312" w:cs="仿宋_GB2312"/>
          <w:kern w:val="0"/>
          <w:sz w:val="32"/>
          <w:szCs w:val="32"/>
        </w:rPr>
        <w:t>其中：电脑6台，单价0.5万元，计3万元</w:t>
      </w:r>
      <w:r>
        <w:rPr>
          <w:rFonts w:ascii="仿宋_GB2312" w:hAnsi="Calibri" w:eastAsia="仿宋_GB2312" w:cs="仿宋_GB2312"/>
          <w:kern w:val="0"/>
          <w:sz w:val="32"/>
          <w:szCs w:val="32"/>
        </w:rPr>
        <w:t>。</w:t>
      </w:r>
    </w:p>
    <w:p>
      <w:pPr>
        <w:widowControl/>
        <w:spacing w:line="560" w:lineRule="exact"/>
        <w:ind w:firstLine="640"/>
        <w:jc w:val="left"/>
        <w:rPr>
          <w:rFonts w:ascii="仿宋_GB2312" w:hAnsi="Calibri" w:eastAsia="仿宋_GB2312" w:cs="仿宋_GB2312"/>
          <w:kern w:val="0"/>
          <w:sz w:val="32"/>
          <w:szCs w:val="32"/>
        </w:rPr>
      </w:pPr>
    </w:p>
    <w:p>
      <w:pPr>
        <w:widowControl/>
        <w:spacing w:line="560" w:lineRule="exact"/>
        <w:ind w:firstLine="640"/>
        <w:jc w:val="left"/>
        <w:rPr>
          <w:rFonts w:ascii="仿宋_GB2312" w:hAnsi="Calibri" w:eastAsia="仿宋_GB2312" w:cs="仿宋_GB2312"/>
          <w:kern w:val="0"/>
          <w:sz w:val="32"/>
          <w:szCs w:val="32"/>
        </w:rPr>
      </w:pPr>
    </w:p>
    <w:p>
      <w:pPr>
        <w:widowControl/>
        <w:spacing w:line="560" w:lineRule="exact"/>
        <w:ind w:firstLine="640"/>
        <w:jc w:val="left"/>
        <w:rPr>
          <w:rFonts w:ascii="仿宋_GB2312" w:hAnsi="Calibri" w:eastAsia="仿宋_GB2312" w:cs="仿宋_GB2312"/>
          <w:kern w:val="0"/>
          <w:sz w:val="32"/>
          <w:szCs w:val="32"/>
        </w:rPr>
      </w:pPr>
    </w:p>
    <w:p>
      <w:pPr>
        <w:widowControl/>
        <w:spacing w:line="560" w:lineRule="exact"/>
        <w:ind w:firstLine="640"/>
        <w:jc w:val="left"/>
        <w:rPr>
          <w:rFonts w:ascii="仿宋_GB2312" w:hAnsi="Calibri" w:eastAsia="仿宋_GB2312" w:cs="仿宋_GB2312"/>
          <w:kern w:val="0"/>
          <w:sz w:val="32"/>
          <w:szCs w:val="32"/>
        </w:rPr>
      </w:pPr>
    </w:p>
    <w:p>
      <w:pPr>
        <w:spacing w:line="560" w:lineRule="exact"/>
        <w:ind w:firstLine="640"/>
        <w:jc w:val="center"/>
        <w:outlineLvl w:val="0"/>
        <w:rPr>
          <w:rFonts w:ascii="宋体" w:hAnsi="宋体" w:eastAsia="宋体" w:cs="Times New Roman"/>
          <w:sz w:val="32"/>
          <w:szCs w:val="32"/>
        </w:rPr>
      </w:pPr>
      <w:r>
        <w:rPr>
          <w:rFonts w:hint="eastAsia" w:ascii="宋体" w:hAnsi="宋体" w:eastAsia="宋体" w:cs="方正小标宋_GBK"/>
          <w:sz w:val="32"/>
          <w:szCs w:val="32"/>
          <w:lang w:eastAsia="zh-CN"/>
        </w:rPr>
        <w:t>单位</w:t>
      </w:r>
      <w:r>
        <w:rPr>
          <w:rFonts w:hint="eastAsia" w:ascii="宋体" w:hAnsi="宋体" w:eastAsia="宋体" w:cs="方正小标宋_GBK"/>
          <w:sz w:val="32"/>
          <w:szCs w:val="32"/>
        </w:rPr>
        <w:t>政府采购预算</w:t>
      </w:r>
      <w:bookmarkEnd w:id="3"/>
    </w:p>
    <w:tbl>
      <w:tblPr>
        <w:tblStyle w:val="4"/>
        <w:tblW w:w="100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86"/>
        <w:gridCol w:w="567"/>
        <w:gridCol w:w="709"/>
        <w:gridCol w:w="708"/>
        <w:gridCol w:w="709"/>
        <w:gridCol w:w="709"/>
        <w:gridCol w:w="992"/>
        <w:gridCol w:w="851"/>
        <w:gridCol w:w="567"/>
        <w:gridCol w:w="708"/>
        <w:gridCol w:w="709"/>
        <w:gridCol w:w="709"/>
        <w:gridCol w:w="709"/>
        <w:gridCol w:w="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5280" w:type="dxa"/>
            <w:gridSpan w:val="7"/>
            <w:tcBorders>
              <w:top w:val="single" w:color="FFFFFF" w:sz="6" w:space="0"/>
              <w:left w:val="single" w:color="FFFFFF" w:sz="6" w:space="0"/>
              <w:right w:val="single" w:color="FFFFFF" w:sz="6" w:space="0"/>
            </w:tcBorders>
            <w:vAlign w:val="center"/>
          </w:tcPr>
          <w:p>
            <w:pPr>
              <w:spacing w:line="560" w:lineRule="exact"/>
              <w:ind w:firstLine="480"/>
              <w:jc w:val="left"/>
              <w:rPr>
                <w:rFonts w:ascii="宋体" w:hAnsi="宋体" w:eastAsia="宋体" w:cs="Times New Roman"/>
                <w:sz w:val="24"/>
                <w:szCs w:val="24"/>
              </w:rPr>
            </w:pPr>
            <w:r>
              <w:rPr>
                <w:rFonts w:hint="eastAsia" w:ascii="宋体" w:hAnsi="宋体" w:eastAsia="宋体" w:cs="方正小标宋_GBK"/>
                <w:sz w:val="24"/>
                <w:szCs w:val="24"/>
                <w:lang w:eastAsia="zh-CN"/>
              </w:rPr>
              <w:t>单位</w:t>
            </w:r>
            <w:r>
              <w:rPr>
                <w:rFonts w:hint="eastAsia" w:ascii="宋体" w:hAnsi="宋体" w:eastAsia="宋体" w:cs="方正小标宋_GBK"/>
                <w:sz w:val="24"/>
                <w:szCs w:val="24"/>
              </w:rPr>
              <w:t>（单位）名称：成安县财政局</w:t>
            </w:r>
          </w:p>
        </w:tc>
        <w:tc>
          <w:tcPr>
            <w:tcW w:w="4768" w:type="dxa"/>
            <w:gridSpan w:val="7"/>
            <w:tcBorders>
              <w:top w:val="single" w:color="FFFFFF" w:sz="6" w:space="0"/>
              <w:left w:val="single" w:color="FFFFFF" w:sz="6" w:space="0"/>
              <w:right w:val="single" w:color="FFFFFF" w:sz="6" w:space="0"/>
            </w:tcBorders>
            <w:vAlign w:val="center"/>
          </w:tcPr>
          <w:p>
            <w:pPr>
              <w:spacing w:line="560" w:lineRule="exact"/>
              <w:ind w:firstLine="480"/>
              <w:jc w:val="right"/>
              <w:rPr>
                <w:rFonts w:ascii="宋体" w:hAnsi="宋体" w:eastAsia="宋体" w:cs="Times New Roman"/>
                <w:sz w:val="24"/>
                <w:szCs w:val="24"/>
              </w:rPr>
            </w:pPr>
            <w:r>
              <w:rPr>
                <w:rFonts w:hint="eastAsia" w:ascii="宋体" w:hAnsi="宋体" w:eastAsia="宋体"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453" w:type="dxa"/>
            <w:gridSpan w:val="2"/>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政府采购项目来源</w:t>
            </w:r>
          </w:p>
        </w:tc>
        <w:tc>
          <w:tcPr>
            <w:tcW w:w="709"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采购物品名称</w:t>
            </w:r>
          </w:p>
        </w:tc>
        <w:tc>
          <w:tcPr>
            <w:tcW w:w="708"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政府采购目录序号</w:t>
            </w:r>
          </w:p>
        </w:tc>
        <w:tc>
          <w:tcPr>
            <w:tcW w:w="709"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数量单位</w:t>
            </w:r>
          </w:p>
        </w:tc>
        <w:tc>
          <w:tcPr>
            <w:tcW w:w="709"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数量</w:t>
            </w:r>
          </w:p>
        </w:tc>
        <w:tc>
          <w:tcPr>
            <w:tcW w:w="992"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单价</w:t>
            </w:r>
          </w:p>
        </w:tc>
        <w:tc>
          <w:tcPr>
            <w:tcW w:w="4768" w:type="dxa"/>
            <w:gridSpan w:val="7"/>
            <w:vAlign w:val="center"/>
          </w:tcPr>
          <w:p>
            <w:pPr>
              <w:spacing w:line="560" w:lineRule="exact"/>
              <w:ind w:firstLine="422"/>
              <w:jc w:val="center"/>
              <w:rPr>
                <w:rFonts w:ascii="宋体" w:hAnsi="宋体" w:eastAsia="宋体" w:cs="Times New Roman"/>
                <w:b/>
                <w:bCs/>
              </w:rPr>
            </w:pPr>
            <w:r>
              <w:rPr>
                <w:rFonts w:hint="eastAsia" w:ascii="宋体" w:hAnsi="宋体" w:eastAsia="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6" w:type="dxa"/>
            <w:vMerge w:val="restart"/>
            <w:vAlign w:val="center"/>
          </w:tcPr>
          <w:p>
            <w:pPr>
              <w:spacing w:line="360" w:lineRule="exact"/>
              <w:ind w:firstLine="0" w:firstLineChars="0"/>
              <w:rPr>
                <w:rFonts w:ascii="宋体" w:hAnsi="宋体" w:eastAsia="宋体" w:cs="Times New Roman"/>
                <w:b/>
                <w:bCs/>
              </w:rPr>
            </w:pPr>
            <w:r>
              <w:rPr>
                <w:rFonts w:hint="eastAsia" w:ascii="宋体" w:hAnsi="宋体" w:eastAsia="宋体" w:cs="方正书宋_GBK"/>
                <w:b/>
                <w:bCs/>
              </w:rPr>
              <w:t>项目名称</w:t>
            </w:r>
          </w:p>
        </w:tc>
        <w:tc>
          <w:tcPr>
            <w:tcW w:w="567" w:type="dxa"/>
            <w:vMerge w:val="restart"/>
            <w:vAlign w:val="center"/>
          </w:tcPr>
          <w:p>
            <w:pPr>
              <w:spacing w:line="260" w:lineRule="exact"/>
              <w:ind w:firstLine="0" w:firstLineChars="0"/>
              <w:rPr>
                <w:rFonts w:ascii="宋体" w:hAnsi="宋体" w:eastAsia="宋体" w:cs="Times New Roman"/>
                <w:b/>
                <w:bCs/>
              </w:rPr>
            </w:pPr>
            <w:r>
              <w:rPr>
                <w:rFonts w:hint="eastAsia" w:ascii="宋体" w:hAnsi="宋体" w:eastAsia="宋体" w:cs="方正书宋_GBK"/>
                <w:b/>
                <w:bCs/>
              </w:rPr>
              <w:t>预算资金</w:t>
            </w:r>
          </w:p>
        </w:tc>
        <w:tc>
          <w:tcPr>
            <w:tcW w:w="709" w:type="dxa"/>
            <w:vMerge w:val="continue"/>
            <w:vAlign w:val="center"/>
          </w:tcPr>
          <w:p>
            <w:pPr>
              <w:spacing w:line="360" w:lineRule="exact"/>
              <w:ind w:firstLine="420"/>
              <w:jc w:val="left"/>
              <w:outlineLvl w:val="0"/>
              <w:rPr>
                <w:rFonts w:ascii="宋体" w:hAnsi="宋体" w:eastAsia="宋体" w:cs="Times New Roman"/>
              </w:rPr>
            </w:pPr>
          </w:p>
        </w:tc>
        <w:tc>
          <w:tcPr>
            <w:tcW w:w="708" w:type="dxa"/>
            <w:vMerge w:val="continue"/>
            <w:vAlign w:val="center"/>
          </w:tcPr>
          <w:p>
            <w:pPr>
              <w:spacing w:line="360" w:lineRule="exact"/>
              <w:ind w:firstLine="420"/>
              <w:jc w:val="left"/>
              <w:outlineLvl w:val="0"/>
              <w:rPr>
                <w:rFonts w:ascii="宋体" w:hAnsi="宋体" w:eastAsia="宋体" w:cs="Times New Roman"/>
              </w:rPr>
            </w:pPr>
          </w:p>
        </w:tc>
        <w:tc>
          <w:tcPr>
            <w:tcW w:w="709" w:type="dxa"/>
            <w:vMerge w:val="continue"/>
            <w:vAlign w:val="center"/>
          </w:tcPr>
          <w:p>
            <w:pPr>
              <w:spacing w:line="3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992" w:type="dxa"/>
            <w:vMerge w:val="continue"/>
            <w:vAlign w:val="center"/>
          </w:tcPr>
          <w:p>
            <w:pPr>
              <w:spacing w:line="560" w:lineRule="exact"/>
              <w:ind w:firstLine="420"/>
              <w:jc w:val="left"/>
              <w:outlineLvl w:val="0"/>
              <w:rPr>
                <w:rFonts w:ascii="宋体" w:hAnsi="宋体" w:eastAsia="宋体" w:cs="Times New Roman"/>
              </w:rPr>
            </w:pPr>
          </w:p>
        </w:tc>
        <w:tc>
          <w:tcPr>
            <w:tcW w:w="851" w:type="dxa"/>
            <w:vMerge w:val="restart"/>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合计</w:t>
            </w:r>
          </w:p>
        </w:tc>
        <w:tc>
          <w:tcPr>
            <w:tcW w:w="3402" w:type="dxa"/>
            <w:gridSpan w:val="5"/>
            <w:vAlign w:val="center"/>
          </w:tcPr>
          <w:p>
            <w:pPr>
              <w:spacing w:line="360" w:lineRule="exact"/>
              <w:ind w:firstLine="422"/>
              <w:jc w:val="center"/>
              <w:rPr>
                <w:rFonts w:ascii="宋体" w:hAnsi="宋体" w:eastAsia="宋体" w:cs="Times New Roman"/>
                <w:b/>
                <w:bCs/>
              </w:rPr>
            </w:pPr>
            <w:r>
              <w:rPr>
                <w:rFonts w:hint="eastAsia" w:ascii="宋体" w:hAnsi="宋体" w:eastAsia="宋体" w:cs="方正书宋_GBK"/>
                <w:b/>
                <w:bCs/>
              </w:rPr>
              <w:t>当年</w:t>
            </w:r>
            <w:r>
              <w:rPr>
                <w:rFonts w:hint="eastAsia" w:ascii="宋体" w:hAnsi="宋体" w:eastAsia="宋体" w:cs="方正书宋_GBK"/>
                <w:b/>
                <w:bCs/>
                <w:lang w:eastAsia="zh-CN"/>
              </w:rPr>
              <w:t>单位</w:t>
            </w:r>
            <w:r>
              <w:rPr>
                <w:rFonts w:hint="eastAsia" w:ascii="宋体" w:hAnsi="宋体" w:eastAsia="宋体" w:cs="方正书宋_GBK"/>
                <w:b/>
                <w:bCs/>
              </w:rPr>
              <w:t>预算安排资金</w:t>
            </w:r>
          </w:p>
        </w:tc>
        <w:tc>
          <w:tcPr>
            <w:tcW w:w="515" w:type="dxa"/>
            <w:vMerge w:val="restart"/>
            <w:vAlign w:val="center"/>
          </w:tcPr>
          <w:p>
            <w:pPr>
              <w:spacing w:line="260" w:lineRule="exact"/>
              <w:ind w:firstLine="0" w:firstLineChars="0"/>
              <w:rPr>
                <w:rFonts w:ascii="宋体" w:hAnsi="宋体" w:eastAsia="宋体" w:cs="Times New Roman"/>
                <w:b/>
                <w:bCs/>
              </w:rPr>
            </w:pPr>
            <w:r>
              <w:rPr>
                <w:rFonts w:hint="eastAsia" w:ascii="宋体" w:hAnsi="宋体" w:eastAsia="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86" w:type="dxa"/>
            <w:vMerge w:val="continue"/>
            <w:vAlign w:val="center"/>
          </w:tcPr>
          <w:p>
            <w:pPr>
              <w:spacing w:line="560" w:lineRule="exact"/>
              <w:ind w:firstLine="420"/>
              <w:jc w:val="left"/>
              <w:outlineLvl w:val="0"/>
              <w:rPr>
                <w:rFonts w:ascii="宋体" w:hAnsi="宋体" w:eastAsia="宋体" w:cs="Times New Roman"/>
              </w:rPr>
            </w:pPr>
          </w:p>
        </w:tc>
        <w:tc>
          <w:tcPr>
            <w:tcW w:w="567" w:type="dxa"/>
            <w:vMerge w:val="continue"/>
            <w:vAlign w:val="center"/>
          </w:tcPr>
          <w:p>
            <w:pPr>
              <w:spacing w:line="5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708" w:type="dxa"/>
            <w:vMerge w:val="continue"/>
            <w:vAlign w:val="center"/>
          </w:tcPr>
          <w:p>
            <w:pPr>
              <w:spacing w:line="5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709" w:type="dxa"/>
            <w:vMerge w:val="continue"/>
            <w:vAlign w:val="center"/>
          </w:tcPr>
          <w:p>
            <w:pPr>
              <w:spacing w:line="560" w:lineRule="exact"/>
              <w:ind w:firstLine="420"/>
              <w:jc w:val="left"/>
              <w:outlineLvl w:val="0"/>
              <w:rPr>
                <w:rFonts w:ascii="宋体" w:hAnsi="宋体" w:eastAsia="宋体" w:cs="Times New Roman"/>
              </w:rPr>
            </w:pPr>
          </w:p>
        </w:tc>
        <w:tc>
          <w:tcPr>
            <w:tcW w:w="992" w:type="dxa"/>
            <w:vMerge w:val="continue"/>
            <w:vAlign w:val="center"/>
          </w:tcPr>
          <w:p>
            <w:pPr>
              <w:spacing w:line="560" w:lineRule="exact"/>
              <w:ind w:firstLine="420"/>
              <w:jc w:val="left"/>
              <w:outlineLvl w:val="0"/>
              <w:rPr>
                <w:rFonts w:ascii="宋体" w:hAnsi="宋体" w:eastAsia="宋体" w:cs="Times New Roman"/>
              </w:rPr>
            </w:pPr>
          </w:p>
        </w:tc>
        <w:tc>
          <w:tcPr>
            <w:tcW w:w="851" w:type="dxa"/>
            <w:vMerge w:val="continue"/>
            <w:vAlign w:val="center"/>
          </w:tcPr>
          <w:p>
            <w:pPr>
              <w:spacing w:line="560" w:lineRule="exact"/>
              <w:ind w:firstLine="420"/>
              <w:jc w:val="left"/>
              <w:outlineLvl w:val="0"/>
              <w:rPr>
                <w:rFonts w:ascii="宋体" w:hAnsi="宋体" w:eastAsia="宋体" w:cs="Times New Roman"/>
              </w:rPr>
            </w:pPr>
          </w:p>
        </w:tc>
        <w:tc>
          <w:tcPr>
            <w:tcW w:w="567" w:type="dxa"/>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小计</w:t>
            </w:r>
          </w:p>
        </w:tc>
        <w:tc>
          <w:tcPr>
            <w:tcW w:w="708"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一般公共预算拨款</w:t>
            </w:r>
          </w:p>
        </w:tc>
        <w:tc>
          <w:tcPr>
            <w:tcW w:w="709"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基金预算拨款</w:t>
            </w:r>
          </w:p>
        </w:tc>
        <w:tc>
          <w:tcPr>
            <w:tcW w:w="709"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财政专户核拨</w:t>
            </w:r>
          </w:p>
        </w:tc>
        <w:tc>
          <w:tcPr>
            <w:tcW w:w="709" w:type="dxa"/>
            <w:vAlign w:val="center"/>
          </w:tcPr>
          <w:p>
            <w:pPr>
              <w:spacing w:line="240" w:lineRule="exact"/>
              <w:ind w:firstLine="0" w:firstLineChars="0"/>
              <w:rPr>
                <w:rFonts w:ascii="宋体" w:hAnsi="宋体" w:eastAsia="宋体" w:cs="Times New Roman"/>
                <w:b/>
                <w:bCs/>
              </w:rPr>
            </w:pPr>
            <w:r>
              <w:rPr>
                <w:rFonts w:hint="eastAsia" w:ascii="宋体" w:hAnsi="宋体" w:eastAsia="宋体" w:cs="方正书宋_GBK"/>
                <w:b/>
                <w:bCs/>
              </w:rPr>
              <w:t>其他来源收入</w:t>
            </w:r>
          </w:p>
        </w:tc>
        <w:tc>
          <w:tcPr>
            <w:tcW w:w="515" w:type="dxa"/>
            <w:vMerge w:val="continue"/>
            <w:vAlign w:val="center"/>
          </w:tcPr>
          <w:p>
            <w:pPr>
              <w:spacing w:line="360" w:lineRule="exact"/>
              <w:ind w:firstLine="420"/>
              <w:jc w:val="left"/>
              <w:outlineLvl w:val="0"/>
              <w:rPr>
                <w:rFonts w:ascii="宋体" w:hAnsi="宋体" w:eastAsia="宋体"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6" w:type="dxa"/>
            <w:vAlign w:val="center"/>
          </w:tcPr>
          <w:p>
            <w:pPr>
              <w:spacing w:line="560" w:lineRule="exact"/>
              <w:ind w:firstLine="0" w:firstLineChars="0"/>
              <w:rPr>
                <w:rFonts w:ascii="宋体" w:hAnsi="宋体" w:eastAsia="宋体" w:cs="Times New Roman"/>
                <w:b/>
                <w:bCs/>
              </w:rPr>
            </w:pPr>
            <w:r>
              <w:rPr>
                <w:rFonts w:hint="eastAsia" w:ascii="宋体" w:hAnsi="宋体" w:eastAsia="宋体" w:cs="方正书宋_GBK"/>
                <w:b/>
                <w:bCs/>
              </w:rPr>
              <w:t>合　计</w:t>
            </w:r>
          </w:p>
        </w:tc>
        <w:tc>
          <w:tcPr>
            <w:tcW w:w="567" w:type="dxa"/>
            <w:vAlign w:val="center"/>
          </w:tcPr>
          <w:p>
            <w:pPr>
              <w:spacing w:line="560" w:lineRule="exact"/>
              <w:ind w:right="420" w:firstLine="0" w:firstLineChars="0"/>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电脑</w:t>
            </w:r>
          </w:p>
        </w:tc>
        <w:tc>
          <w:tcPr>
            <w:tcW w:w="708" w:type="dxa"/>
            <w:vAlign w:val="center"/>
          </w:tcPr>
          <w:p>
            <w:pPr>
              <w:spacing w:line="560" w:lineRule="exact"/>
              <w:ind w:firstLine="0" w:firstLineChars="0"/>
              <w:jc w:val="left"/>
              <w:rPr>
                <w:rFonts w:ascii="宋体" w:hAnsi="宋体" w:eastAsia="宋体" w:cs="Times New Roman"/>
                <w:b/>
                <w:bCs/>
              </w:rPr>
            </w:pP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台</w:t>
            </w:r>
          </w:p>
        </w:tc>
        <w:tc>
          <w:tcPr>
            <w:tcW w:w="709"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6</w:t>
            </w:r>
          </w:p>
        </w:tc>
        <w:tc>
          <w:tcPr>
            <w:tcW w:w="992"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0.5</w:t>
            </w:r>
          </w:p>
        </w:tc>
        <w:tc>
          <w:tcPr>
            <w:tcW w:w="851" w:type="dxa"/>
            <w:vAlign w:val="center"/>
          </w:tcPr>
          <w:p>
            <w:pPr>
              <w:spacing w:line="560" w:lineRule="exact"/>
              <w:ind w:firstLine="422"/>
              <w:jc w:val="right"/>
              <w:rPr>
                <w:rFonts w:ascii="宋体" w:hAnsi="宋体" w:eastAsia="宋体" w:cs="Times New Roman"/>
                <w:b/>
                <w:bCs/>
              </w:rPr>
            </w:pPr>
            <w:r>
              <w:rPr>
                <w:rFonts w:hint="eastAsia" w:ascii="宋体" w:hAnsi="宋体" w:eastAsia="宋体" w:cs="Times New Roman"/>
                <w:b/>
                <w:bCs/>
              </w:rPr>
              <w:t>3</w:t>
            </w:r>
          </w:p>
        </w:tc>
        <w:tc>
          <w:tcPr>
            <w:tcW w:w="567"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8"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515" w:type="dxa"/>
            <w:vAlign w:val="center"/>
          </w:tcPr>
          <w:p>
            <w:pPr>
              <w:spacing w:line="560" w:lineRule="exact"/>
              <w:ind w:firstLine="422"/>
              <w:jc w:val="right"/>
              <w:rPr>
                <w:rFonts w:ascii="宋体" w:hAnsi="宋体" w:eastAsia="宋体"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86" w:type="dxa"/>
            <w:vAlign w:val="center"/>
          </w:tcPr>
          <w:p>
            <w:pPr>
              <w:spacing w:line="560" w:lineRule="exact"/>
              <w:ind w:firstLine="0" w:firstLineChars="0"/>
              <w:rPr>
                <w:rFonts w:ascii="宋体" w:hAnsi="宋体" w:eastAsia="宋体" w:cs="Times New Roman"/>
                <w:b/>
                <w:bCs/>
              </w:rPr>
            </w:pPr>
            <w:r>
              <w:rPr>
                <w:rFonts w:hint="eastAsia" w:ascii="宋体" w:hAnsi="宋体" w:eastAsia="宋体" w:cs="Times New Roman"/>
                <w:b/>
                <w:bCs/>
              </w:rPr>
              <w:t>日常公用经费</w:t>
            </w:r>
          </w:p>
        </w:tc>
        <w:tc>
          <w:tcPr>
            <w:tcW w:w="567" w:type="dxa"/>
            <w:vAlign w:val="center"/>
          </w:tcPr>
          <w:p>
            <w:pPr>
              <w:spacing w:line="560" w:lineRule="exact"/>
              <w:ind w:right="420" w:firstLine="0" w:firstLineChars="0"/>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电脑</w:t>
            </w:r>
          </w:p>
        </w:tc>
        <w:tc>
          <w:tcPr>
            <w:tcW w:w="708" w:type="dxa"/>
            <w:vAlign w:val="center"/>
          </w:tcPr>
          <w:p>
            <w:pPr>
              <w:spacing w:line="560" w:lineRule="exact"/>
              <w:ind w:firstLine="422"/>
              <w:jc w:val="left"/>
              <w:rPr>
                <w:rFonts w:ascii="宋体" w:hAnsi="宋体" w:eastAsia="宋体" w:cs="Times New Roman"/>
                <w:b/>
                <w:bCs/>
              </w:rPr>
            </w:pPr>
            <w:r>
              <w:rPr>
                <w:rFonts w:hint="eastAsia" w:ascii="宋体" w:hAnsi="宋体" w:eastAsia="宋体" w:cs="Times New Roman"/>
                <w:b/>
                <w:bCs/>
              </w:rPr>
              <w:t>A020199</w:t>
            </w:r>
          </w:p>
        </w:tc>
        <w:tc>
          <w:tcPr>
            <w:tcW w:w="709" w:type="dxa"/>
            <w:vAlign w:val="center"/>
          </w:tcPr>
          <w:p>
            <w:pPr>
              <w:spacing w:line="560" w:lineRule="exact"/>
              <w:ind w:firstLine="0" w:firstLineChars="0"/>
              <w:jc w:val="left"/>
              <w:rPr>
                <w:rFonts w:ascii="宋体" w:hAnsi="宋体" w:eastAsia="宋体" w:cs="Times New Roman"/>
                <w:b/>
                <w:bCs/>
              </w:rPr>
            </w:pPr>
            <w:r>
              <w:rPr>
                <w:rFonts w:hint="eastAsia" w:ascii="宋体" w:hAnsi="宋体" w:eastAsia="宋体" w:cs="Times New Roman"/>
                <w:b/>
                <w:bCs/>
              </w:rPr>
              <w:t>台</w:t>
            </w:r>
          </w:p>
        </w:tc>
        <w:tc>
          <w:tcPr>
            <w:tcW w:w="709"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6</w:t>
            </w:r>
          </w:p>
        </w:tc>
        <w:tc>
          <w:tcPr>
            <w:tcW w:w="992"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0.5</w:t>
            </w:r>
          </w:p>
        </w:tc>
        <w:tc>
          <w:tcPr>
            <w:tcW w:w="851" w:type="dxa"/>
            <w:vAlign w:val="center"/>
          </w:tcPr>
          <w:p>
            <w:pPr>
              <w:spacing w:line="560" w:lineRule="exact"/>
              <w:ind w:firstLine="422"/>
              <w:jc w:val="right"/>
              <w:rPr>
                <w:rFonts w:ascii="宋体" w:hAnsi="宋体" w:eastAsia="宋体" w:cs="Times New Roman"/>
                <w:b/>
                <w:bCs/>
              </w:rPr>
            </w:pPr>
            <w:r>
              <w:rPr>
                <w:rFonts w:hint="eastAsia" w:ascii="宋体" w:hAnsi="宋体" w:eastAsia="宋体" w:cs="Times New Roman"/>
                <w:b/>
                <w:bCs/>
              </w:rPr>
              <w:t>3</w:t>
            </w:r>
          </w:p>
        </w:tc>
        <w:tc>
          <w:tcPr>
            <w:tcW w:w="567"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8" w:type="dxa"/>
            <w:vAlign w:val="center"/>
          </w:tcPr>
          <w:p>
            <w:pPr>
              <w:spacing w:line="560" w:lineRule="exact"/>
              <w:ind w:right="420" w:firstLine="0" w:firstLineChars="0"/>
              <w:jc w:val="right"/>
              <w:rPr>
                <w:rFonts w:ascii="宋体" w:hAnsi="宋体" w:eastAsia="宋体" w:cs="Times New Roman"/>
                <w:b/>
                <w:bCs/>
              </w:rPr>
            </w:pPr>
            <w:r>
              <w:rPr>
                <w:rFonts w:hint="eastAsia" w:ascii="宋体" w:hAnsi="宋体" w:eastAsia="宋体" w:cs="Times New Roman"/>
                <w:b/>
                <w:bCs/>
              </w:rPr>
              <w:t>3</w:t>
            </w: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709" w:type="dxa"/>
            <w:vAlign w:val="center"/>
          </w:tcPr>
          <w:p>
            <w:pPr>
              <w:spacing w:line="560" w:lineRule="exact"/>
              <w:ind w:firstLine="422"/>
              <w:jc w:val="right"/>
              <w:rPr>
                <w:rFonts w:ascii="宋体" w:hAnsi="宋体" w:eastAsia="宋体" w:cs="Times New Roman"/>
                <w:b/>
                <w:bCs/>
              </w:rPr>
            </w:pPr>
          </w:p>
        </w:tc>
        <w:tc>
          <w:tcPr>
            <w:tcW w:w="515" w:type="dxa"/>
            <w:vAlign w:val="center"/>
          </w:tcPr>
          <w:p>
            <w:pPr>
              <w:spacing w:line="560" w:lineRule="exact"/>
              <w:ind w:firstLine="422"/>
              <w:jc w:val="right"/>
              <w:rPr>
                <w:rFonts w:ascii="宋体" w:hAnsi="宋体" w:eastAsia="宋体" w:cs="Times New Roman"/>
                <w:b/>
                <w:bCs/>
              </w:rPr>
            </w:pPr>
          </w:p>
        </w:tc>
      </w:tr>
    </w:tbl>
    <w:p>
      <w:pPr>
        <w:autoSpaceDE w:val="0"/>
        <w:autoSpaceDN w:val="0"/>
        <w:adjustRightInd w:val="0"/>
        <w:spacing w:line="560" w:lineRule="exact"/>
        <w:ind w:firstLine="640"/>
        <w:jc w:val="left"/>
        <w:rPr>
          <w:rFonts w:ascii="黑体" w:hAnsi="黑体" w:eastAsia="黑体" w:cs="Times New Roman"/>
          <w:sz w:val="32"/>
          <w:szCs w:val="32"/>
        </w:rPr>
      </w:pPr>
      <w:r>
        <w:rPr>
          <w:rFonts w:hint="eastAsia" w:ascii="黑体" w:hAnsi="黑体" w:eastAsia="黑体" w:cs="黑体"/>
          <w:sz w:val="32"/>
          <w:szCs w:val="32"/>
        </w:rPr>
        <w:t>七、国有资产信息</w:t>
      </w:r>
    </w:p>
    <w:p>
      <w:pPr>
        <w:widowControl/>
        <w:spacing w:line="360" w:lineRule="auto"/>
        <w:ind w:firstLine="64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206</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其中：房屋价值129万元，车辆价值12万元，其它资产65万元(包括电脑，办公家具等)。2021年我单位拟购置3万元。</w:t>
      </w:r>
    </w:p>
    <w:tbl>
      <w:tblPr>
        <w:tblStyle w:val="4"/>
        <w:tblW w:w="9060" w:type="dxa"/>
        <w:tblInd w:w="-106" w:type="dxa"/>
        <w:tblLayout w:type="fixed"/>
        <w:tblCellMar>
          <w:top w:w="0" w:type="dxa"/>
          <w:left w:w="108" w:type="dxa"/>
          <w:bottom w:w="0" w:type="dxa"/>
          <w:right w:w="108" w:type="dxa"/>
        </w:tblCellMar>
      </w:tblPr>
      <w:tblGrid>
        <w:gridCol w:w="4139"/>
        <w:gridCol w:w="1037"/>
        <w:gridCol w:w="3884"/>
      </w:tblGrid>
      <w:tr>
        <w:tblPrEx>
          <w:tblCellMar>
            <w:top w:w="0" w:type="dxa"/>
            <w:left w:w="108" w:type="dxa"/>
            <w:bottom w:w="0" w:type="dxa"/>
            <w:right w:w="108" w:type="dxa"/>
          </w:tblCellMar>
        </w:tblPrEx>
        <w:trPr>
          <w:trHeight w:val="705" w:hRule="atLeast"/>
        </w:trPr>
        <w:tc>
          <w:tcPr>
            <w:tcW w:w="9060" w:type="dxa"/>
            <w:gridSpan w:val="3"/>
            <w:tcBorders>
              <w:top w:val="nil"/>
              <w:left w:val="nil"/>
              <w:bottom w:val="nil"/>
              <w:right w:val="nil"/>
            </w:tcBorders>
            <w:vAlign w:val="center"/>
          </w:tcPr>
          <w:p>
            <w:pPr>
              <w:widowControl/>
              <w:ind w:firstLine="643"/>
              <w:jc w:val="center"/>
              <w:rPr>
                <w:rFonts w:ascii="宋体" w:hAnsi="宋体" w:eastAsia="宋体" w:cs="Times New Roman"/>
                <w:b/>
                <w:bCs/>
                <w:kern w:val="0"/>
                <w:sz w:val="32"/>
                <w:szCs w:val="32"/>
              </w:rPr>
            </w:pPr>
            <w:r>
              <w:rPr>
                <w:rFonts w:hint="eastAsia" w:ascii="宋体" w:hAnsi="宋体" w:eastAsia="宋体" w:cs="宋体"/>
                <w:b/>
                <w:bCs/>
                <w:kern w:val="0"/>
                <w:sz w:val="32"/>
                <w:szCs w:val="32"/>
                <w:lang w:eastAsia="zh-CN"/>
              </w:rPr>
              <w:t>单位</w:t>
            </w:r>
            <w:r>
              <w:rPr>
                <w:rFonts w:hint="eastAsia" w:ascii="宋体" w:hAnsi="宋体" w:eastAsia="宋体" w:cs="宋体"/>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5176" w:type="dxa"/>
            <w:gridSpan w:val="2"/>
            <w:tcBorders>
              <w:top w:val="nil"/>
              <w:left w:val="nil"/>
              <w:bottom w:val="nil"/>
              <w:right w:val="nil"/>
            </w:tcBorders>
            <w:vAlign w:val="center"/>
          </w:tcPr>
          <w:p>
            <w:pPr>
              <w:widowControl/>
              <w:ind w:firstLine="0" w:firstLineChars="0"/>
              <w:jc w:val="left"/>
              <w:rPr>
                <w:rFonts w:ascii="宋体" w:hAnsi="宋体" w:eastAsia="宋体" w:cs="Times New Roman"/>
                <w:kern w:val="0"/>
                <w:sz w:val="22"/>
              </w:rPr>
            </w:pPr>
            <w:r>
              <w:rPr>
                <w:rFonts w:hint="eastAsia" w:ascii="宋体" w:hAnsi="宋体" w:eastAsia="宋体" w:cs="宋体"/>
                <w:kern w:val="0"/>
                <w:sz w:val="22"/>
                <w:szCs w:val="22"/>
              </w:rPr>
              <w:t>编制</w:t>
            </w:r>
            <w:r>
              <w:rPr>
                <w:rFonts w:hint="eastAsia" w:ascii="宋体" w:hAnsi="宋体" w:eastAsia="宋体" w:cs="宋体"/>
                <w:kern w:val="0"/>
                <w:sz w:val="22"/>
                <w:szCs w:val="22"/>
                <w:lang w:eastAsia="zh-CN"/>
              </w:rPr>
              <w:t>单位</w:t>
            </w:r>
            <w:r>
              <w:rPr>
                <w:rFonts w:hint="eastAsia" w:ascii="宋体" w:hAnsi="宋体" w:eastAsia="宋体" w:cs="宋体"/>
                <w:kern w:val="0"/>
                <w:sz w:val="22"/>
                <w:szCs w:val="22"/>
              </w:rPr>
              <w:t>：成安县财政局</w:t>
            </w:r>
          </w:p>
        </w:tc>
        <w:tc>
          <w:tcPr>
            <w:tcW w:w="3884" w:type="dxa"/>
            <w:tcBorders>
              <w:top w:val="nil"/>
              <w:left w:val="nil"/>
              <w:bottom w:val="nil"/>
              <w:right w:val="nil"/>
            </w:tcBorders>
            <w:vAlign w:val="center"/>
          </w:tcPr>
          <w:p>
            <w:pPr>
              <w:widowControl/>
              <w:ind w:firstLine="440"/>
              <w:jc w:val="left"/>
              <w:rPr>
                <w:rFonts w:ascii="宋体" w:hAnsi="宋体" w:eastAsia="宋体" w:cs="宋体"/>
                <w:kern w:val="0"/>
                <w:sz w:val="22"/>
              </w:rPr>
            </w:pPr>
            <w:r>
              <w:rPr>
                <w:rFonts w:hint="eastAsia" w:ascii="宋体" w:hAnsi="宋体" w:eastAsia="宋体" w:cs="宋体"/>
                <w:kern w:val="0"/>
                <w:sz w:val="22"/>
                <w:szCs w:val="22"/>
              </w:rPr>
              <w:t>截止时间：2020年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4139" w:type="dxa"/>
            <w:vAlign w:val="center"/>
          </w:tcPr>
          <w:p>
            <w:pPr>
              <w:widowControl/>
              <w:ind w:firstLine="442"/>
              <w:jc w:val="center"/>
              <w:rPr>
                <w:rFonts w:ascii="宋体" w:hAnsi="宋体" w:eastAsia="宋体" w:cs="宋体"/>
                <w:b/>
                <w:kern w:val="0"/>
                <w:sz w:val="22"/>
                <w:szCs w:val="22"/>
              </w:rPr>
            </w:pPr>
            <w:r>
              <w:rPr>
                <w:rFonts w:hint="eastAsia" w:ascii="宋体" w:hAnsi="宋体" w:eastAsia="宋体" w:cs="宋体"/>
                <w:b/>
                <w:kern w:val="0"/>
                <w:sz w:val="22"/>
                <w:szCs w:val="22"/>
              </w:rPr>
              <w:t>项目</w:t>
            </w:r>
          </w:p>
        </w:tc>
        <w:tc>
          <w:tcPr>
            <w:tcW w:w="1037" w:type="dxa"/>
            <w:vAlign w:val="center"/>
          </w:tcPr>
          <w:p>
            <w:pPr>
              <w:widowControl/>
              <w:ind w:firstLine="0" w:firstLineChars="0"/>
              <w:rPr>
                <w:rFonts w:ascii="宋体" w:hAnsi="宋体" w:eastAsia="宋体" w:cs="宋体"/>
                <w:b/>
                <w:kern w:val="0"/>
                <w:sz w:val="22"/>
                <w:szCs w:val="22"/>
              </w:rPr>
            </w:pPr>
            <w:r>
              <w:rPr>
                <w:rFonts w:hint="eastAsia" w:ascii="宋体" w:hAnsi="宋体" w:eastAsia="宋体" w:cs="宋体"/>
                <w:b/>
                <w:kern w:val="0"/>
                <w:sz w:val="22"/>
                <w:szCs w:val="22"/>
              </w:rPr>
              <w:t>数量</w:t>
            </w:r>
          </w:p>
        </w:tc>
        <w:tc>
          <w:tcPr>
            <w:tcW w:w="3884" w:type="dxa"/>
            <w:vAlign w:val="center"/>
          </w:tcPr>
          <w:p>
            <w:pPr>
              <w:widowControl/>
              <w:ind w:firstLine="442"/>
              <w:jc w:val="center"/>
              <w:rPr>
                <w:rFonts w:ascii="宋体" w:hAnsi="宋体" w:eastAsia="宋体" w:cs="宋体"/>
                <w:b/>
                <w:kern w:val="0"/>
                <w:sz w:val="22"/>
              </w:rPr>
            </w:pPr>
            <w:r>
              <w:rPr>
                <w:rFonts w:hint="eastAsia" w:ascii="宋体" w:hAnsi="宋体" w:eastAsia="宋体" w:cs="宋体"/>
                <w:b/>
                <w:bCs/>
                <w:kern w:val="0"/>
                <w:sz w:val="22"/>
                <w:szCs w:val="22"/>
              </w:rPr>
              <w:t>价值（金额单位：万元）</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宋体"/>
                <w:kern w:val="0"/>
                <w:sz w:val="22"/>
              </w:rPr>
            </w:pPr>
            <w:r>
              <w:rPr>
                <w:rFonts w:ascii="宋体" w:hAnsi="宋体" w:eastAsia="宋体" w:cs="宋体"/>
                <w:kern w:val="0"/>
                <w:sz w:val="22"/>
                <w:szCs w:val="22"/>
              </w:rPr>
              <w:t>——</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宋体"/>
                <w:kern w:val="0"/>
                <w:sz w:val="22"/>
              </w:rPr>
            </w:pPr>
            <w:r>
              <w:rPr>
                <w:rFonts w:hint="eastAsia" w:ascii="宋体" w:hAnsi="宋体" w:eastAsia="宋体" w:cs="宋体"/>
                <w:kern w:val="0"/>
                <w:sz w:val="22"/>
              </w:rPr>
              <w:t>206</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1037" w:type="dxa"/>
            <w:tcBorders>
              <w:top w:val="nil"/>
              <w:left w:val="nil"/>
              <w:bottom w:val="single" w:color="auto" w:sz="4" w:space="0"/>
              <w:right w:val="single" w:color="auto" w:sz="4" w:space="0"/>
            </w:tcBorders>
            <w:vAlign w:val="center"/>
          </w:tcPr>
          <w:p>
            <w:pPr>
              <w:widowControl/>
              <w:ind w:firstLine="0" w:firstLineChars="0"/>
              <w:rPr>
                <w:rFonts w:ascii="宋体" w:hAnsi="宋体" w:eastAsia="宋体" w:cs="Times New Roman"/>
                <w:kern w:val="0"/>
                <w:sz w:val="22"/>
              </w:rPr>
            </w:pPr>
            <w:r>
              <w:rPr>
                <w:rFonts w:hint="eastAsia" w:ascii="宋体" w:hAnsi="宋体" w:eastAsia="宋体" w:cs="Times New Roman"/>
                <w:kern w:val="0"/>
                <w:sz w:val="22"/>
              </w:rPr>
              <w:t>2638</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129</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790</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42</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12</w:t>
            </w: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1037"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p>
        </w:tc>
      </w:tr>
      <w:tr>
        <w:tblPrEx>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ind w:firstLine="440"/>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1037" w:type="dxa"/>
            <w:tcBorders>
              <w:top w:val="nil"/>
              <w:left w:val="nil"/>
              <w:bottom w:val="single" w:color="auto" w:sz="4" w:space="0"/>
              <w:right w:val="single" w:color="auto" w:sz="4" w:space="0"/>
            </w:tcBorders>
            <w:vAlign w:val="center"/>
          </w:tcPr>
          <w:p>
            <w:pPr>
              <w:widowControl/>
              <w:ind w:firstLine="0" w:firstLineChars="0"/>
              <w:rPr>
                <w:rFonts w:ascii="宋体" w:hAnsi="宋体" w:eastAsia="宋体" w:cs="Times New Roman"/>
                <w:kern w:val="0"/>
                <w:sz w:val="22"/>
              </w:rPr>
            </w:pPr>
            <w:r>
              <w:rPr>
                <w:rFonts w:hint="eastAsia" w:ascii="宋体" w:hAnsi="宋体" w:eastAsia="宋体" w:cs="Times New Roman"/>
                <w:kern w:val="0"/>
                <w:sz w:val="22"/>
              </w:rPr>
              <w:t>2651</w:t>
            </w:r>
          </w:p>
        </w:tc>
        <w:tc>
          <w:tcPr>
            <w:tcW w:w="3884" w:type="dxa"/>
            <w:tcBorders>
              <w:top w:val="nil"/>
              <w:left w:val="nil"/>
              <w:bottom w:val="single" w:color="auto" w:sz="4" w:space="0"/>
              <w:right w:val="single" w:color="auto" w:sz="4" w:space="0"/>
            </w:tcBorders>
            <w:vAlign w:val="center"/>
          </w:tcPr>
          <w:p>
            <w:pPr>
              <w:widowControl/>
              <w:ind w:firstLine="440"/>
              <w:jc w:val="center"/>
              <w:rPr>
                <w:rFonts w:ascii="宋体" w:hAnsi="宋体" w:eastAsia="宋体" w:cs="Times New Roman"/>
                <w:kern w:val="0"/>
                <w:sz w:val="22"/>
              </w:rPr>
            </w:pPr>
            <w:r>
              <w:rPr>
                <w:rFonts w:hint="eastAsia" w:ascii="宋体" w:hAnsi="宋体" w:eastAsia="宋体" w:cs="Times New Roman"/>
                <w:kern w:val="0"/>
                <w:sz w:val="22"/>
              </w:rPr>
              <w:t>65</w:t>
            </w:r>
          </w:p>
        </w:tc>
      </w:tr>
    </w:tbl>
    <w:p>
      <w:pPr>
        <w:autoSpaceDE w:val="0"/>
        <w:autoSpaceDN w:val="0"/>
        <w:adjustRightInd w:val="0"/>
        <w:ind w:firstLine="640"/>
        <w:jc w:val="left"/>
        <w:rPr>
          <w:rFonts w:ascii="黑体" w:hAnsi="黑体" w:eastAsia="黑体" w:cs="黑体"/>
          <w:sz w:val="32"/>
          <w:szCs w:val="32"/>
        </w:rPr>
      </w:pPr>
    </w:p>
    <w:p>
      <w:pPr>
        <w:autoSpaceDE w:val="0"/>
        <w:autoSpaceDN w:val="0"/>
        <w:adjustRightInd w:val="0"/>
        <w:ind w:firstLine="640"/>
        <w:jc w:val="left"/>
        <w:rPr>
          <w:rFonts w:ascii="黑体" w:hAnsi="黑体" w:eastAsia="黑体" w:cs="Times New Roman"/>
          <w:sz w:val="32"/>
          <w:szCs w:val="32"/>
        </w:rPr>
      </w:pPr>
      <w:r>
        <w:rPr>
          <w:rFonts w:hint="eastAsia" w:ascii="黑体" w:hAnsi="黑体" w:eastAsia="黑体" w:cs="黑体"/>
          <w:sz w:val="32"/>
          <w:szCs w:val="32"/>
        </w:rPr>
        <w:t>八、名词解释</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1</w:t>
      </w:r>
      <w:r>
        <w:rPr>
          <w:rFonts w:hint="eastAsia" w:ascii="仿宋" w:hAnsi="仿宋" w:eastAsia="仿宋" w:cs="仿宋"/>
          <w:bCs/>
          <w:kern w:val="0"/>
          <w:sz w:val="32"/>
          <w:szCs w:val="32"/>
        </w:rPr>
        <w:t>、财政拨款收入：指</w:t>
      </w:r>
      <w:r>
        <w:rPr>
          <w:rFonts w:hint="eastAsia" w:ascii="仿宋" w:hAnsi="仿宋" w:eastAsia="仿宋" w:cs="仿宋"/>
          <w:kern w:val="0"/>
          <w:sz w:val="32"/>
          <w:szCs w:val="32"/>
        </w:rPr>
        <w:t>财政当年拨付的资金。</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2、“三公”经费：包括因公出国（境）费、公务接待费和公务用车购置及运行费。因公出国（境）费，指单位工作人员公务出国（境）的住宿费、差旅费、伙食补助费、杂费、培训费等支出。公务接待费，指单位按规定开支的各类公务接待（含外宾接待）支出。公务用车购置及运行费，指单位公务用车购置费及租用费、燃料费、维修费、等支出，公务用车指用于履行公务的机动车辆，包括领导干部专车、一般公务用车和执法执勤等业务用车。</w:t>
      </w:r>
    </w:p>
    <w:p>
      <w:pPr>
        <w:widowControl/>
        <w:spacing w:line="360" w:lineRule="auto"/>
        <w:ind w:firstLine="480"/>
        <w:jc w:val="left"/>
        <w:rPr>
          <w:rFonts w:ascii="仿宋" w:hAnsi="仿宋" w:eastAsia="仿宋" w:cs="仿宋"/>
          <w:kern w:val="0"/>
          <w:sz w:val="32"/>
          <w:szCs w:val="32"/>
        </w:rPr>
      </w:pPr>
      <w:r>
        <w:rPr>
          <w:rFonts w:hint="eastAsia" w:ascii="微软雅黑" w:hAnsi="微软雅黑" w:eastAsia="微软雅黑" w:cs="微软雅黑"/>
          <w:kern w:val="0"/>
          <w:sz w:val="24"/>
          <w:szCs w:val="24"/>
        </w:rPr>
        <w:t xml:space="preserve"> 3</w:t>
      </w:r>
      <w:r>
        <w:rPr>
          <w:rFonts w:hint="eastAsia" w:ascii="仿宋" w:hAnsi="仿宋" w:eastAsia="仿宋" w:cs="仿宋"/>
          <w:kern w:val="0"/>
          <w:sz w:val="32"/>
          <w:szCs w:val="32"/>
        </w:rPr>
        <w:t>、年初结转和结余：指以前年度尚未完成，结转到本年仍按照原规定用途继续使用的资金，或项目已完成等产生的结余资金。</w:t>
      </w:r>
      <w:r>
        <w:rPr>
          <w:rFonts w:hint="eastAsia" w:ascii="宋体" w:hAnsi="宋体" w:eastAsia="宋体" w:cs="宋体"/>
          <w:kern w:val="0"/>
          <w:sz w:val="32"/>
          <w:szCs w:val="32"/>
        </w:rPr>
        <w:t> </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4、基本支出：指单位为了保障其正常运转、完成日常工作任务而发生的人员支出和公用支出。</w:t>
      </w:r>
      <w:r>
        <w:rPr>
          <w:rFonts w:hint="eastAsia" w:ascii="宋体" w:hAnsi="宋体" w:eastAsia="宋体" w:cs="宋体"/>
          <w:kern w:val="0"/>
          <w:sz w:val="32"/>
          <w:szCs w:val="32"/>
        </w:rPr>
        <w:t> </w:t>
      </w:r>
    </w:p>
    <w:p>
      <w:pPr>
        <w:widowControl/>
        <w:spacing w:line="360" w:lineRule="auto"/>
        <w:ind w:firstLine="640"/>
        <w:jc w:val="left"/>
        <w:rPr>
          <w:rFonts w:ascii="仿宋" w:hAnsi="仿宋" w:eastAsia="仿宋" w:cs="仿宋"/>
          <w:kern w:val="0"/>
          <w:sz w:val="32"/>
          <w:szCs w:val="32"/>
        </w:rPr>
      </w:pPr>
      <w:r>
        <w:rPr>
          <w:rFonts w:hint="eastAsia" w:ascii="仿宋" w:hAnsi="仿宋" w:eastAsia="仿宋" w:cs="仿宋"/>
          <w:kern w:val="0"/>
          <w:sz w:val="32"/>
          <w:szCs w:val="32"/>
        </w:rPr>
        <w:t>5、项目支出：指单位为了特定的工作任务和事业发展目标，在基本支出之外所发生的支出。</w:t>
      </w:r>
    </w:p>
    <w:p>
      <w:pPr>
        <w:tabs>
          <w:tab w:val="left" w:pos="11490"/>
        </w:tabs>
        <w:ind w:firstLine="640"/>
        <w:rPr>
          <w:rFonts w:ascii="黑体" w:hAnsi="黑体" w:eastAsia="黑体" w:cs="Times New Roman"/>
          <w:sz w:val="32"/>
          <w:szCs w:val="32"/>
        </w:rPr>
      </w:pPr>
      <w:r>
        <w:rPr>
          <w:rFonts w:hint="eastAsia" w:ascii="黑体" w:hAnsi="黑体" w:eastAsia="黑体" w:cs="黑体"/>
          <w:sz w:val="32"/>
          <w:szCs w:val="32"/>
        </w:rPr>
        <w:t>九、其它需要说明的事项</w:t>
      </w:r>
    </w:p>
    <w:p>
      <w:pPr>
        <w:tabs>
          <w:tab w:val="left" w:pos="11490"/>
        </w:tabs>
        <w:ind w:firstLine="640"/>
        <w:rPr>
          <w:rFonts w:ascii="仿宋" w:hAnsi="仿宋" w:eastAsia="仿宋" w:cs="Times New Roman"/>
          <w:sz w:val="32"/>
          <w:szCs w:val="32"/>
        </w:rPr>
      </w:pPr>
      <w:r>
        <w:rPr>
          <w:rFonts w:hint="eastAsia" w:ascii="仿宋" w:hAnsi="仿宋" w:eastAsia="仿宋" w:cs="方正仿宋_GBK"/>
          <w:bCs/>
          <w:sz w:val="32"/>
          <w:szCs w:val="32"/>
        </w:rPr>
        <w:t>无其它需要说明的事项。</w:t>
      </w:r>
    </w:p>
    <w:p>
      <w:pPr>
        <w:spacing w:line="560" w:lineRule="exact"/>
        <w:ind w:firstLine="640"/>
        <w:rPr>
          <w:rFonts w:ascii="仿宋" w:hAnsi="仿宋" w:eastAsia="仿宋" w:cs="Times New Roman"/>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85" w:right="1474" w:bottom="153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640"/>
      <w:jc w:val="center"/>
      <w:rPr>
        <w:rFonts w:ascii="仿宋" w:hAnsi="仿宋" w:eastAsia="仿宋" w:cs="Times New Roman"/>
        <w:sz w:val="32"/>
        <w:szCs w:val="32"/>
      </w:rPr>
    </w:pPr>
    <w:r>
      <w:rPr>
        <w:rFonts w:ascii="仿宋" w:hAnsi="仿宋" w:eastAsia="仿宋" w:cs="仿宋"/>
        <w:sz w:val="32"/>
        <w:szCs w:val="32"/>
      </w:rPr>
      <w:fldChar w:fldCharType="begin"/>
    </w:r>
    <w:r>
      <w:rPr>
        <w:rFonts w:ascii="仿宋" w:hAnsi="仿宋" w:eastAsia="仿宋" w:cs="仿宋"/>
        <w:sz w:val="32"/>
        <w:szCs w:val="32"/>
      </w:rPr>
      <w:instrText xml:space="preserve">PAGE   \* MERGEFORMAT</w:instrText>
    </w:r>
    <w:r>
      <w:rPr>
        <w:rFonts w:ascii="仿宋" w:hAnsi="仿宋" w:eastAsia="仿宋" w:cs="仿宋"/>
        <w:sz w:val="32"/>
        <w:szCs w:val="32"/>
      </w:rPr>
      <w:fldChar w:fldCharType="separate"/>
    </w:r>
    <w:r>
      <w:rPr>
        <w:rFonts w:ascii="仿宋" w:hAnsi="仿宋" w:eastAsia="仿宋" w:cs="仿宋"/>
        <w:sz w:val="32"/>
        <w:szCs w:val="32"/>
        <w:lang w:val="zh-CN"/>
      </w:rPr>
      <w:t>23</w:t>
    </w:r>
    <w:r>
      <w:rPr>
        <w:rFonts w:ascii="仿宋" w:hAnsi="仿宋" w:eastAsia="仿宋" w:cs="仿宋"/>
        <w:sz w:val="32"/>
        <w:szCs w:val="32"/>
      </w:rPr>
      <w:fldChar w:fldCharType="end"/>
    </w:r>
  </w:p>
  <w:p>
    <w:pPr>
      <w:pStyle w:val="2"/>
      <w:ind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A8F38"/>
    <w:multiLevelType w:val="singleLevel"/>
    <w:tmpl w:val="589A8F38"/>
    <w:lvl w:ilvl="0" w:tentative="0">
      <w:start w:val="1"/>
      <w:numFmt w:val="decimal"/>
      <w:suff w:val="nothing"/>
      <w:lvlText w:val="%1、"/>
      <w:lvlJc w:val="left"/>
    </w:lvl>
  </w:abstractNum>
  <w:abstractNum w:abstractNumId="1">
    <w:nsid w:val="589A9132"/>
    <w:multiLevelType w:val="singleLevel"/>
    <w:tmpl w:val="589A9132"/>
    <w:lvl w:ilvl="0" w:tentative="0">
      <w:start w:val="1"/>
      <w:numFmt w:val="decimal"/>
      <w:suff w:val="nothing"/>
      <w:lvlText w:val="%1、"/>
      <w:lvlJc w:val="left"/>
    </w:lvl>
  </w:abstractNum>
  <w:abstractNum w:abstractNumId="2">
    <w:nsid w:val="6BA31CD0"/>
    <w:multiLevelType w:val="multilevel"/>
    <w:tmpl w:val="6BA31CD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OWUyODE0OWQ2ZTM2OGU4ZjU1MTE4ZGMzOTQyM2EifQ=="/>
  </w:docVars>
  <w:rsids>
    <w:rsidRoot w:val="00524AAA"/>
    <w:rsid w:val="00002B64"/>
    <w:rsid w:val="00046FAD"/>
    <w:rsid w:val="000A796E"/>
    <w:rsid w:val="000B2142"/>
    <w:rsid w:val="000C58DF"/>
    <w:rsid w:val="000D1D61"/>
    <w:rsid w:val="000F50F4"/>
    <w:rsid w:val="00101C7A"/>
    <w:rsid w:val="001232BE"/>
    <w:rsid w:val="00131928"/>
    <w:rsid w:val="00136A58"/>
    <w:rsid w:val="001669A1"/>
    <w:rsid w:val="00166F73"/>
    <w:rsid w:val="001A3CB4"/>
    <w:rsid w:val="001E0232"/>
    <w:rsid w:val="001F032F"/>
    <w:rsid w:val="001F394B"/>
    <w:rsid w:val="00202D94"/>
    <w:rsid w:val="00206B22"/>
    <w:rsid w:val="002307B5"/>
    <w:rsid w:val="00282A2C"/>
    <w:rsid w:val="002A7058"/>
    <w:rsid w:val="002B04D9"/>
    <w:rsid w:val="002B7AF8"/>
    <w:rsid w:val="002C0317"/>
    <w:rsid w:val="002D1CA5"/>
    <w:rsid w:val="002F0144"/>
    <w:rsid w:val="002F5489"/>
    <w:rsid w:val="00310FCB"/>
    <w:rsid w:val="00325594"/>
    <w:rsid w:val="00325A69"/>
    <w:rsid w:val="00371561"/>
    <w:rsid w:val="0037750D"/>
    <w:rsid w:val="00377BEE"/>
    <w:rsid w:val="003855D6"/>
    <w:rsid w:val="003C4C5D"/>
    <w:rsid w:val="003D1126"/>
    <w:rsid w:val="003D1369"/>
    <w:rsid w:val="003D22B1"/>
    <w:rsid w:val="00411D4D"/>
    <w:rsid w:val="0042620C"/>
    <w:rsid w:val="00441B99"/>
    <w:rsid w:val="004477DA"/>
    <w:rsid w:val="00450523"/>
    <w:rsid w:val="00453A06"/>
    <w:rsid w:val="00484C8C"/>
    <w:rsid w:val="00490FE5"/>
    <w:rsid w:val="004A5F2D"/>
    <w:rsid w:val="004B7F0F"/>
    <w:rsid w:val="004C3CC6"/>
    <w:rsid w:val="004E5F92"/>
    <w:rsid w:val="004F57D9"/>
    <w:rsid w:val="00523B91"/>
    <w:rsid w:val="00524AAA"/>
    <w:rsid w:val="00537617"/>
    <w:rsid w:val="005412A2"/>
    <w:rsid w:val="005456DA"/>
    <w:rsid w:val="005550FC"/>
    <w:rsid w:val="00562878"/>
    <w:rsid w:val="005730D6"/>
    <w:rsid w:val="005C1E07"/>
    <w:rsid w:val="005F2EDA"/>
    <w:rsid w:val="005F4345"/>
    <w:rsid w:val="00601877"/>
    <w:rsid w:val="00631107"/>
    <w:rsid w:val="00654F35"/>
    <w:rsid w:val="00662C18"/>
    <w:rsid w:val="006643F5"/>
    <w:rsid w:val="00667E16"/>
    <w:rsid w:val="006704AF"/>
    <w:rsid w:val="0068144F"/>
    <w:rsid w:val="006852D0"/>
    <w:rsid w:val="0068771D"/>
    <w:rsid w:val="006921DE"/>
    <w:rsid w:val="006A3ED5"/>
    <w:rsid w:val="006A7BBB"/>
    <w:rsid w:val="006E10AD"/>
    <w:rsid w:val="006F363C"/>
    <w:rsid w:val="007011CD"/>
    <w:rsid w:val="0072584F"/>
    <w:rsid w:val="00734E06"/>
    <w:rsid w:val="00747D9E"/>
    <w:rsid w:val="007775CB"/>
    <w:rsid w:val="00787A43"/>
    <w:rsid w:val="007A6116"/>
    <w:rsid w:val="007B154E"/>
    <w:rsid w:val="007B4EB3"/>
    <w:rsid w:val="007B76F2"/>
    <w:rsid w:val="007C484E"/>
    <w:rsid w:val="007E1F33"/>
    <w:rsid w:val="007E24CD"/>
    <w:rsid w:val="007F0D2E"/>
    <w:rsid w:val="00813719"/>
    <w:rsid w:val="00825F97"/>
    <w:rsid w:val="008327A0"/>
    <w:rsid w:val="00832B74"/>
    <w:rsid w:val="008B1924"/>
    <w:rsid w:val="008D59FA"/>
    <w:rsid w:val="00933068"/>
    <w:rsid w:val="00943211"/>
    <w:rsid w:val="00961E5D"/>
    <w:rsid w:val="009658FB"/>
    <w:rsid w:val="00973104"/>
    <w:rsid w:val="0098792C"/>
    <w:rsid w:val="00990CB9"/>
    <w:rsid w:val="009B2D48"/>
    <w:rsid w:val="009C264C"/>
    <w:rsid w:val="009E1AD6"/>
    <w:rsid w:val="009F0612"/>
    <w:rsid w:val="00A12AE7"/>
    <w:rsid w:val="00A15ADE"/>
    <w:rsid w:val="00A53348"/>
    <w:rsid w:val="00A6455D"/>
    <w:rsid w:val="00A70B33"/>
    <w:rsid w:val="00A7127F"/>
    <w:rsid w:val="00A77192"/>
    <w:rsid w:val="00A819D0"/>
    <w:rsid w:val="00A954E3"/>
    <w:rsid w:val="00A95F51"/>
    <w:rsid w:val="00AA5A9A"/>
    <w:rsid w:val="00AC6968"/>
    <w:rsid w:val="00AC6D13"/>
    <w:rsid w:val="00B13EFE"/>
    <w:rsid w:val="00B34623"/>
    <w:rsid w:val="00B50088"/>
    <w:rsid w:val="00B500A4"/>
    <w:rsid w:val="00B845AC"/>
    <w:rsid w:val="00BA40C6"/>
    <w:rsid w:val="00BA6B82"/>
    <w:rsid w:val="00BA6C95"/>
    <w:rsid w:val="00BB0BC7"/>
    <w:rsid w:val="00BB6C28"/>
    <w:rsid w:val="00BC72EE"/>
    <w:rsid w:val="00BD2466"/>
    <w:rsid w:val="00C06165"/>
    <w:rsid w:val="00C13269"/>
    <w:rsid w:val="00C22347"/>
    <w:rsid w:val="00C23F16"/>
    <w:rsid w:val="00C452B6"/>
    <w:rsid w:val="00C543E6"/>
    <w:rsid w:val="00C56126"/>
    <w:rsid w:val="00C627AA"/>
    <w:rsid w:val="00CC7FC7"/>
    <w:rsid w:val="00CD0F72"/>
    <w:rsid w:val="00CD1A32"/>
    <w:rsid w:val="00CF0B07"/>
    <w:rsid w:val="00D00D2E"/>
    <w:rsid w:val="00D03F39"/>
    <w:rsid w:val="00D27A25"/>
    <w:rsid w:val="00D312BA"/>
    <w:rsid w:val="00D430C9"/>
    <w:rsid w:val="00D71A36"/>
    <w:rsid w:val="00D73351"/>
    <w:rsid w:val="00D944E4"/>
    <w:rsid w:val="00DA0820"/>
    <w:rsid w:val="00DC0D6E"/>
    <w:rsid w:val="00DE1BC6"/>
    <w:rsid w:val="00DE7459"/>
    <w:rsid w:val="00DF55FD"/>
    <w:rsid w:val="00E000C9"/>
    <w:rsid w:val="00E04127"/>
    <w:rsid w:val="00E05046"/>
    <w:rsid w:val="00E0679E"/>
    <w:rsid w:val="00E168AF"/>
    <w:rsid w:val="00E24B37"/>
    <w:rsid w:val="00E35572"/>
    <w:rsid w:val="00E474B2"/>
    <w:rsid w:val="00E767B5"/>
    <w:rsid w:val="00E87B0C"/>
    <w:rsid w:val="00E91C36"/>
    <w:rsid w:val="00EA6EE6"/>
    <w:rsid w:val="00EC2A47"/>
    <w:rsid w:val="00EC5507"/>
    <w:rsid w:val="00EF04BE"/>
    <w:rsid w:val="00EF4FA7"/>
    <w:rsid w:val="00F143BE"/>
    <w:rsid w:val="00F14752"/>
    <w:rsid w:val="00F250CD"/>
    <w:rsid w:val="00F311AF"/>
    <w:rsid w:val="00F50DCE"/>
    <w:rsid w:val="00F539DF"/>
    <w:rsid w:val="00F66032"/>
    <w:rsid w:val="00FB5EA2"/>
    <w:rsid w:val="00FE1E92"/>
    <w:rsid w:val="00FF328C"/>
    <w:rsid w:val="00FF6E0F"/>
    <w:rsid w:val="016C2C99"/>
    <w:rsid w:val="03D02F3C"/>
    <w:rsid w:val="07AC41C3"/>
    <w:rsid w:val="08204A2B"/>
    <w:rsid w:val="0E713F5B"/>
    <w:rsid w:val="122834AE"/>
    <w:rsid w:val="15E05423"/>
    <w:rsid w:val="21C46AE2"/>
    <w:rsid w:val="250B26D2"/>
    <w:rsid w:val="25E034FB"/>
    <w:rsid w:val="291B3BAA"/>
    <w:rsid w:val="2C882469"/>
    <w:rsid w:val="2D300B46"/>
    <w:rsid w:val="2F4524CF"/>
    <w:rsid w:val="3E577938"/>
    <w:rsid w:val="446561D4"/>
    <w:rsid w:val="48F36713"/>
    <w:rsid w:val="4B5E312A"/>
    <w:rsid w:val="4E9235D7"/>
    <w:rsid w:val="4F1D1F5B"/>
    <w:rsid w:val="5630752D"/>
    <w:rsid w:val="57B16A36"/>
    <w:rsid w:val="5A926CFB"/>
    <w:rsid w:val="6111080C"/>
    <w:rsid w:val="65123507"/>
    <w:rsid w:val="6874559A"/>
    <w:rsid w:val="6A482FD8"/>
    <w:rsid w:val="6ED840B5"/>
    <w:rsid w:val="6FCB42B4"/>
    <w:rsid w:val="739E4502"/>
    <w:rsid w:val="73C32B75"/>
    <w:rsid w:val="76FA4A48"/>
    <w:rsid w:val="7854435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等线" w:hAnsi="等线" w:eastAsia="等线" w:cs="等线"/>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link w:val="3"/>
    <w:locked/>
    <w:uiPriority w:val="99"/>
    <w:rPr>
      <w:rFonts w:cs="Times New Roman"/>
      <w:sz w:val="18"/>
      <w:szCs w:val="18"/>
    </w:rPr>
  </w:style>
  <w:style w:type="character" w:customStyle="1" w:styleId="7">
    <w:name w:val="页脚 Char"/>
    <w:link w:val="2"/>
    <w:qFormat/>
    <w:locked/>
    <w:uiPriority w:val="99"/>
    <w:rPr>
      <w:rFonts w:cs="Times New Roman"/>
      <w:sz w:val="18"/>
      <w:szCs w:val="18"/>
    </w:rPr>
  </w:style>
  <w:style w:type="paragraph" w:customStyle="1" w:styleId="8">
    <w:name w:val="列出段落1"/>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EBA24-326C-4BD0-95E7-FE84DE55DFD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2257</Words>
  <Characters>12868</Characters>
  <Lines>107</Lines>
  <Paragraphs>30</Paragraphs>
  <TotalTime>1</TotalTime>
  <ScaleCrop>false</ScaleCrop>
  <LinksUpToDate>false</LinksUpToDate>
  <CharactersWithSpaces>15095</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2017-11-10T09:22:00Z</dcterms:created>
  <dc:creator>旭东</dc:creator>
  <cp:lastModifiedBy>Administrator</cp:lastModifiedBy>
  <dcterms:modified xsi:type="dcterms:W3CDTF">2024-02-01T11:10:39Z</dcterms:modified>
  <dc:title>2017年部门预算公开督导整改要求</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7CC7755FB75745EDBC11563CFA01C780_13</vt:lpwstr>
  </property>
</Properties>
</file>