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仿宋_GB2312"/>
          <w:b/>
          <w:sz w:val="44"/>
          <w:szCs w:val="44"/>
        </w:rPr>
      </w:pPr>
    </w:p>
    <w:p>
      <w:pPr>
        <w:widowControl/>
        <w:spacing w:line="360" w:lineRule="auto"/>
        <w:jc w:val="center"/>
        <w:rPr>
          <w:rFonts w:ascii="宋体" w:hAnsi="宋体" w:cs="仿宋_GB2312"/>
          <w:b/>
          <w:sz w:val="44"/>
          <w:szCs w:val="44"/>
        </w:rPr>
      </w:pPr>
      <w:r>
        <w:rPr>
          <w:rFonts w:hint="eastAsia" w:ascii="宋体" w:hAnsi="宋体" w:cs="仿宋_GB2312"/>
          <w:b/>
          <w:sz w:val="44"/>
          <w:szCs w:val="44"/>
        </w:rPr>
        <w:t>成安县广播电视台2021年部门预算公开</w:t>
      </w:r>
    </w:p>
    <w:p>
      <w:pPr>
        <w:widowControl/>
        <w:spacing w:line="360" w:lineRule="auto"/>
        <w:jc w:val="center"/>
        <w:rPr>
          <w:rFonts w:ascii="宋体" w:hAnsi="宋体" w:cs="仿宋_GB2312"/>
          <w:b/>
          <w:sz w:val="44"/>
          <w:szCs w:val="44"/>
        </w:rPr>
      </w:pPr>
      <w:r>
        <w:rPr>
          <w:rFonts w:hint="eastAsia" w:ascii="宋体" w:hAnsi="宋体" w:cs="仿宋_GB2312"/>
          <w:b/>
          <w:sz w:val="44"/>
          <w:szCs w:val="44"/>
        </w:rPr>
        <w:t>情况说明</w:t>
      </w:r>
    </w:p>
    <w:p>
      <w:pPr>
        <w:widowControl/>
        <w:adjustRightInd w:val="0"/>
        <w:spacing w:line="360" w:lineRule="auto"/>
        <w:ind w:firstLine="640" w:firstLineChars="200"/>
        <w:jc w:val="left"/>
        <w:rPr>
          <w:rFonts w:ascii="仿宋" w:hAnsi="仿宋" w:eastAsia="仿宋" w:cs="仿宋_GB2312"/>
          <w:sz w:val="32"/>
          <w:szCs w:val="32"/>
        </w:rPr>
      </w:pPr>
    </w:p>
    <w:p>
      <w:pPr>
        <w:widowControl/>
        <w:adjustRightInd w:val="0"/>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按照《预算法》有关规定</w:t>
      </w:r>
      <w:r>
        <w:rPr>
          <w:rFonts w:hint="eastAsia" w:ascii="仿宋" w:hAnsi="仿宋" w:eastAsia="仿宋" w:cs="仿宋"/>
          <w:sz w:val="32"/>
          <w:szCs w:val="32"/>
        </w:rPr>
        <w:t>和</w:t>
      </w:r>
      <w:r>
        <w:rPr>
          <w:rFonts w:ascii="仿宋" w:hAnsi="仿宋" w:eastAsia="仿宋" w:cs="仿宋"/>
          <w:sz w:val="32"/>
          <w:szCs w:val="32"/>
        </w:rPr>
        <w:t>财政部关于印发《地方预决算公开操作规程》的通知，现将</w:t>
      </w:r>
      <w:r>
        <w:rPr>
          <w:rFonts w:hint="eastAsia" w:ascii="仿宋" w:hAnsi="仿宋" w:eastAsia="仿宋" w:cs="仿宋"/>
          <w:sz w:val="32"/>
          <w:szCs w:val="32"/>
        </w:rPr>
        <w:t>成安县广播电视台</w:t>
      </w:r>
      <w:r>
        <w:rPr>
          <w:rFonts w:ascii="仿宋" w:hAnsi="仿宋" w:eastAsia="仿宋" w:cs="仿宋"/>
          <w:sz w:val="32"/>
          <w:szCs w:val="32"/>
        </w:rPr>
        <w:t>20</w:t>
      </w:r>
      <w:r>
        <w:rPr>
          <w:rFonts w:hint="eastAsia" w:ascii="仿宋" w:hAnsi="仿宋" w:eastAsia="仿宋" w:cs="仿宋"/>
          <w:sz w:val="32"/>
          <w:szCs w:val="32"/>
        </w:rPr>
        <w:t>21</w:t>
      </w:r>
      <w:r>
        <w:rPr>
          <w:rFonts w:ascii="仿宋" w:hAnsi="仿宋" w:eastAsia="仿宋" w:cs="仿宋"/>
          <w:sz w:val="32"/>
          <w:szCs w:val="32"/>
        </w:rPr>
        <w:t>年部门预算公开如下</w:t>
      </w:r>
      <w:r>
        <w:rPr>
          <w:rFonts w:hint="eastAsia" w:ascii="仿宋" w:hAnsi="仿宋" w:eastAsia="仿宋" w:cs="仿宋"/>
          <w:sz w:val="32"/>
          <w:szCs w:val="32"/>
        </w:rPr>
        <w:t>：</w:t>
      </w:r>
    </w:p>
    <w:p>
      <w:pPr>
        <w:widowControl/>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Calibri"/>
          <w:b/>
          <w:kern w:val="0"/>
          <w:sz w:val="32"/>
          <w:szCs w:val="32"/>
        </w:rPr>
        <w:t>部门职责及机构设置情况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一）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pPr>
        <w:rPr>
          <w:rFonts w:ascii="仿宋" w:hAnsi="仿宋" w:eastAsia="仿宋" w:cs="仿宋"/>
          <w:sz w:val="32"/>
          <w:szCs w:val="32"/>
        </w:rPr>
      </w:pPr>
      <w:r>
        <w:rPr>
          <w:rFonts w:hint="eastAsia" w:ascii="仿宋" w:hAnsi="仿宋" w:eastAsia="仿宋" w:cs="仿宋"/>
          <w:sz w:val="32"/>
          <w:szCs w:val="32"/>
        </w:rPr>
        <w:t>　　（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pPr>
        <w:ind w:firstLine="640" w:firstLineChars="200"/>
        <w:rPr>
          <w:rFonts w:ascii="仿宋" w:hAnsi="仿宋" w:eastAsia="仿宋" w:cs="仿宋"/>
          <w:sz w:val="32"/>
          <w:szCs w:val="32"/>
        </w:rPr>
      </w:pPr>
      <w:r>
        <w:rPr>
          <w:rFonts w:hint="eastAsia" w:ascii="仿宋" w:hAnsi="仿宋" w:eastAsia="仿宋" w:cs="仿宋"/>
          <w:sz w:val="32"/>
          <w:szCs w:val="32"/>
        </w:rPr>
        <w:t>（三）贯彻实施国家省、市有关广播电视事业的政策法规，并依法监督检查执行制订全县广播电视事业发展目标和规划，促进广播电视事业的发展和繁荣。　　</w:t>
      </w:r>
    </w:p>
    <w:p>
      <w:pPr>
        <w:ind w:firstLine="570"/>
        <w:rPr>
          <w:rFonts w:ascii="仿宋" w:hAnsi="仿宋" w:eastAsia="仿宋" w:cs="仿宋"/>
          <w:sz w:val="32"/>
          <w:szCs w:val="32"/>
        </w:rPr>
      </w:pPr>
      <w:r>
        <w:rPr>
          <w:rFonts w:hint="eastAsia" w:ascii="仿宋" w:hAnsi="仿宋" w:eastAsia="仿宋" w:cs="仿宋"/>
          <w:sz w:val="32"/>
          <w:szCs w:val="32"/>
        </w:rPr>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pPr>
        <w:ind w:firstLine="570"/>
        <w:rPr>
          <w:rFonts w:ascii="仿宋" w:hAnsi="仿宋" w:eastAsia="仿宋" w:cs="仿宋"/>
          <w:sz w:val="32"/>
          <w:szCs w:val="32"/>
        </w:rPr>
      </w:pPr>
      <w:r>
        <w:rPr>
          <w:rFonts w:hint="eastAsia" w:ascii="仿宋" w:hAnsi="仿宋" w:eastAsia="仿宋" w:cs="仿宋"/>
          <w:sz w:val="32"/>
          <w:szCs w:val="32"/>
        </w:rPr>
        <w:t>（五）继续坚持以人民群众利益为根本努力,为广大群众排忧,解难,为广大群众生产,生活服务。进一步改进拓展新的节目形势,探求鲜活的，生动的群众喜爱并易于接受的传播方式，强化新闻传播的亲和力，感染力和穿透力。</w:t>
      </w:r>
    </w:p>
    <w:p>
      <w:pPr>
        <w:ind w:firstLine="570"/>
        <w:rPr>
          <w:rFonts w:ascii="仿宋" w:hAnsi="仿宋" w:eastAsia="仿宋" w:cs="仿宋"/>
          <w:sz w:val="32"/>
          <w:szCs w:val="32"/>
        </w:rPr>
      </w:pPr>
      <w:r>
        <w:rPr>
          <w:rFonts w:hint="eastAsia" w:ascii="仿宋" w:hAnsi="仿宋" w:eastAsia="仿宋" w:cs="仿宋"/>
          <w:sz w:val="32"/>
          <w:szCs w:val="32"/>
        </w:rPr>
        <w:t>（六）建立安全播出运行管理系统，及时掌握重点播出资源，播出状态，播出效果等重要信息，重点播出系统必须建立系统级备份，确保运行安全。</w:t>
      </w:r>
    </w:p>
    <w:p>
      <w:pPr>
        <w:widowControl/>
        <w:spacing w:line="360" w:lineRule="auto"/>
        <w:ind w:firstLine="640" w:firstLineChars="200"/>
        <w:jc w:val="left"/>
        <w:rPr>
          <w:rFonts w:ascii="楷体" w:hAnsi="楷体" w:eastAsia="楷体" w:cs="仿宋"/>
          <w:b/>
          <w:kern w:val="0"/>
          <w:sz w:val="32"/>
          <w:szCs w:val="32"/>
        </w:rPr>
      </w:pPr>
      <w:r>
        <w:rPr>
          <w:rFonts w:hint="eastAsia" w:ascii="楷体" w:hAnsi="楷体" w:eastAsia="楷体" w:cs="仿宋"/>
          <w:b/>
          <w:kern w:val="0"/>
          <w:sz w:val="32"/>
          <w:szCs w:val="32"/>
        </w:rPr>
        <w:t>内设机构及职责</w:t>
      </w:r>
    </w:p>
    <w:p>
      <w:pPr>
        <w:autoSpaceDE w:val="0"/>
        <w:autoSpaceDN w:val="0"/>
        <w:adjustRightInd w:val="0"/>
        <w:ind w:firstLine="640" w:firstLineChars="200"/>
        <w:jc w:val="left"/>
        <w:rPr>
          <w:rFonts w:ascii="楷体" w:hAnsi="楷体" w:eastAsia="楷体" w:cs="Times New Roman"/>
          <w:b/>
          <w:bCs/>
          <w:sz w:val="32"/>
          <w:szCs w:val="32"/>
        </w:rPr>
      </w:pPr>
      <w:r>
        <w:rPr>
          <w:rFonts w:hint="eastAsia" w:ascii="楷体" w:hAnsi="楷体" w:eastAsia="楷体"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成安县广播电视台</w:t>
            </w:r>
          </w:p>
        </w:tc>
        <w:tc>
          <w:tcPr>
            <w:tcW w:w="1134"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正科级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财政性资金零补助（自收自支）</w:t>
            </w:r>
          </w:p>
        </w:tc>
      </w:tr>
    </w:tbl>
    <w:p>
      <w:pPr>
        <w:widowControl/>
        <w:spacing w:line="360" w:lineRule="auto"/>
        <w:ind w:firstLine="640" w:firstLineChars="200"/>
        <w:jc w:val="left"/>
        <w:rPr>
          <w:rFonts w:ascii="仿宋" w:hAnsi="仿宋" w:eastAsia="仿宋" w:cs="仿宋"/>
          <w:b/>
          <w:kern w:val="0"/>
          <w:sz w:val="32"/>
          <w:szCs w:val="32"/>
        </w:rPr>
      </w:pP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成安县广播电视台，预算编码是359002，内设3个内部机构。</w:t>
      </w:r>
    </w:p>
    <w:p>
      <w:pPr>
        <w:widowControl/>
        <w:spacing w:line="360" w:lineRule="auto"/>
        <w:ind w:left="420" w:leftChars="200"/>
        <w:jc w:val="left"/>
        <w:rPr>
          <w:rFonts w:ascii="仿宋" w:hAnsi="仿宋" w:eastAsia="仿宋" w:cs="仿宋"/>
          <w:bCs/>
          <w:kern w:val="0"/>
          <w:sz w:val="32"/>
          <w:szCs w:val="32"/>
        </w:rPr>
      </w:pPr>
      <w:r>
        <w:rPr>
          <w:rFonts w:hint="eastAsia" w:ascii="仿宋" w:hAnsi="仿宋" w:eastAsia="仿宋" w:cs="仿宋"/>
          <w:bCs/>
          <w:kern w:val="0"/>
          <w:sz w:val="32"/>
          <w:szCs w:val="32"/>
        </w:rPr>
        <w:t>　1、办公室</w:t>
      </w:r>
    </w:p>
    <w:p>
      <w:pPr>
        <w:widowControl/>
        <w:spacing w:line="360" w:lineRule="auto"/>
        <w:ind w:firstLine="640" w:firstLineChars="200"/>
        <w:jc w:val="left"/>
        <w:rPr>
          <w:rFonts w:ascii="仿宋" w:hAnsi="仿宋" w:eastAsia="仿宋" w:cs="仿宋"/>
          <w:bCs/>
          <w:sz w:val="32"/>
          <w:szCs w:val="32"/>
        </w:rPr>
      </w:pPr>
      <w:r>
        <w:rPr>
          <w:rFonts w:hint="eastAsia" w:ascii="仿宋" w:hAnsi="仿宋" w:eastAsia="仿宋" w:cs="仿宋"/>
          <w:bCs/>
          <w:kern w:val="0"/>
          <w:sz w:val="32"/>
          <w:szCs w:val="32"/>
        </w:rPr>
        <w:t>主要负责：</w:t>
      </w:r>
      <w:r>
        <w:rPr>
          <w:rFonts w:hint="eastAsia" w:ascii="仿宋" w:hAnsi="仿宋" w:eastAsia="仿宋" w:cs="仿宋"/>
          <w:bCs/>
          <w:sz w:val="32"/>
          <w:szCs w:val="32"/>
        </w:rPr>
        <w:t>负责机关日常事务工作。负责党建工作；负责工建工作；负责团建工作；做好人才引进、培养工作，为各类人才提供工资晋升、职称评定等服务。</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2、新闻部</w:t>
      </w:r>
    </w:p>
    <w:p>
      <w:pPr>
        <w:widowControl/>
        <w:spacing w:line="450" w:lineRule="atLeast"/>
        <w:ind w:firstLine="640" w:firstLineChars="200"/>
        <w:rPr>
          <w:rFonts w:ascii="仿宋" w:hAnsi="仿宋" w:eastAsia="仿宋" w:cs="仿宋"/>
          <w:color w:val="000000"/>
          <w:sz w:val="32"/>
          <w:szCs w:val="32"/>
        </w:rPr>
      </w:pPr>
      <w:r>
        <w:rPr>
          <w:rFonts w:hint="eastAsia" w:ascii="仿宋" w:hAnsi="仿宋" w:eastAsia="仿宋" w:cs="仿宋"/>
          <w:bCs/>
          <w:sz w:val="32"/>
          <w:szCs w:val="32"/>
        </w:rPr>
        <w:t>主要负责：</w:t>
      </w:r>
      <w:r>
        <w:rPr>
          <w:rFonts w:hint="eastAsia" w:ascii="仿宋" w:hAnsi="仿宋" w:eastAsia="仿宋" w:cs="仿宋"/>
          <w:color w:val="000000"/>
          <w:sz w:val="32"/>
          <w:szCs w:val="32"/>
        </w:rPr>
        <w:t>围绕全县中心工作，精心策划重点报道；尤其是组织好系列报道和民生新闻，增加新闻的可视性。负责外宣和创优工作；负责新闻档案（包括图像、文稿等新闻资料）的收集、整理、建档工作。</w:t>
      </w:r>
    </w:p>
    <w:p>
      <w:pPr>
        <w:widowControl/>
        <w:spacing w:line="360" w:lineRule="auto"/>
        <w:ind w:firstLine="800" w:firstLineChars="250"/>
        <w:jc w:val="left"/>
        <w:rPr>
          <w:rFonts w:ascii="仿宋" w:hAnsi="仿宋" w:eastAsia="仿宋" w:cs="仿宋"/>
          <w:bCs/>
          <w:kern w:val="0"/>
          <w:sz w:val="32"/>
          <w:szCs w:val="32"/>
        </w:rPr>
      </w:pPr>
      <w:r>
        <w:rPr>
          <w:rFonts w:hint="eastAsia" w:ascii="仿宋" w:hAnsi="仿宋" w:eastAsia="仿宋" w:cs="仿宋"/>
          <w:bCs/>
          <w:kern w:val="0"/>
          <w:sz w:val="32"/>
          <w:szCs w:val="32"/>
        </w:rPr>
        <w:t>3、电影院</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主要负责：必须听从单位安排，严格执行单位制定的放映任务。完成家村公益性电影放映场次的任务。</w:t>
      </w:r>
    </w:p>
    <w:p>
      <w:pPr>
        <w:widowControl/>
        <w:spacing w:line="360" w:lineRule="auto"/>
        <w:ind w:firstLine="800" w:firstLineChars="250"/>
        <w:jc w:val="left"/>
        <w:rPr>
          <w:rFonts w:ascii="楷体" w:hAnsi="楷体" w:eastAsia="楷体" w:cs="Calibri"/>
          <w:b/>
          <w:kern w:val="0"/>
          <w:sz w:val="32"/>
          <w:szCs w:val="32"/>
        </w:rPr>
      </w:pPr>
      <w:r>
        <w:rPr>
          <w:rFonts w:hint="eastAsia" w:ascii="楷体" w:hAnsi="楷体" w:eastAsia="楷体" w:cs="Calibri"/>
          <w:b/>
          <w:kern w:val="0"/>
          <w:sz w:val="32"/>
          <w:szCs w:val="32"/>
        </w:rPr>
        <w:t>人员编制和领导职数</w:t>
      </w:r>
    </w:p>
    <w:p>
      <w:pPr>
        <w:widowControl/>
        <w:spacing w:line="360" w:lineRule="auto"/>
        <w:ind w:firstLine="800" w:firstLineChars="250"/>
        <w:jc w:val="left"/>
        <w:rPr>
          <w:rFonts w:ascii="仿宋" w:hAnsi="仿宋" w:eastAsia="仿宋" w:cs="仿宋"/>
          <w:bCs/>
          <w:kern w:val="0"/>
          <w:sz w:val="32"/>
          <w:szCs w:val="32"/>
        </w:rPr>
      </w:pPr>
      <w:r>
        <w:rPr>
          <w:rFonts w:hint="eastAsia" w:ascii="仿宋" w:hAnsi="仿宋" w:eastAsia="仿宋" w:cs="仿宋"/>
          <w:bCs/>
          <w:kern w:val="0"/>
          <w:sz w:val="32"/>
          <w:szCs w:val="32"/>
        </w:rPr>
        <w:t>成安县广播电视台，人员编制6名，其中领导职数3个。</w:t>
      </w:r>
    </w:p>
    <w:p>
      <w:pPr>
        <w:widowControl/>
        <w:spacing w:line="360" w:lineRule="auto"/>
        <w:ind w:firstLine="640" w:firstLineChars="200"/>
        <w:jc w:val="left"/>
        <w:rPr>
          <w:rFonts w:ascii="黑体" w:hAnsi="黑体" w:eastAsia="黑体" w:cs="仿宋"/>
          <w:bCs/>
          <w:kern w:val="0"/>
          <w:sz w:val="32"/>
          <w:szCs w:val="32"/>
        </w:rPr>
      </w:pPr>
      <w:r>
        <w:rPr>
          <w:rFonts w:hint="eastAsia" w:ascii="黑体" w:hAnsi="黑体" w:eastAsia="黑体" w:cs="仿宋"/>
          <w:bCs/>
          <w:kern w:val="0"/>
          <w:sz w:val="32"/>
          <w:szCs w:val="32"/>
        </w:rPr>
        <w:t>二、</w:t>
      </w:r>
      <w:r>
        <w:rPr>
          <w:rFonts w:hint="eastAsia" w:ascii="黑体" w:hAnsi="黑体" w:eastAsia="黑体" w:cs="仿宋_GB2312"/>
          <w:kern w:val="0"/>
          <w:sz w:val="32"/>
          <w:szCs w:val="32"/>
        </w:rPr>
        <w:t>部门预算安排总体情况</w:t>
      </w:r>
    </w:p>
    <w:p>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firstLineChars="20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年预算收入668.54万元，其中：一般公共预算收入668.54万元，政府性基金收入0万元，国有资本经营收入0万元，事业收入0万元，其他收入0万元。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ind w:firstLine="480" w:firstLineChars="15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年支出预算668.54万元，其中基本支出206.71万元，主要是人员经费203.31万元，日常公用经费3.4万元；项目支出461.83万元。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ascii="仿宋" w:hAnsi="仿宋" w:eastAsia="仿宋" w:cs="Calibri"/>
          <w:kern w:val="0"/>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年预算收支安排668.54万元，较</w:t>
      </w: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年预算增加383.18万元，其中项目支出增加383.18万元，主要是上级专项资金增加383.18万元，</w:t>
      </w:r>
      <w:r>
        <w:rPr>
          <w:rFonts w:hint="eastAsia" w:ascii="仿宋" w:hAnsi="仿宋" w:eastAsia="仿宋" w:cs="仿宋_GB2312"/>
          <w:kern w:val="0"/>
          <w:sz w:val="32"/>
          <w:szCs w:val="32"/>
        </w:rPr>
        <w:t>用于基础建设及设备购置支出</w:t>
      </w:r>
      <w:r>
        <w:rPr>
          <w:rFonts w:hint="eastAsia" w:ascii="仿宋" w:hAnsi="仿宋" w:eastAsia="仿宋" w:cs="Calibri"/>
          <w:kern w:val="0"/>
          <w:sz w:val="32"/>
          <w:szCs w:val="32"/>
        </w:rPr>
        <w:t>。</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Calibri"/>
          <w:kern w:val="0"/>
          <w:sz w:val="32"/>
          <w:szCs w:val="32"/>
        </w:rPr>
        <w:t>三、</w:t>
      </w:r>
      <w:r>
        <w:rPr>
          <w:rFonts w:hint="eastAsia" w:ascii="黑体" w:hAnsi="黑体" w:eastAsia="黑体" w:cs="仿宋_GB2312"/>
          <w:kern w:val="0"/>
          <w:sz w:val="32"/>
          <w:szCs w:val="32"/>
        </w:rPr>
        <w:t>机关运行经费安排情况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方正仿宋_GBK"/>
          <w:sz w:val="32"/>
          <w:szCs w:val="32"/>
        </w:rPr>
        <w:t>机关运行经费共计安排3.4万元，主要用于办公区的日常维修、办公用房水电费、邮电费等日常运行支出。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经费预算安排0万元，其中因公出国（境）费0万元；公务用车购置及运维费0万元（其中：公务用车购置费为0万元，公务用车运行费0万元</w:t>
      </w:r>
      <w:r>
        <w:rPr>
          <w:rFonts w:ascii="仿宋" w:hAnsi="仿宋" w:eastAsia="仿宋" w:cs="Times New Roman"/>
          <w:sz w:val="32"/>
          <w:szCs w:val="32"/>
        </w:rPr>
        <w:t>)</w:t>
      </w:r>
      <w:r>
        <w:rPr>
          <w:rFonts w:hint="eastAsia" w:ascii="仿宋" w:hAnsi="仿宋" w:eastAsia="仿宋" w:cs="方正仿宋_GBK"/>
          <w:sz w:val="32"/>
          <w:szCs w:val="32"/>
        </w:rPr>
        <w:t>；因公出国（境）费</w:t>
      </w:r>
      <w:r>
        <w:rPr>
          <w:rFonts w:hint="eastAsia" w:ascii="仿宋" w:hAnsi="仿宋" w:eastAsia="仿宋" w:cs="方正仿宋_GBK"/>
          <w:sz w:val="32"/>
          <w:szCs w:val="32"/>
          <w:lang w:eastAsia="zh-CN"/>
        </w:rPr>
        <w:t>较</w:t>
      </w:r>
      <w:r>
        <w:rPr>
          <w:rFonts w:hint="eastAsia" w:ascii="仿宋" w:hAnsi="仿宋" w:eastAsia="仿宋" w:cs="方正仿宋_GBK"/>
          <w:sz w:val="32"/>
          <w:szCs w:val="32"/>
          <w:lang w:val="en-US" w:eastAsia="zh-CN"/>
        </w:rPr>
        <w:t>2020年持平；</w:t>
      </w:r>
      <w:r>
        <w:rPr>
          <w:rFonts w:hint="eastAsia" w:ascii="仿宋" w:hAnsi="仿宋" w:eastAsia="仿宋" w:cs="方正仿宋_GBK"/>
          <w:sz w:val="32"/>
          <w:szCs w:val="32"/>
        </w:rPr>
        <w:t>公务接待费</w:t>
      </w:r>
      <w:r>
        <w:rPr>
          <w:rFonts w:hint="eastAsia" w:ascii="仿宋" w:hAnsi="仿宋" w:eastAsia="仿宋" w:cs="方正仿宋_GBK"/>
          <w:sz w:val="32"/>
          <w:szCs w:val="32"/>
          <w:lang w:val="en-US" w:eastAsia="zh-CN"/>
        </w:rPr>
        <w:t>较</w:t>
      </w:r>
      <w:r>
        <w:rPr>
          <w:rFonts w:hint="eastAsia" w:ascii="仿宋" w:hAnsi="仿宋" w:eastAsia="仿宋" w:cs="方正仿宋_GBK"/>
          <w:sz w:val="32"/>
          <w:szCs w:val="32"/>
        </w:rPr>
        <w:t>2020年持平。</w:t>
      </w:r>
    </w:p>
    <w:p>
      <w:pPr>
        <w:spacing w:line="560" w:lineRule="exact"/>
        <w:ind w:firstLine="640"/>
        <w:rPr>
          <w:rFonts w:ascii="黑体" w:hAnsi="黑体" w:eastAsia="黑体" w:cs="Times New Roman"/>
          <w:sz w:val="32"/>
          <w:szCs w:val="32"/>
        </w:rPr>
      </w:pPr>
      <w:r>
        <w:rPr>
          <w:rFonts w:hint="eastAsia" w:ascii="黑体" w:hAnsi="黑体" w:eastAsia="黑体"/>
          <w:sz w:val="32"/>
          <w:szCs w:val="32"/>
        </w:rPr>
        <w:t>五、绩效预算信息</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一、年度发展规划目标</w:t>
      </w:r>
    </w:p>
    <w:p>
      <w:pPr>
        <w:spacing w:line="360" w:lineRule="auto"/>
        <w:ind w:firstLine="600" w:firstLineChars="200"/>
        <w:rPr>
          <w:rFonts w:ascii="楷体" w:hAnsi="楷体" w:eastAsia="楷体" w:cs="楷体"/>
          <w:b/>
          <w:sz w:val="30"/>
          <w:szCs w:val="30"/>
        </w:rPr>
      </w:pPr>
      <w:r>
        <w:rPr>
          <w:rFonts w:hint="eastAsia" w:ascii="楷体" w:hAnsi="楷体" w:eastAsia="楷体" w:cs="楷体"/>
          <w:b/>
          <w:sz w:val="30"/>
          <w:szCs w:val="30"/>
        </w:rPr>
        <w:t>（一）总体目标</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机构，力争将其打造成集主流舆论阵地、综合信息服务、基层舆情聚合的县级融媒体平台。</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二、部门职责分项绩效目标</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（一）广播电视事业建设绩效目标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绩效目标：做好广播电视节目制作、宣传、采访报道工作。提升自办节目生产质量、增加广播电视市场份额，推进广播电视精品创优。</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绩效指标：1.时政新闻专栏开播数量达到</w:t>
      </w:r>
      <w:r>
        <w:rPr>
          <w:rFonts w:hint="eastAsia" w:ascii="仿宋" w:hAnsi="仿宋" w:eastAsia="仿宋"/>
          <w:sz w:val="30"/>
          <w:szCs w:val="30"/>
          <w:lang w:val="en-US" w:eastAsia="zh-CN"/>
        </w:rPr>
        <w:t>18</w:t>
      </w:r>
      <w:r>
        <w:rPr>
          <w:rFonts w:hint="eastAsia" w:ascii="仿宋" w:hAnsi="仿宋" w:eastAsia="仿宋"/>
          <w:sz w:val="30"/>
          <w:szCs w:val="30"/>
        </w:rPr>
        <w:t>个以上，时政节目总时长达到</w:t>
      </w:r>
      <w:r>
        <w:rPr>
          <w:rFonts w:hint="eastAsia" w:ascii="仿宋" w:hAnsi="仿宋" w:eastAsia="仿宋"/>
          <w:sz w:val="30"/>
          <w:szCs w:val="30"/>
          <w:lang w:val="en-US" w:eastAsia="zh-CN"/>
        </w:rPr>
        <w:t>18</w:t>
      </w:r>
      <w:r>
        <w:rPr>
          <w:rFonts w:hint="eastAsia" w:ascii="仿宋" w:hAnsi="仿宋" w:eastAsia="仿宋"/>
          <w:sz w:val="30"/>
          <w:szCs w:val="30"/>
        </w:rPr>
        <w:t>00分钟以上。2.深入开展广播电视宣传报道，不断提升节目生产质量，广播电视自办节目总时长突破</w:t>
      </w:r>
      <w:r>
        <w:rPr>
          <w:rFonts w:hint="eastAsia" w:ascii="仿宋" w:hAnsi="仿宋" w:eastAsia="仿宋"/>
          <w:sz w:val="30"/>
          <w:szCs w:val="30"/>
          <w:lang w:val="en-US" w:eastAsia="zh-CN"/>
        </w:rPr>
        <w:t>12000</w:t>
      </w:r>
      <w:r>
        <w:rPr>
          <w:rFonts w:hint="eastAsia" w:ascii="仿宋" w:hAnsi="仿宋" w:eastAsia="仿宋"/>
          <w:sz w:val="30"/>
          <w:szCs w:val="30"/>
        </w:rPr>
        <w:t>小时，自办节目总数突破</w:t>
      </w:r>
      <w:r>
        <w:rPr>
          <w:rFonts w:hint="eastAsia" w:ascii="仿宋" w:hAnsi="仿宋" w:eastAsia="仿宋"/>
          <w:sz w:val="30"/>
          <w:szCs w:val="30"/>
          <w:lang w:val="en-US" w:eastAsia="zh-CN"/>
        </w:rPr>
        <w:t>25</w:t>
      </w:r>
      <w:r>
        <w:rPr>
          <w:rFonts w:hint="eastAsia" w:ascii="仿宋" w:hAnsi="仿宋" w:eastAsia="仿宋"/>
          <w:sz w:val="30"/>
          <w:szCs w:val="30"/>
        </w:rPr>
        <w:t>个，电视收视率同比增长</w:t>
      </w:r>
      <w:r>
        <w:rPr>
          <w:rFonts w:hint="eastAsia" w:ascii="仿宋" w:hAnsi="仿宋" w:eastAsia="仿宋"/>
          <w:sz w:val="30"/>
          <w:szCs w:val="30"/>
          <w:lang w:val="en-US" w:eastAsia="zh-CN"/>
        </w:rPr>
        <w:t>8</w:t>
      </w:r>
      <w:r>
        <w:rPr>
          <w:rFonts w:hint="eastAsia" w:ascii="仿宋" w:hAnsi="仿宋" w:eastAsia="仿宋"/>
          <w:sz w:val="30"/>
          <w:szCs w:val="30"/>
        </w:rPr>
        <w:t>%，广播市场份额突破</w:t>
      </w:r>
      <w:r>
        <w:rPr>
          <w:rFonts w:hint="eastAsia" w:ascii="仿宋" w:hAnsi="仿宋" w:eastAsia="仿宋"/>
          <w:sz w:val="30"/>
          <w:szCs w:val="30"/>
          <w:lang w:val="en-US" w:eastAsia="zh-CN"/>
        </w:rPr>
        <w:t>60</w:t>
      </w:r>
      <w:r>
        <w:rPr>
          <w:rFonts w:hint="eastAsia" w:ascii="仿宋" w:hAnsi="仿宋" w:eastAsia="仿宋"/>
          <w:sz w:val="30"/>
          <w:szCs w:val="30"/>
        </w:rPr>
        <w:t>%。</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（二）广播电视产业建设绩效目标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绩效目标：深度推进媒体融合发展。</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统筹规划并组织实施广播影视产业发展,推进广电网与电信网、互联网三网融合。指导、协调产业项目开展，推动融媒体平台功能完善工作。由传统广播电视的“视听传播”向“综合服务”理念转变，进一步提高广播电视网络的综合承载能力和智能化水平，在智慧城市建设、应急广播体系建设等方面发挥积极作用，不断满足政用、民用、商用的多样性、多层次的视听需求和信息需求，提升</w:t>
      </w:r>
      <w:r>
        <w:rPr>
          <w:rFonts w:hint="eastAsia" w:ascii="仿宋" w:hAnsi="仿宋" w:eastAsia="仿宋"/>
          <w:sz w:val="30"/>
          <w:szCs w:val="30"/>
          <w:lang w:eastAsia="zh-CN"/>
        </w:rPr>
        <w:t>成安</w:t>
      </w:r>
      <w:r>
        <w:rPr>
          <w:rFonts w:hint="eastAsia" w:ascii="仿宋" w:hAnsi="仿宋" w:eastAsia="仿宋"/>
          <w:sz w:val="30"/>
          <w:szCs w:val="30"/>
        </w:rPr>
        <w:t>广电对区域经济社会发展的融入度和贡献度。</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（三）建立广播电视安全播出保障体系绩效目标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绩效目标：加强台站、安全播出管理，努力实现全年零播出事故。</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绩效指标：对广播电视节目传输、覆盖及网络和新媒体内容等的安全播出情况进行监管；开展市</w:t>
      </w:r>
      <w:r>
        <w:rPr>
          <w:rFonts w:hint="eastAsia" w:ascii="仿宋" w:hAnsi="仿宋" w:eastAsia="仿宋"/>
          <w:sz w:val="30"/>
          <w:szCs w:val="30"/>
          <w:lang w:eastAsia="zh-CN"/>
        </w:rPr>
        <w:t>县</w:t>
      </w:r>
      <w:r>
        <w:rPr>
          <w:rFonts w:hint="eastAsia" w:ascii="仿宋" w:hAnsi="仿宋" w:eastAsia="仿宋"/>
          <w:sz w:val="30"/>
          <w:szCs w:val="30"/>
        </w:rPr>
        <w:t>共管中波发射台的运行维护管理。确保广播电视节目传输、发射及网络和新媒体内容等的安全播出。做好各项基础性保障工作，所有设备故障发生率控制在10%以内。</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（四）政务管理绩效目标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绩效目标：做好综合事务管理工作。</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绩效指标：开展广播电视研究、培训、对外交流、后勤保障以及其他各项基础性保障工作。</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三、实现年度发展规划目标的工作保障措施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（一）持续加大对上宣传力度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要重策划。由台长、总编牵头，组建对上报道选题策划小组，按照部里统等安排，聚焦全市中心、重点、亮点工作和重大典型，着力攻系列报道、攻头条、攻提要、攻单条。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要重保障。完善激励机制，形成全台抓对上的浓厚氛围，同时加强对上工作后勤保障。通过努力，推出一批有影响的精品力作，保持在全省城市台对上报道前茅地位。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要重制作。调配政治素质和业务能力过硬的采编人员，选用全台最好的摄录设备，增强对上报道力量，强化采录、撰稿、编辑各环节的质量把控，力求内容更精，声音、画面更美。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要重沟通。保持经常与省</w:t>
      </w:r>
      <w:r>
        <w:rPr>
          <w:rFonts w:hint="eastAsia" w:ascii="仿宋" w:hAnsi="仿宋" w:eastAsia="仿宋" w:cs="新宋体"/>
          <w:kern w:val="0"/>
          <w:sz w:val="30"/>
          <w:szCs w:val="30"/>
          <w:lang w:eastAsia="zh-CN"/>
        </w:rPr>
        <w:t>市</w:t>
      </w:r>
      <w:r>
        <w:rPr>
          <w:rFonts w:hint="eastAsia" w:ascii="仿宋" w:hAnsi="仿宋" w:eastAsia="仿宋" w:cs="新宋体"/>
          <w:kern w:val="0"/>
          <w:sz w:val="30"/>
          <w:szCs w:val="30"/>
        </w:rPr>
        <w:t>台记者联系，了解宣传方案、报道重点、采访计划，特别是争取与上级媒体的大力度合作。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（二）着力提升主题宣传效果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做到精心选题。健全选题策划制度，围绕中央省、市中心工作，结合时政和民生栏目的定位特点组织选题，从新闻创作源头入手，提高选题质量和水平。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做到融合传播。适应媒体环境变化，从受众的获取信息习惯出发，加强新闻语言、表现手法、传播方式创新，做到既有全、精、深，又有短、平、快。统筹运用广播、电视、广电网、</w:t>
      </w:r>
      <w:r>
        <w:rPr>
          <w:rFonts w:ascii="仿宋" w:hAnsi="仿宋" w:eastAsia="仿宋" w:cs="新宋体"/>
          <w:kern w:val="0"/>
          <w:sz w:val="30"/>
          <w:szCs w:val="30"/>
        </w:rPr>
        <w:t>AP</w:t>
      </w:r>
      <w:r>
        <w:rPr>
          <w:rFonts w:hint="eastAsia" w:ascii="仿宋" w:hAnsi="仿宋" w:eastAsia="仿宋" w:cs="新宋体"/>
          <w:kern w:val="0"/>
          <w:sz w:val="30"/>
          <w:szCs w:val="30"/>
        </w:rPr>
        <w:t>、微信、微博和广电报等全媒体传播手段，打好主题宣传报道的组合拳，形成宣传声势，增强整体效果。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（三）提升创收能力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kern w:val="0"/>
          <w:sz w:val="30"/>
          <w:szCs w:val="30"/>
        </w:rPr>
      </w:pPr>
      <w:r>
        <w:rPr>
          <w:rFonts w:hint="eastAsia" w:ascii="仿宋" w:hAnsi="仿宋" w:eastAsia="仿宋" w:cs="新宋体"/>
          <w:kern w:val="0"/>
          <w:sz w:val="30"/>
          <w:szCs w:val="30"/>
        </w:rPr>
        <w:t>面对广电行业普遍经营下滑，主动转变经营理念，提高创收能力，通过加强广告创意、举办特色活动、做好政务服务和拓展延伸产业等手段，力求经营创收能力稳定向好，保障</w:t>
      </w:r>
      <w:r>
        <w:rPr>
          <w:rFonts w:hint="eastAsia" w:ascii="仿宋" w:hAnsi="仿宋" w:eastAsia="仿宋" w:cs="新宋体"/>
          <w:kern w:val="0"/>
          <w:sz w:val="30"/>
          <w:szCs w:val="30"/>
          <w:lang w:eastAsia="zh-CN"/>
        </w:rPr>
        <w:t>成安</w:t>
      </w:r>
      <w:r>
        <w:rPr>
          <w:rFonts w:hint="eastAsia" w:ascii="仿宋" w:hAnsi="仿宋" w:eastAsia="仿宋" w:cs="新宋体"/>
          <w:kern w:val="0"/>
          <w:sz w:val="30"/>
          <w:szCs w:val="30"/>
        </w:rPr>
        <w:t>广播电视台稳步发展。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（四）提高媒体的传播力、引导力、影响力、公信力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b/>
          <w:bCs/>
          <w:kern w:val="0"/>
          <w:sz w:val="30"/>
          <w:szCs w:val="30"/>
        </w:rPr>
      </w:pPr>
      <w:r>
        <w:rPr>
          <w:rFonts w:hint="eastAsia" w:ascii="仿宋" w:hAnsi="仿宋" w:eastAsia="仿宋" w:cs="新宋体"/>
          <w:kern w:val="0"/>
          <w:sz w:val="30"/>
          <w:szCs w:val="30"/>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（五）完善各项制度建设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kern w:val="0"/>
          <w:sz w:val="30"/>
          <w:szCs w:val="30"/>
        </w:rPr>
      </w:pPr>
      <w:r>
        <w:rPr>
          <w:rFonts w:hint="eastAsia" w:ascii="仿宋" w:hAnsi="仿宋" w:eastAsia="仿宋" w:cs="新宋体"/>
          <w:kern w:val="0"/>
          <w:sz w:val="30"/>
          <w:szCs w:val="30"/>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w:t>
      </w:r>
      <w:r>
        <w:rPr>
          <w:rFonts w:hint="eastAsia" w:ascii="华文楷体" w:hAnsi="华文楷体" w:eastAsia="华文楷体" w:cs="新宋体"/>
          <w:b/>
          <w:bCs/>
          <w:kern w:val="0"/>
          <w:sz w:val="32"/>
          <w:szCs w:val="32"/>
          <w:lang w:eastAsia="zh-CN"/>
        </w:rPr>
        <w:t>六</w:t>
      </w:r>
      <w:r>
        <w:rPr>
          <w:rFonts w:hint="eastAsia" w:ascii="华文楷体" w:hAnsi="华文楷体" w:eastAsia="华文楷体" w:cs="新宋体"/>
          <w:b/>
          <w:bCs/>
          <w:kern w:val="0"/>
          <w:sz w:val="32"/>
          <w:szCs w:val="32"/>
        </w:rPr>
        <w:t>）加强绩效运行监控，做好绩效自评，加强内部监督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kern w:val="0"/>
          <w:sz w:val="30"/>
          <w:szCs w:val="30"/>
        </w:rPr>
      </w:pPr>
      <w:r>
        <w:rPr>
          <w:rFonts w:hint="eastAsia" w:ascii="仿宋" w:hAnsi="仿宋" w:eastAsia="仿宋" w:cs="新宋体"/>
          <w:kern w:val="0"/>
          <w:sz w:val="30"/>
          <w:szCs w:val="30"/>
        </w:rPr>
        <w:t>按要求开展绩效运行监控，发现问题及时采取措施，确保绩效目标如期保质实现。按要求开展上年度部门预算绩效自评和重点评价工作，对评价中发现的问题及时整改。持续举办“新闻（节目）创意策划”“播音主持业务”“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w:t>
      </w:r>
      <w:r>
        <w:rPr>
          <w:rFonts w:hint="eastAsia" w:ascii="华文楷体" w:hAnsi="华文楷体" w:eastAsia="华文楷体" w:cs="新宋体"/>
          <w:b/>
          <w:bCs/>
          <w:kern w:val="0"/>
          <w:sz w:val="32"/>
          <w:szCs w:val="32"/>
          <w:lang w:eastAsia="zh-CN"/>
        </w:rPr>
        <w:t>七</w:t>
      </w:r>
      <w:r>
        <w:rPr>
          <w:rFonts w:hint="eastAsia" w:ascii="华文楷体" w:hAnsi="华文楷体" w:eastAsia="华文楷体" w:cs="新宋体"/>
          <w:b/>
          <w:bCs/>
          <w:kern w:val="0"/>
          <w:sz w:val="32"/>
          <w:szCs w:val="32"/>
        </w:rPr>
        <w:t>）加强宣传培训与调研工作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sz w:val="32"/>
          <w:szCs w:val="32"/>
        </w:rPr>
      </w:pPr>
      <w:r>
        <w:rPr>
          <w:rFonts w:hint="eastAsia" w:ascii="仿宋" w:hAnsi="仿宋" w:eastAsia="仿宋" w:cs="新宋体"/>
          <w:kern w:val="0"/>
          <w:sz w:val="30"/>
          <w:szCs w:val="30"/>
        </w:rPr>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p>
    <w:p>
      <w:pPr>
        <w:spacing w:line="560" w:lineRule="exact"/>
        <w:ind w:firstLine="640" w:firstLineChars="200"/>
        <w:jc w:val="left"/>
        <w:rPr>
          <w:rFonts w:ascii="仿宋" w:hAnsi="仿宋" w:eastAsia="仿宋"/>
          <w:sz w:val="32"/>
          <w:szCs w:val="32"/>
        </w:rPr>
      </w:pPr>
    </w:p>
    <w:p>
      <w:pPr>
        <w:spacing w:line="560" w:lineRule="exact"/>
        <w:ind w:firstLine="420" w:firstLineChars="200"/>
        <w:jc w:val="left"/>
        <w:sectPr>
          <w:pgSz w:w="11907" w:h="16839"/>
          <w:pgMar w:top="1361" w:right="1021" w:bottom="1361" w:left="1021" w:header="851" w:footer="992" w:gutter="0"/>
          <w:cols w:space="720" w:num="1"/>
          <w:docGrid w:type="linesAndChars" w:linePitch="318" w:charSpace="0"/>
        </w:sectPr>
      </w:pPr>
    </w:p>
    <w:p>
      <w:pPr>
        <w:spacing w:line="560" w:lineRule="exact"/>
        <w:jc w:val="left"/>
        <w:outlineLvl w:val="0"/>
        <w:rPr>
          <w:rFonts w:ascii="楷体_GB2312" w:hAnsi="黑体" w:eastAsia="楷体_GB2312" w:cs="楷体_GB2312"/>
          <w:b/>
          <w:bCs/>
          <w:sz w:val="32"/>
          <w:szCs w:val="32"/>
        </w:rPr>
      </w:pPr>
      <w:r>
        <w:rPr>
          <w:rFonts w:hint="eastAsia" w:ascii="楷体_GB2312" w:hAnsi="黑体" w:eastAsia="楷体_GB2312" w:cs="楷体_GB2312"/>
          <w:b/>
          <w:bCs/>
          <w:sz w:val="32"/>
          <w:szCs w:val="32"/>
        </w:rPr>
        <w:t>部门职责及工作活动绩效目标指标：</w:t>
      </w:r>
    </w:p>
    <w:p>
      <w:pPr>
        <w:spacing w:line="560" w:lineRule="exact"/>
        <w:ind w:firstLine="643" w:firstLineChars="200"/>
        <w:jc w:val="left"/>
        <w:outlineLvl w:val="0"/>
        <w:rPr>
          <w:rFonts w:ascii="楷体_GB2312" w:hAnsi="黑体" w:eastAsia="楷体_GB2312" w:cs="楷体_GB2312"/>
          <w:b/>
          <w:bCs/>
          <w:sz w:val="32"/>
          <w:szCs w:val="32"/>
        </w:rPr>
      </w:pPr>
    </w:p>
    <w:p>
      <w:pPr>
        <w:jc w:val="center"/>
        <w:outlineLvl w:val="0"/>
        <w:rPr>
          <w:rFonts w:ascii="仿宋" w:hAnsi="仿宋" w:eastAsia="仿宋" w:cs="仿宋"/>
          <w:sz w:val="32"/>
        </w:rPr>
      </w:pPr>
      <w:bookmarkStart w:id="0" w:name="_Toc482004282"/>
      <w:r>
        <w:rPr>
          <w:rFonts w:hint="eastAsia" w:ascii="仿宋" w:hAnsi="仿宋" w:eastAsia="仿宋" w:cs="仿宋"/>
          <w:sz w:val="32"/>
        </w:rPr>
        <w:t>部门职责-工作活动绩效目标</w:t>
      </w:r>
      <w:bookmarkEnd w:id="0"/>
    </w:p>
    <w:tbl>
      <w:tblPr>
        <w:tblStyle w:val="4"/>
        <w:tblW w:w="13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 w:type="dxa"/>
          <w:bottom w:w="0" w:type="dxa"/>
          <w:right w:w="10" w:type="dxa"/>
        </w:tblCellMar>
      </w:tblPr>
      <w:tblGrid>
        <w:gridCol w:w="227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10918"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359</w:t>
            </w:r>
            <w:r>
              <w:rPr>
                <w:rFonts w:hint="eastAsia" w:ascii="方正小标宋_GBK" w:eastAsia="方正小标宋_GBK"/>
                <w:sz w:val="24"/>
              </w:rPr>
              <w:t>成安县广播电视台</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Align w:val="center"/>
          </w:tcPr>
          <w:p>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668.54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指导全县广播电影电视和信息网络视听节目服务科技工作，负责监管全县广播电影电视节目传输、监测和安全播出，指导督查全县广播电影电视安全运行工作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restart"/>
            <w:vAlign w:val="center"/>
          </w:tcPr>
          <w:p>
            <w:pPr>
              <w:spacing w:line="300" w:lineRule="exact"/>
              <w:jc w:val="left"/>
              <w:rPr>
                <w:rFonts w:ascii="方正书宋_GBK" w:eastAsia="方正书宋_GBK"/>
                <w:b/>
              </w:rPr>
            </w:pPr>
            <w:r>
              <w:rPr>
                <w:rFonts w:hint="eastAsia" w:ascii="方正书宋_GBK" w:eastAsia="方正书宋_GBK"/>
                <w:b/>
              </w:rPr>
              <w:t>　　公共服务工程推广</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完成国家下达的广播电视直播卫星户户通工程、农村电影工作、县城数字影院升级改造、农家书屋建设、全民阅读活动、老放映员生活补助以及应急广播体系建设等任务目标。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县城影院票房增长率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r>
    </w:tbl>
    <w:p>
      <w:pPr>
        <w:spacing w:line="300" w:lineRule="exact"/>
        <w:jc w:val="left"/>
        <w:outlineLvl w:val="0"/>
        <w:sectPr>
          <w:pgSz w:w="16839" w:h="11907" w:orient="landscape"/>
          <w:pgMar w:top="1020" w:right="1361" w:bottom="1020" w:left="1361" w:header="851" w:footer="992" w:gutter="0"/>
          <w:cols w:space="720" w:num="1"/>
          <w:docGrid w:type="lines" w:linePitch="318" w:charSpace="0"/>
        </w:sect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sz w:val="32"/>
          <w:szCs w:val="32"/>
        </w:rPr>
        <w:t>六、政府采购预算情况</w:t>
      </w:r>
    </w:p>
    <w:p>
      <w:pPr>
        <w:widowControl/>
        <w:spacing w:line="360" w:lineRule="auto"/>
        <w:ind w:firstLine="640" w:firstLineChars="200"/>
        <w:jc w:val="left"/>
        <w:rPr>
          <w:rFonts w:hint="eastAsia" w:ascii="仿宋" w:hAnsi="仿宋" w:eastAsia="仿宋" w:cs="方正仿宋_GBK"/>
          <w:sz w:val="32"/>
          <w:szCs w:val="32"/>
        </w:rPr>
      </w:pP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台</w:t>
      </w:r>
      <w:r>
        <w:rPr>
          <w:rFonts w:ascii="仿宋" w:hAnsi="仿宋" w:eastAsia="仿宋" w:cs="仿宋_GB2312"/>
          <w:kern w:val="0"/>
          <w:sz w:val="32"/>
          <w:szCs w:val="32"/>
        </w:rPr>
        <w:t>实际，20</w:t>
      </w:r>
      <w:r>
        <w:rPr>
          <w:rFonts w:hint="eastAsia" w:ascii="仿宋" w:hAnsi="仿宋" w:eastAsia="仿宋" w:cs="仿宋_GB2312"/>
          <w:kern w:val="0"/>
          <w:sz w:val="32"/>
          <w:szCs w:val="32"/>
        </w:rPr>
        <w:t>21</w:t>
      </w:r>
      <w:r>
        <w:rPr>
          <w:rFonts w:ascii="仿宋" w:hAnsi="仿宋" w:eastAsia="仿宋" w:cs="仿宋_GB2312"/>
          <w:kern w:val="0"/>
          <w:sz w:val="32"/>
          <w:szCs w:val="32"/>
        </w:rPr>
        <w:t>年我</w:t>
      </w:r>
      <w:r>
        <w:rPr>
          <w:rFonts w:hint="eastAsia" w:ascii="仿宋" w:hAnsi="仿宋" w:eastAsia="仿宋" w:cs="仿宋_GB2312"/>
          <w:kern w:val="0"/>
          <w:sz w:val="32"/>
          <w:szCs w:val="32"/>
        </w:rPr>
        <w:t>台</w:t>
      </w:r>
      <w:r>
        <w:rPr>
          <w:rFonts w:ascii="仿宋" w:hAnsi="仿宋" w:eastAsia="仿宋" w:cs="仿宋_GB2312"/>
          <w:kern w:val="0"/>
          <w:sz w:val="32"/>
          <w:szCs w:val="32"/>
        </w:rPr>
        <w:t>政府采购事项为</w:t>
      </w:r>
      <w:r>
        <w:rPr>
          <w:rFonts w:hint="eastAsia" w:ascii="仿宋" w:hAnsi="仿宋" w:eastAsia="仿宋" w:cs="仿宋_GB2312"/>
          <w:kern w:val="0"/>
          <w:sz w:val="32"/>
          <w:szCs w:val="32"/>
        </w:rPr>
        <w:t>30万元（其中：演播厅座椅180把，共计21万；</w:t>
      </w:r>
      <w:r>
        <w:rPr>
          <w:rFonts w:hint="eastAsia" w:ascii="仿宋" w:hAnsi="仿宋" w:eastAsia="仿宋" w:cs="仿宋"/>
          <w:sz w:val="32"/>
          <w:szCs w:val="32"/>
        </w:rPr>
        <w:t>移动设备直播套餐1套，计8万元；操作台1套，计1万元</w:t>
      </w:r>
      <w:bookmarkStart w:id="1" w:name="_GoBack"/>
      <w:bookmarkEnd w:id="1"/>
      <w:r>
        <w:rPr>
          <w:rFonts w:hint="eastAsia" w:ascii="仿宋" w:hAnsi="仿宋" w:eastAsia="仿宋" w:cs="仿宋"/>
          <w:sz w:val="32"/>
          <w:szCs w:val="32"/>
        </w:rPr>
        <w:t>）</w:t>
      </w:r>
      <w:r>
        <w:rPr>
          <w:rFonts w:hint="eastAsia" w:ascii="仿宋" w:hAnsi="仿宋" w:eastAsia="仿宋" w:cs="方正仿宋_GBK"/>
          <w:sz w:val="32"/>
          <w:szCs w:val="32"/>
        </w:rPr>
        <w:t>具体内容见下表。</w:t>
      </w:r>
    </w:p>
    <w:p>
      <w:pPr>
        <w:widowControl/>
        <w:spacing w:line="360" w:lineRule="auto"/>
        <w:ind w:firstLine="640" w:firstLineChars="200"/>
        <w:jc w:val="left"/>
        <w:rPr>
          <w:rFonts w:ascii="仿宋" w:hAnsi="仿宋" w:eastAsia="仿宋" w:cs="Times New Roman"/>
          <w:sz w:val="32"/>
          <w:szCs w:val="32"/>
        </w:rPr>
      </w:pPr>
    </w:p>
    <w:p>
      <w:pPr>
        <w:widowControl/>
        <w:jc w:val="center"/>
        <w:rPr>
          <w:rFonts w:ascii="宋体" w:hAnsi="宋体" w:cs="Times New Roman"/>
          <w:sz w:val="32"/>
          <w:szCs w:val="32"/>
        </w:rPr>
      </w:pPr>
      <w:r>
        <w:rPr>
          <w:rFonts w:hint="eastAsia" w:ascii="楷体" w:hAnsi="楷体" w:eastAsia="楷体" w:cs="宋体"/>
          <w:b/>
          <w:bCs/>
          <w:kern w:val="0"/>
          <w:sz w:val="32"/>
          <w:szCs w:val="32"/>
        </w:rPr>
        <w:t>部门政府采购预算</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663"/>
        <w:gridCol w:w="923"/>
        <w:gridCol w:w="689"/>
        <w:gridCol w:w="556"/>
        <w:gridCol w:w="559"/>
        <w:gridCol w:w="749"/>
        <w:gridCol w:w="729"/>
        <w:gridCol w:w="663"/>
        <w:gridCol w:w="617"/>
        <w:gridCol w:w="521"/>
        <w:gridCol w:w="568"/>
        <w:gridCol w:w="572"/>
        <w:gridCol w:w="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7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cs="Times New Roman"/>
                <w:sz w:val="24"/>
                <w:szCs w:val="24"/>
              </w:rPr>
            </w:pPr>
            <w:r>
              <w:rPr>
                <w:rFonts w:hint="eastAsia" w:ascii="宋体" w:hAnsi="宋体" w:cs="方正小标宋_GBK"/>
                <w:sz w:val="24"/>
                <w:szCs w:val="24"/>
              </w:rPr>
              <w:t>部门（单位）名称：成安县广播电视台</w:t>
            </w:r>
          </w:p>
        </w:tc>
        <w:tc>
          <w:tcPr>
            <w:tcW w:w="4182"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cs="Times New Roman"/>
                <w:sz w:val="24"/>
                <w:szCs w:val="24"/>
              </w:rPr>
            </w:pPr>
            <w:r>
              <w:rPr>
                <w:rFonts w:hint="eastAsia" w:ascii="宋体" w:hAnsi="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97" w:type="dxa"/>
            <w:gridSpan w:val="2"/>
            <w:vAlign w:val="center"/>
          </w:tcPr>
          <w:p>
            <w:pPr>
              <w:spacing w:line="560" w:lineRule="exact"/>
              <w:jc w:val="center"/>
              <w:rPr>
                <w:rFonts w:ascii="宋体" w:hAnsi="宋体" w:cs="Times New Roman"/>
                <w:b/>
                <w:bCs/>
              </w:rPr>
            </w:pPr>
            <w:r>
              <w:rPr>
                <w:rFonts w:hint="eastAsia" w:ascii="宋体" w:hAnsi="宋体" w:cs="方正书宋_GBK"/>
                <w:b/>
                <w:bCs/>
              </w:rPr>
              <w:t>政府采购项目来源</w:t>
            </w:r>
          </w:p>
        </w:tc>
        <w:tc>
          <w:tcPr>
            <w:tcW w:w="923" w:type="dxa"/>
            <w:vMerge w:val="restart"/>
            <w:vAlign w:val="center"/>
          </w:tcPr>
          <w:p>
            <w:pPr>
              <w:spacing w:line="560" w:lineRule="exact"/>
              <w:jc w:val="center"/>
              <w:rPr>
                <w:rFonts w:ascii="宋体" w:hAnsi="宋体" w:cs="Times New Roman"/>
                <w:b/>
                <w:bCs/>
              </w:rPr>
            </w:pPr>
            <w:r>
              <w:rPr>
                <w:rFonts w:hint="eastAsia" w:ascii="宋体" w:hAnsi="宋体" w:cs="方正书宋_GBK"/>
                <w:b/>
                <w:bCs/>
              </w:rPr>
              <w:t>采购物品名称</w:t>
            </w:r>
          </w:p>
        </w:tc>
        <w:tc>
          <w:tcPr>
            <w:tcW w:w="689" w:type="dxa"/>
            <w:vMerge w:val="restart"/>
            <w:vAlign w:val="center"/>
          </w:tcPr>
          <w:p>
            <w:pPr>
              <w:spacing w:line="280" w:lineRule="exact"/>
              <w:jc w:val="center"/>
              <w:rPr>
                <w:rFonts w:ascii="宋体" w:hAnsi="宋体" w:cs="Times New Roman"/>
                <w:b/>
                <w:bCs/>
              </w:rPr>
            </w:pPr>
            <w:r>
              <w:rPr>
                <w:rFonts w:hint="eastAsia" w:ascii="宋体" w:hAnsi="宋体" w:cs="方正书宋_GBK"/>
                <w:b/>
                <w:bCs/>
              </w:rPr>
              <w:t>政府采购目录序号</w:t>
            </w:r>
          </w:p>
        </w:tc>
        <w:tc>
          <w:tcPr>
            <w:tcW w:w="556" w:type="dxa"/>
            <w:vMerge w:val="restart"/>
            <w:vAlign w:val="center"/>
          </w:tcPr>
          <w:p>
            <w:pPr>
              <w:spacing w:line="280" w:lineRule="exact"/>
              <w:jc w:val="center"/>
              <w:rPr>
                <w:rFonts w:ascii="宋体" w:hAnsi="宋体" w:cs="Times New Roman"/>
                <w:b/>
                <w:bCs/>
              </w:rPr>
            </w:pPr>
            <w:r>
              <w:rPr>
                <w:rFonts w:hint="eastAsia" w:ascii="宋体" w:hAnsi="宋体" w:cs="方正书宋_GBK"/>
                <w:b/>
                <w:bCs/>
              </w:rPr>
              <w:t>数量单位</w:t>
            </w:r>
          </w:p>
        </w:tc>
        <w:tc>
          <w:tcPr>
            <w:tcW w:w="559" w:type="dxa"/>
            <w:vMerge w:val="restart"/>
            <w:vAlign w:val="center"/>
          </w:tcPr>
          <w:p>
            <w:pPr>
              <w:spacing w:line="280" w:lineRule="exact"/>
              <w:jc w:val="center"/>
              <w:rPr>
                <w:rFonts w:ascii="宋体" w:hAnsi="宋体" w:cs="Times New Roman"/>
                <w:b/>
                <w:bCs/>
              </w:rPr>
            </w:pPr>
            <w:r>
              <w:rPr>
                <w:rFonts w:hint="eastAsia" w:ascii="宋体" w:hAnsi="宋体" w:cs="方正书宋_GBK"/>
                <w:b/>
                <w:bCs/>
              </w:rPr>
              <w:t>数量</w:t>
            </w:r>
          </w:p>
        </w:tc>
        <w:tc>
          <w:tcPr>
            <w:tcW w:w="749" w:type="dxa"/>
            <w:vMerge w:val="restart"/>
            <w:vAlign w:val="center"/>
          </w:tcPr>
          <w:p>
            <w:pPr>
              <w:spacing w:line="280" w:lineRule="exact"/>
              <w:jc w:val="center"/>
              <w:rPr>
                <w:rFonts w:ascii="宋体" w:hAnsi="宋体" w:cs="Times New Roman"/>
                <w:b/>
                <w:bCs/>
              </w:rPr>
            </w:pPr>
            <w:r>
              <w:rPr>
                <w:rFonts w:hint="eastAsia" w:ascii="宋体" w:hAnsi="宋体" w:cs="方正书宋_GBK"/>
                <w:b/>
                <w:bCs/>
              </w:rPr>
              <w:t>单价</w:t>
            </w:r>
          </w:p>
        </w:tc>
        <w:tc>
          <w:tcPr>
            <w:tcW w:w="4182" w:type="dxa"/>
            <w:gridSpan w:val="7"/>
            <w:vAlign w:val="center"/>
          </w:tcPr>
          <w:p>
            <w:pPr>
              <w:spacing w:line="280" w:lineRule="exact"/>
              <w:jc w:val="center"/>
              <w:rPr>
                <w:rFonts w:ascii="宋体" w:hAnsi="宋体" w:cs="Times New Roman"/>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34" w:type="dxa"/>
            <w:vMerge w:val="restart"/>
            <w:vAlign w:val="center"/>
          </w:tcPr>
          <w:p>
            <w:pPr>
              <w:spacing w:line="560" w:lineRule="exact"/>
              <w:jc w:val="center"/>
              <w:rPr>
                <w:rFonts w:ascii="宋体" w:hAnsi="宋体" w:cs="Times New Roman"/>
                <w:b/>
                <w:bCs/>
              </w:rPr>
            </w:pPr>
            <w:r>
              <w:rPr>
                <w:rFonts w:hint="eastAsia" w:ascii="宋体" w:hAnsi="宋体" w:cs="方正书宋_GBK"/>
                <w:b/>
                <w:bCs/>
              </w:rPr>
              <w:t>项目名称</w:t>
            </w:r>
          </w:p>
        </w:tc>
        <w:tc>
          <w:tcPr>
            <w:tcW w:w="663" w:type="dxa"/>
            <w:vMerge w:val="restart"/>
            <w:vAlign w:val="center"/>
          </w:tcPr>
          <w:p>
            <w:pPr>
              <w:spacing w:line="560" w:lineRule="exact"/>
              <w:jc w:val="center"/>
              <w:rPr>
                <w:rFonts w:ascii="宋体" w:hAnsi="宋体" w:cs="Times New Roman"/>
                <w:b/>
                <w:bCs/>
              </w:rPr>
            </w:pPr>
            <w:r>
              <w:rPr>
                <w:rFonts w:hint="eastAsia" w:ascii="宋体" w:hAnsi="宋体" w:cs="方正书宋_GBK"/>
                <w:b/>
                <w:bCs/>
              </w:rPr>
              <w:t>预算资金</w:t>
            </w:r>
          </w:p>
        </w:tc>
        <w:tc>
          <w:tcPr>
            <w:tcW w:w="923" w:type="dxa"/>
            <w:vMerge w:val="continue"/>
            <w:vAlign w:val="center"/>
          </w:tcPr>
          <w:p>
            <w:pPr>
              <w:spacing w:line="560" w:lineRule="exact"/>
              <w:jc w:val="left"/>
              <w:outlineLvl w:val="0"/>
              <w:rPr>
                <w:rFonts w:ascii="宋体" w:hAnsi="宋体" w:cs="Times New Roman"/>
              </w:rPr>
            </w:pPr>
          </w:p>
        </w:tc>
        <w:tc>
          <w:tcPr>
            <w:tcW w:w="689" w:type="dxa"/>
            <w:vMerge w:val="continue"/>
            <w:vAlign w:val="center"/>
          </w:tcPr>
          <w:p>
            <w:pPr>
              <w:spacing w:line="280" w:lineRule="exact"/>
              <w:jc w:val="left"/>
              <w:outlineLvl w:val="0"/>
              <w:rPr>
                <w:rFonts w:ascii="宋体" w:hAnsi="宋体" w:cs="Times New Roman"/>
              </w:rPr>
            </w:pPr>
          </w:p>
        </w:tc>
        <w:tc>
          <w:tcPr>
            <w:tcW w:w="556" w:type="dxa"/>
            <w:vMerge w:val="continue"/>
            <w:vAlign w:val="center"/>
          </w:tcPr>
          <w:p>
            <w:pPr>
              <w:spacing w:line="280" w:lineRule="exact"/>
              <w:jc w:val="left"/>
              <w:outlineLvl w:val="0"/>
              <w:rPr>
                <w:rFonts w:ascii="宋体" w:hAnsi="宋体" w:cs="Times New Roman"/>
              </w:rPr>
            </w:pPr>
          </w:p>
        </w:tc>
        <w:tc>
          <w:tcPr>
            <w:tcW w:w="559" w:type="dxa"/>
            <w:vMerge w:val="continue"/>
            <w:vAlign w:val="center"/>
          </w:tcPr>
          <w:p>
            <w:pPr>
              <w:spacing w:line="280" w:lineRule="exact"/>
              <w:jc w:val="left"/>
              <w:outlineLvl w:val="0"/>
              <w:rPr>
                <w:rFonts w:ascii="宋体" w:hAnsi="宋体" w:cs="Times New Roman"/>
              </w:rPr>
            </w:pPr>
          </w:p>
        </w:tc>
        <w:tc>
          <w:tcPr>
            <w:tcW w:w="749" w:type="dxa"/>
            <w:vMerge w:val="continue"/>
            <w:vAlign w:val="center"/>
          </w:tcPr>
          <w:p>
            <w:pPr>
              <w:spacing w:line="280" w:lineRule="exact"/>
              <w:jc w:val="left"/>
              <w:outlineLvl w:val="0"/>
              <w:rPr>
                <w:rFonts w:ascii="宋体" w:hAnsi="宋体" w:cs="Times New Roman"/>
              </w:rPr>
            </w:pPr>
          </w:p>
        </w:tc>
        <w:tc>
          <w:tcPr>
            <w:tcW w:w="729" w:type="dxa"/>
            <w:vMerge w:val="restart"/>
            <w:vAlign w:val="center"/>
          </w:tcPr>
          <w:p>
            <w:pPr>
              <w:spacing w:line="280" w:lineRule="exact"/>
              <w:jc w:val="center"/>
              <w:rPr>
                <w:rFonts w:ascii="宋体" w:hAnsi="宋体" w:cs="Times New Roman"/>
                <w:b/>
                <w:bCs/>
              </w:rPr>
            </w:pPr>
            <w:r>
              <w:rPr>
                <w:rFonts w:hint="eastAsia" w:ascii="宋体" w:hAnsi="宋体" w:cs="方正书宋_GBK"/>
                <w:b/>
                <w:bCs/>
              </w:rPr>
              <w:t>总计</w:t>
            </w:r>
          </w:p>
        </w:tc>
        <w:tc>
          <w:tcPr>
            <w:tcW w:w="2941" w:type="dxa"/>
            <w:gridSpan w:val="5"/>
            <w:vAlign w:val="center"/>
          </w:tcPr>
          <w:p>
            <w:pPr>
              <w:spacing w:line="280" w:lineRule="exact"/>
              <w:jc w:val="center"/>
              <w:rPr>
                <w:rFonts w:ascii="宋体" w:hAnsi="宋体" w:cs="Times New Roman"/>
                <w:b/>
                <w:bCs/>
              </w:rPr>
            </w:pPr>
            <w:r>
              <w:rPr>
                <w:rFonts w:hint="eastAsia" w:ascii="宋体" w:hAnsi="宋体" w:cs="方正书宋_GBK"/>
                <w:b/>
                <w:bCs/>
              </w:rPr>
              <w:t>当年部门预算安排资金</w:t>
            </w:r>
          </w:p>
        </w:tc>
        <w:tc>
          <w:tcPr>
            <w:tcW w:w="512" w:type="dxa"/>
            <w:vMerge w:val="restart"/>
            <w:vAlign w:val="center"/>
          </w:tcPr>
          <w:p>
            <w:pPr>
              <w:spacing w:line="280" w:lineRule="exact"/>
              <w:jc w:val="center"/>
              <w:rPr>
                <w:rFonts w:ascii="宋体" w:hAnsi="宋体" w:cs="Times New Roman"/>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34" w:type="dxa"/>
            <w:vMerge w:val="continue"/>
            <w:vAlign w:val="center"/>
          </w:tcPr>
          <w:p>
            <w:pPr>
              <w:spacing w:line="560" w:lineRule="exact"/>
              <w:jc w:val="left"/>
              <w:outlineLvl w:val="0"/>
              <w:rPr>
                <w:rFonts w:ascii="宋体" w:hAnsi="宋体" w:cs="Times New Roman"/>
              </w:rPr>
            </w:pPr>
          </w:p>
        </w:tc>
        <w:tc>
          <w:tcPr>
            <w:tcW w:w="663" w:type="dxa"/>
            <w:vMerge w:val="continue"/>
            <w:vAlign w:val="center"/>
          </w:tcPr>
          <w:p>
            <w:pPr>
              <w:spacing w:line="560" w:lineRule="exact"/>
              <w:jc w:val="left"/>
              <w:outlineLvl w:val="0"/>
              <w:rPr>
                <w:rFonts w:ascii="宋体" w:hAnsi="宋体" w:cs="Times New Roman"/>
              </w:rPr>
            </w:pPr>
          </w:p>
        </w:tc>
        <w:tc>
          <w:tcPr>
            <w:tcW w:w="923" w:type="dxa"/>
            <w:vMerge w:val="continue"/>
            <w:vAlign w:val="center"/>
          </w:tcPr>
          <w:p>
            <w:pPr>
              <w:spacing w:line="560" w:lineRule="exact"/>
              <w:jc w:val="left"/>
              <w:outlineLvl w:val="0"/>
              <w:rPr>
                <w:rFonts w:ascii="宋体" w:hAnsi="宋体" w:cs="Times New Roman"/>
              </w:rPr>
            </w:pPr>
          </w:p>
        </w:tc>
        <w:tc>
          <w:tcPr>
            <w:tcW w:w="689" w:type="dxa"/>
            <w:vMerge w:val="continue"/>
            <w:vAlign w:val="center"/>
          </w:tcPr>
          <w:p>
            <w:pPr>
              <w:spacing w:line="280" w:lineRule="exact"/>
              <w:jc w:val="left"/>
              <w:outlineLvl w:val="0"/>
              <w:rPr>
                <w:rFonts w:ascii="宋体" w:hAnsi="宋体" w:cs="Times New Roman"/>
              </w:rPr>
            </w:pPr>
          </w:p>
        </w:tc>
        <w:tc>
          <w:tcPr>
            <w:tcW w:w="556" w:type="dxa"/>
            <w:vMerge w:val="continue"/>
            <w:vAlign w:val="center"/>
          </w:tcPr>
          <w:p>
            <w:pPr>
              <w:spacing w:line="280" w:lineRule="exact"/>
              <w:jc w:val="left"/>
              <w:outlineLvl w:val="0"/>
              <w:rPr>
                <w:rFonts w:ascii="宋体" w:hAnsi="宋体" w:cs="Times New Roman"/>
              </w:rPr>
            </w:pPr>
          </w:p>
        </w:tc>
        <w:tc>
          <w:tcPr>
            <w:tcW w:w="559" w:type="dxa"/>
            <w:vMerge w:val="continue"/>
            <w:vAlign w:val="center"/>
          </w:tcPr>
          <w:p>
            <w:pPr>
              <w:spacing w:line="280" w:lineRule="exact"/>
              <w:jc w:val="left"/>
              <w:outlineLvl w:val="0"/>
              <w:rPr>
                <w:rFonts w:ascii="宋体" w:hAnsi="宋体" w:cs="Times New Roman"/>
              </w:rPr>
            </w:pPr>
          </w:p>
        </w:tc>
        <w:tc>
          <w:tcPr>
            <w:tcW w:w="749" w:type="dxa"/>
            <w:vMerge w:val="continue"/>
            <w:vAlign w:val="center"/>
          </w:tcPr>
          <w:p>
            <w:pPr>
              <w:spacing w:line="280" w:lineRule="exact"/>
              <w:jc w:val="left"/>
              <w:outlineLvl w:val="0"/>
              <w:rPr>
                <w:rFonts w:ascii="宋体" w:hAnsi="宋体" w:cs="Times New Roman"/>
              </w:rPr>
            </w:pPr>
          </w:p>
        </w:tc>
        <w:tc>
          <w:tcPr>
            <w:tcW w:w="729" w:type="dxa"/>
            <w:vMerge w:val="continue"/>
            <w:vAlign w:val="center"/>
          </w:tcPr>
          <w:p>
            <w:pPr>
              <w:spacing w:line="280" w:lineRule="exact"/>
              <w:jc w:val="left"/>
              <w:outlineLvl w:val="0"/>
              <w:rPr>
                <w:rFonts w:ascii="宋体" w:hAnsi="宋体" w:cs="Times New Roman"/>
              </w:rPr>
            </w:pPr>
          </w:p>
        </w:tc>
        <w:tc>
          <w:tcPr>
            <w:tcW w:w="663" w:type="dxa"/>
            <w:vAlign w:val="center"/>
          </w:tcPr>
          <w:p>
            <w:pPr>
              <w:spacing w:line="280" w:lineRule="exact"/>
              <w:jc w:val="center"/>
              <w:rPr>
                <w:rFonts w:ascii="宋体" w:hAnsi="宋体" w:cs="Times New Roman"/>
                <w:b/>
                <w:bCs/>
              </w:rPr>
            </w:pPr>
            <w:r>
              <w:rPr>
                <w:rFonts w:hint="eastAsia" w:ascii="宋体" w:hAnsi="宋体" w:cs="方正书宋_GBK"/>
                <w:b/>
                <w:bCs/>
              </w:rPr>
              <w:t>合计</w:t>
            </w:r>
          </w:p>
        </w:tc>
        <w:tc>
          <w:tcPr>
            <w:tcW w:w="617" w:type="dxa"/>
            <w:vAlign w:val="center"/>
          </w:tcPr>
          <w:p>
            <w:pPr>
              <w:spacing w:line="280" w:lineRule="exact"/>
              <w:jc w:val="center"/>
              <w:rPr>
                <w:rFonts w:ascii="宋体" w:hAnsi="宋体" w:cs="Times New Roman"/>
                <w:b/>
                <w:bCs/>
              </w:rPr>
            </w:pPr>
            <w:r>
              <w:rPr>
                <w:rFonts w:hint="eastAsia" w:ascii="宋体" w:hAnsi="宋体" w:cs="方正书宋_GBK"/>
                <w:b/>
                <w:bCs/>
              </w:rPr>
              <w:t>一般公共预算拨款</w:t>
            </w:r>
          </w:p>
        </w:tc>
        <w:tc>
          <w:tcPr>
            <w:tcW w:w="521" w:type="dxa"/>
            <w:vAlign w:val="center"/>
          </w:tcPr>
          <w:p>
            <w:pPr>
              <w:spacing w:line="280" w:lineRule="exact"/>
              <w:jc w:val="center"/>
              <w:rPr>
                <w:rFonts w:ascii="宋体" w:hAnsi="宋体" w:cs="Times New Roman"/>
                <w:b/>
                <w:bCs/>
              </w:rPr>
            </w:pPr>
            <w:r>
              <w:rPr>
                <w:rFonts w:hint="eastAsia" w:ascii="宋体" w:hAnsi="宋体" w:cs="方正书宋_GBK"/>
                <w:b/>
                <w:bCs/>
              </w:rPr>
              <w:t>基金预算拨款</w:t>
            </w:r>
          </w:p>
        </w:tc>
        <w:tc>
          <w:tcPr>
            <w:tcW w:w="568" w:type="dxa"/>
            <w:vAlign w:val="center"/>
          </w:tcPr>
          <w:p>
            <w:pPr>
              <w:spacing w:line="280" w:lineRule="exact"/>
              <w:jc w:val="center"/>
              <w:rPr>
                <w:rFonts w:ascii="宋体" w:hAnsi="宋体" w:cs="Times New Roman"/>
                <w:b/>
                <w:bCs/>
              </w:rPr>
            </w:pPr>
            <w:r>
              <w:rPr>
                <w:rFonts w:hint="eastAsia" w:ascii="宋体" w:hAnsi="宋体" w:cs="方正书宋_GBK"/>
                <w:b/>
                <w:bCs/>
              </w:rPr>
              <w:t>财政专户核拨</w:t>
            </w:r>
          </w:p>
        </w:tc>
        <w:tc>
          <w:tcPr>
            <w:tcW w:w="572" w:type="dxa"/>
            <w:vAlign w:val="center"/>
          </w:tcPr>
          <w:p>
            <w:pPr>
              <w:spacing w:line="280" w:lineRule="exact"/>
              <w:jc w:val="center"/>
              <w:rPr>
                <w:rFonts w:ascii="宋体" w:hAnsi="宋体" w:cs="Times New Roman"/>
                <w:b/>
                <w:bCs/>
              </w:rPr>
            </w:pPr>
            <w:r>
              <w:rPr>
                <w:rFonts w:hint="eastAsia" w:ascii="宋体" w:hAnsi="宋体" w:cs="方正书宋_GBK"/>
                <w:b/>
                <w:bCs/>
              </w:rPr>
              <w:t>其他来源收入</w:t>
            </w:r>
          </w:p>
        </w:tc>
        <w:tc>
          <w:tcPr>
            <w:tcW w:w="512" w:type="dxa"/>
            <w:vMerge w:val="continue"/>
            <w:vAlign w:val="center"/>
          </w:tcPr>
          <w:p>
            <w:pPr>
              <w:spacing w:line="560" w:lineRule="exact"/>
              <w:jc w:val="left"/>
              <w:outlineLvl w:val="0"/>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34" w:type="dxa"/>
            <w:vAlign w:val="center"/>
          </w:tcPr>
          <w:p>
            <w:pPr>
              <w:spacing w:line="560" w:lineRule="exact"/>
              <w:jc w:val="center"/>
              <w:rPr>
                <w:rFonts w:ascii="宋体" w:hAnsi="宋体" w:cs="Times New Roman"/>
                <w:b/>
                <w:bCs/>
              </w:rPr>
            </w:pPr>
            <w:r>
              <w:rPr>
                <w:rFonts w:hint="eastAsia" w:ascii="宋体" w:hAnsi="宋体" w:cs="方正书宋_GBK"/>
                <w:b/>
                <w:bCs/>
              </w:rPr>
              <w:t>合　计</w:t>
            </w:r>
          </w:p>
        </w:tc>
        <w:tc>
          <w:tcPr>
            <w:tcW w:w="663" w:type="dxa"/>
            <w:vAlign w:val="center"/>
          </w:tcPr>
          <w:p>
            <w:pPr>
              <w:spacing w:line="560" w:lineRule="exact"/>
              <w:jc w:val="center"/>
              <w:rPr>
                <w:rFonts w:ascii="宋体" w:hAnsi="宋体" w:cs="Times New Roman"/>
                <w:b/>
                <w:bCs/>
              </w:rPr>
            </w:pPr>
            <w:r>
              <w:rPr>
                <w:rFonts w:hint="eastAsia" w:ascii="宋体" w:hAnsi="宋体" w:cs="Times New Roman"/>
                <w:b/>
                <w:bCs/>
              </w:rPr>
              <w:t>30</w:t>
            </w:r>
          </w:p>
        </w:tc>
        <w:tc>
          <w:tcPr>
            <w:tcW w:w="923" w:type="dxa"/>
            <w:vAlign w:val="center"/>
          </w:tcPr>
          <w:p>
            <w:pPr>
              <w:spacing w:line="560" w:lineRule="exact"/>
              <w:jc w:val="center"/>
              <w:rPr>
                <w:rFonts w:ascii="宋体" w:hAnsi="宋体" w:cs="Times New Roman"/>
                <w:b/>
                <w:bCs/>
              </w:rPr>
            </w:pPr>
          </w:p>
        </w:tc>
        <w:tc>
          <w:tcPr>
            <w:tcW w:w="689" w:type="dxa"/>
            <w:vAlign w:val="center"/>
          </w:tcPr>
          <w:p>
            <w:pPr>
              <w:spacing w:line="560" w:lineRule="exact"/>
              <w:jc w:val="center"/>
              <w:rPr>
                <w:rFonts w:ascii="宋体" w:hAnsi="宋体" w:cs="Times New Roman"/>
                <w:b/>
                <w:bCs/>
              </w:rPr>
            </w:pPr>
          </w:p>
        </w:tc>
        <w:tc>
          <w:tcPr>
            <w:tcW w:w="556" w:type="dxa"/>
            <w:vAlign w:val="center"/>
          </w:tcPr>
          <w:p>
            <w:pPr>
              <w:spacing w:line="560" w:lineRule="exact"/>
              <w:jc w:val="center"/>
              <w:rPr>
                <w:rFonts w:ascii="宋体" w:hAnsi="宋体" w:cs="Times New Roman"/>
                <w:b/>
                <w:bCs/>
              </w:rPr>
            </w:pPr>
          </w:p>
        </w:tc>
        <w:tc>
          <w:tcPr>
            <w:tcW w:w="559" w:type="dxa"/>
            <w:vAlign w:val="center"/>
          </w:tcPr>
          <w:p>
            <w:pPr>
              <w:spacing w:line="560" w:lineRule="exact"/>
              <w:jc w:val="center"/>
              <w:rPr>
                <w:rFonts w:ascii="宋体" w:hAnsi="宋体" w:cs="Times New Roman"/>
                <w:b/>
                <w:bCs/>
              </w:rPr>
            </w:pPr>
          </w:p>
        </w:tc>
        <w:tc>
          <w:tcPr>
            <w:tcW w:w="749" w:type="dxa"/>
            <w:vAlign w:val="center"/>
          </w:tcPr>
          <w:p>
            <w:pPr>
              <w:spacing w:line="560" w:lineRule="exact"/>
              <w:jc w:val="center"/>
              <w:rPr>
                <w:rFonts w:ascii="宋体" w:hAnsi="宋体" w:cs="Times New Roman"/>
                <w:b/>
                <w:bCs/>
              </w:rPr>
            </w:pPr>
          </w:p>
        </w:tc>
        <w:tc>
          <w:tcPr>
            <w:tcW w:w="729" w:type="dxa"/>
            <w:vAlign w:val="center"/>
          </w:tcPr>
          <w:p>
            <w:pPr>
              <w:spacing w:line="560" w:lineRule="exact"/>
              <w:jc w:val="center"/>
              <w:rPr>
                <w:rFonts w:hint="default" w:ascii="宋体" w:hAnsi="宋体" w:eastAsia="宋体" w:cs="Times New Roman"/>
                <w:b/>
                <w:bCs/>
                <w:lang w:val="en-US" w:eastAsia="zh-CN"/>
              </w:rPr>
            </w:pPr>
            <w:r>
              <w:rPr>
                <w:rFonts w:hint="eastAsia" w:ascii="宋体" w:hAnsi="宋体" w:cs="Times New Roman"/>
                <w:b/>
                <w:bCs/>
                <w:lang w:val="en-US" w:eastAsia="zh-CN"/>
              </w:rPr>
              <w:t>30</w:t>
            </w:r>
          </w:p>
        </w:tc>
        <w:tc>
          <w:tcPr>
            <w:tcW w:w="663" w:type="dxa"/>
            <w:vAlign w:val="center"/>
          </w:tcPr>
          <w:p>
            <w:pPr>
              <w:spacing w:line="560" w:lineRule="exact"/>
              <w:jc w:val="center"/>
              <w:rPr>
                <w:rFonts w:hint="default" w:ascii="宋体" w:hAnsi="宋体" w:eastAsia="宋体" w:cs="Times New Roman"/>
                <w:b/>
                <w:bCs/>
                <w:lang w:val="en-US" w:eastAsia="zh-CN"/>
              </w:rPr>
            </w:pPr>
            <w:r>
              <w:rPr>
                <w:rFonts w:hint="eastAsia" w:ascii="宋体" w:hAnsi="宋体" w:cs="Times New Roman"/>
                <w:b/>
                <w:bCs/>
                <w:lang w:val="en-US" w:eastAsia="zh-CN"/>
              </w:rPr>
              <w:t>30</w:t>
            </w:r>
          </w:p>
        </w:tc>
        <w:tc>
          <w:tcPr>
            <w:tcW w:w="617" w:type="dxa"/>
            <w:vAlign w:val="center"/>
          </w:tcPr>
          <w:p>
            <w:pPr>
              <w:spacing w:line="560" w:lineRule="exact"/>
              <w:jc w:val="center"/>
              <w:rPr>
                <w:rFonts w:hint="default" w:ascii="宋体" w:hAnsi="宋体" w:eastAsia="宋体" w:cs="Times New Roman"/>
                <w:b/>
                <w:bCs/>
                <w:lang w:val="en-US" w:eastAsia="zh-CN"/>
              </w:rPr>
            </w:pPr>
            <w:r>
              <w:rPr>
                <w:rFonts w:hint="eastAsia" w:ascii="宋体" w:hAnsi="宋体" w:cs="Times New Roman"/>
                <w:b/>
                <w:bCs/>
                <w:lang w:val="en-US" w:eastAsia="zh-CN"/>
              </w:rPr>
              <w:t>30</w:t>
            </w:r>
          </w:p>
        </w:tc>
        <w:tc>
          <w:tcPr>
            <w:tcW w:w="521" w:type="dxa"/>
            <w:vAlign w:val="center"/>
          </w:tcPr>
          <w:p>
            <w:pPr>
              <w:spacing w:line="560" w:lineRule="exact"/>
              <w:jc w:val="right"/>
              <w:rPr>
                <w:rFonts w:ascii="宋体" w:hAnsi="宋体" w:cs="Times New Roman"/>
                <w:b/>
                <w:bCs/>
              </w:rPr>
            </w:pPr>
          </w:p>
        </w:tc>
        <w:tc>
          <w:tcPr>
            <w:tcW w:w="568" w:type="dxa"/>
            <w:vAlign w:val="center"/>
          </w:tcPr>
          <w:p>
            <w:pPr>
              <w:spacing w:line="560" w:lineRule="exact"/>
              <w:jc w:val="right"/>
              <w:rPr>
                <w:rFonts w:ascii="宋体" w:hAnsi="宋体" w:cs="Times New Roman"/>
                <w:b/>
                <w:bCs/>
              </w:rPr>
            </w:pPr>
          </w:p>
        </w:tc>
        <w:tc>
          <w:tcPr>
            <w:tcW w:w="572" w:type="dxa"/>
            <w:vAlign w:val="center"/>
          </w:tcPr>
          <w:p>
            <w:pPr>
              <w:spacing w:line="560" w:lineRule="exact"/>
              <w:jc w:val="right"/>
              <w:rPr>
                <w:rFonts w:ascii="宋体" w:hAnsi="宋体" w:cs="Times New Roman"/>
                <w:b/>
                <w:bCs/>
              </w:rPr>
            </w:pPr>
          </w:p>
        </w:tc>
        <w:tc>
          <w:tcPr>
            <w:tcW w:w="512" w:type="dxa"/>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34" w:type="dxa"/>
            <w:vAlign w:val="center"/>
          </w:tcPr>
          <w:p>
            <w:pPr>
              <w:spacing w:line="560" w:lineRule="exact"/>
              <w:rPr>
                <w:rFonts w:hint="eastAsia" w:ascii="宋体" w:hAnsi="宋体" w:eastAsia="宋体" w:cs="Times New Roman"/>
                <w:b/>
                <w:bCs/>
                <w:lang w:eastAsia="zh-CN"/>
              </w:rPr>
            </w:pPr>
            <w:r>
              <w:rPr>
                <w:rFonts w:hint="eastAsia" w:ascii="宋体" w:hAnsi="宋体" w:cs="Times New Roman"/>
                <w:b/>
                <w:bCs/>
                <w:lang w:eastAsia="zh-CN"/>
              </w:rPr>
              <w:t>日常公用经费</w:t>
            </w:r>
          </w:p>
        </w:tc>
        <w:tc>
          <w:tcPr>
            <w:tcW w:w="663" w:type="dxa"/>
            <w:vAlign w:val="center"/>
          </w:tcPr>
          <w:p>
            <w:pPr>
              <w:spacing w:line="560" w:lineRule="exact"/>
              <w:jc w:val="center"/>
              <w:rPr>
                <w:rFonts w:ascii="宋体" w:hAnsi="宋体" w:cs="Times New Roman"/>
                <w:b/>
                <w:bCs/>
              </w:rPr>
            </w:pPr>
            <w:r>
              <w:rPr>
                <w:rFonts w:hint="eastAsia" w:ascii="宋体" w:hAnsi="宋体" w:cs="Times New Roman"/>
                <w:b/>
                <w:bCs/>
              </w:rPr>
              <w:t>21</w:t>
            </w:r>
          </w:p>
        </w:tc>
        <w:tc>
          <w:tcPr>
            <w:tcW w:w="923" w:type="dxa"/>
            <w:vAlign w:val="center"/>
          </w:tcPr>
          <w:p>
            <w:pPr>
              <w:spacing w:line="560" w:lineRule="exact"/>
              <w:jc w:val="center"/>
              <w:rPr>
                <w:rFonts w:ascii="宋体" w:hAnsi="宋体" w:cs="Times New Roman"/>
                <w:b/>
                <w:bCs/>
              </w:rPr>
            </w:pPr>
            <w:r>
              <w:rPr>
                <w:rFonts w:hint="eastAsia" w:ascii="宋体" w:hAnsi="宋体" w:cs="Times New Roman"/>
                <w:b/>
                <w:bCs/>
              </w:rPr>
              <w:t>座椅</w:t>
            </w:r>
          </w:p>
        </w:tc>
        <w:tc>
          <w:tcPr>
            <w:tcW w:w="689" w:type="dxa"/>
            <w:vAlign w:val="center"/>
          </w:tcPr>
          <w:p>
            <w:pPr>
              <w:spacing w:line="560" w:lineRule="exact"/>
              <w:jc w:val="center"/>
              <w:rPr>
                <w:rFonts w:hint="default" w:ascii="宋体" w:hAnsi="宋体" w:eastAsia="宋体" w:cs="Times New Roman"/>
                <w:b/>
                <w:bCs/>
                <w:lang w:val="en-US" w:eastAsia="zh-CN"/>
              </w:rPr>
            </w:pPr>
            <w:r>
              <w:rPr>
                <w:rFonts w:hint="eastAsia" w:ascii="宋体" w:hAnsi="宋体" w:cs="Times New Roman"/>
                <w:b/>
                <w:bCs/>
                <w:lang w:val="en-US" w:eastAsia="zh-CN"/>
              </w:rPr>
              <w:t>A060301</w:t>
            </w:r>
          </w:p>
        </w:tc>
        <w:tc>
          <w:tcPr>
            <w:tcW w:w="556" w:type="dxa"/>
            <w:vAlign w:val="center"/>
          </w:tcPr>
          <w:p>
            <w:pPr>
              <w:spacing w:line="560" w:lineRule="exact"/>
              <w:jc w:val="center"/>
              <w:rPr>
                <w:rFonts w:ascii="宋体" w:hAnsi="宋体" w:cs="Times New Roman"/>
                <w:b/>
                <w:bCs/>
              </w:rPr>
            </w:pPr>
            <w:r>
              <w:rPr>
                <w:rFonts w:hint="eastAsia" w:ascii="宋体" w:hAnsi="宋体" w:cs="Times New Roman"/>
                <w:b/>
                <w:bCs/>
              </w:rPr>
              <w:t>把</w:t>
            </w:r>
          </w:p>
        </w:tc>
        <w:tc>
          <w:tcPr>
            <w:tcW w:w="559" w:type="dxa"/>
            <w:vAlign w:val="center"/>
          </w:tcPr>
          <w:p>
            <w:pPr>
              <w:spacing w:line="560" w:lineRule="exact"/>
              <w:jc w:val="center"/>
              <w:rPr>
                <w:rFonts w:ascii="宋体" w:hAnsi="宋体" w:cs="Times New Roman"/>
                <w:b/>
                <w:bCs/>
              </w:rPr>
            </w:pPr>
            <w:r>
              <w:rPr>
                <w:rFonts w:hint="eastAsia" w:ascii="宋体" w:hAnsi="宋体" w:cs="Times New Roman"/>
                <w:b/>
                <w:bCs/>
              </w:rPr>
              <w:t>180</w:t>
            </w:r>
          </w:p>
        </w:tc>
        <w:tc>
          <w:tcPr>
            <w:tcW w:w="749" w:type="dxa"/>
            <w:vAlign w:val="center"/>
          </w:tcPr>
          <w:p>
            <w:pPr>
              <w:spacing w:line="560" w:lineRule="exact"/>
              <w:jc w:val="center"/>
              <w:rPr>
                <w:rFonts w:ascii="宋体" w:hAnsi="宋体" w:cs="Times New Roman"/>
                <w:b/>
                <w:bCs/>
              </w:rPr>
            </w:pPr>
            <w:r>
              <w:rPr>
                <w:rFonts w:hint="eastAsia" w:ascii="宋体" w:hAnsi="宋体" w:cs="Times New Roman"/>
                <w:b/>
                <w:bCs/>
              </w:rPr>
              <w:t>0.12</w:t>
            </w:r>
          </w:p>
        </w:tc>
        <w:tc>
          <w:tcPr>
            <w:tcW w:w="729" w:type="dxa"/>
            <w:vAlign w:val="center"/>
          </w:tcPr>
          <w:p>
            <w:pPr>
              <w:spacing w:line="560" w:lineRule="exact"/>
              <w:jc w:val="center"/>
              <w:rPr>
                <w:rFonts w:ascii="宋体" w:hAnsi="宋体" w:cs="Times New Roman"/>
                <w:b/>
                <w:bCs/>
              </w:rPr>
            </w:pPr>
            <w:r>
              <w:rPr>
                <w:rFonts w:hint="eastAsia" w:ascii="宋体" w:hAnsi="宋体" w:cs="Times New Roman"/>
                <w:b/>
                <w:bCs/>
              </w:rPr>
              <w:t>21</w:t>
            </w:r>
          </w:p>
        </w:tc>
        <w:tc>
          <w:tcPr>
            <w:tcW w:w="663" w:type="dxa"/>
            <w:vAlign w:val="center"/>
          </w:tcPr>
          <w:p>
            <w:pPr>
              <w:spacing w:line="560" w:lineRule="exact"/>
              <w:jc w:val="center"/>
              <w:rPr>
                <w:rFonts w:ascii="宋体" w:hAnsi="宋体" w:cs="Times New Roman"/>
                <w:b/>
                <w:bCs/>
              </w:rPr>
            </w:pPr>
            <w:r>
              <w:rPr>
                <w:rFonts w:hint="eastAsia" w:ascii="宋体" w:hAnsi="宋体" w:cs="Times New Roman"/>
                <w:b/>
                <w:bCs/>
              </w:rPr>
              <w:t>21</w:t>
            </w:r>
          </w:p>
        </w:tc>
        <w:tc>
          <w:tcPr>
            <w:tcW w:w="617" w:type="dxa"/>
            <w:vAlign w:val="center"/>
          </w:tcPr>
          <w:p>
            <w:pPr>
              <w:spacing w:line="560" w:lineRule="exact"/>
              <w:jc w:val="center"/>
              <w:rPr>
                <w:rFonts w:ascii="宋体" w:hAnsi="宋体" w:cs="Times New Roman"/>
                <w:b/>
                <w:bCs/>
              </w:rPr>
            </w:pPr>
            <w:r>
              <w:rPr>
                <w:rFonts w:hint="eastAsia" w:ascii="宋体" w:hAnsi="宋体" w:cs="Times New Roman"/>
                <w:b/>
                <w:bCs/>
              </w:rPr>
              <w:t>21</w:t>
            </w:r>
          </w:p>
        </w:tc>
        <w:tc>
          <w:tcPr>
            <w:tcW w:w="521" w:type="dxa"/>
            <w:vAlign w:val="center"/>
          </w:tcPr>
          <w:p>
            <w:pPr>
              <w:spacing w:line="560" w:lineRule="exact"/>
              <w:jc w:val="right"/>
              <w:rPr>
                <w:rFonts w:ascii="宋体" w:hAnsi="宋体" w:cs="Times New Roman"/>
                <w:b/>
                <w:bCs/>
              </w:rPr>
            </w:pPr>
          </w:p>
        </w:tc>
        <w:tc>
          <w:tcPr>
            <w:tcW w:w="568" w:type="dxa"/>
            <w:vAlign w:val="center"/>
          </w:tcPr>
          <w:p>
            <w:pPr>
              <w:spacing w:line="560" w:lineRule="exact"/>
              <w:jc w:val="right"/>
              <w:rPr>
                <w:rFonts w:ascii="宋体" w:hAnsi="宋体" w:cs="Times New Roman"/>
                <w:b/>
                <w:bCs/>
              </w:rPr>
            </w:pPr>
          </w:p>
        </w:tc>
        <w:tc>
          <w:tcPr>
            <w:tcW w:w="572" w:type="dxa"/>
            <w:vAlign w:val="center"/>
          </w:tcPr>
          <w:p>
            <w:pPr>
              <w:spacing w:line="560" w:lineRule="exact"/>
              <w:jc w:val="right"/>
              <w:rPr>
                <w:rFonts w:ascii="宋体" w:hAnsi="宋体" w:cs="Times New Roman"/>
                <w:b/>
                <w:bCs/>
              </w:rPr>
            </w:pPr>
          </w:p>
        </w:tc>
        <w:tc>
          <w:tcPr>
            <w:tcW w:w="512" w:type="dxa"/>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34" w:type="dxa"/>
            <w:vAlign w:val="center"/>
          </w:tcPr>
          <w:p>
            <w:pPr>
              <w:spacing w:line="560" w:lineRule="exact"/>
              <w:rPr>
                <w:rFonts w:ascii="宋体" w:hAnsi="宋体" w:cs="方正书宋_GBK"/>
                <w:b/>
                <w:bCs/>
              </w:rPr>
            </w:pPr>
            <w:r>
              <w:rPr>
                <w:rFonts w:hint="eastAsia" w:ascii="宋体" w:hAnsi="宋体" w:cs="Times New Roman"/>
                <w:b/>
                <w:bCs/>
                <w:lang w:eastAsia="zh-CN"/>
              </w:rPr>
              <w:t>日常公用经费</w:t>
            </w:r>
          </w:p>
        </w:tc>
        <w:tc>
          <w:tcPr>
            <w:tcW w:w="663" w:type="dxa"/>
            <w:vAlign w:val="center"/>
          </w:tcPr>
          <w:p>
            <w:pPr>
              <w:spacing w:line="560" w:lineRule="exact"/>
              <w:jc w:val="center"/>
              <w:rPr>
                <w:rFonts w:ascii="宋体" w:hAnsi="宋体" w:cs="方正书宋_GBK"/>
                <w:b/>
                <w:bCs/>
              </w:rPr>
            </w:pPr>
            <w:r>
              <w:rPr>
                <w:rFonts w:hint="eastAsia" w:ascii="宋体" w:hAnsi="宋体" w:cs="方正书宋_GBK"/>
                <w:b/>
                <w:bCs/>
              </w:rPr>
              <w:t>8</w:t>
            </w:r>
          </w:p>
        </w:tc>
        <w:tc>
          <w:tcPr>
            <w:tcW w:w="923" w:type="dxa"/>
            <w:vAlign w:val="center"/>
          </w:tcPr>
          <w:p>
            <w:pPr>
              <w:spacing w:line="560" w:lineRule="exact"/>
              <w:jc w:val="center"/>
              <w:rPr>
                <w:rFonts w:ascii="宋体" w:hAnsi="宋体" w:cs="方正书宋_GBK"/>
                <w:b/>
                <w:bCs/>
              </w:rPr>
            </w:pPr>
            <w:r>
              <w:rPr>
                <w:rFonts w:hint="eastAsia" w:ascii="宋体" w:hAnsi="宋体" w:cs="方正书宋_GBK"/>
                <w:b/>
                <w:bCs/>
              </w:rPr>
              <w:t>摄像机</w:t>
            </w:r>
          </w:p>
        </w:tc>
        <w:tc>
          <w:tcPr>
            <w:tcW w:w="689"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cs="方正书宋_GBK"/>
                <w:b/>
                <w:bCs/>
                <w:lang w:val="en-US" w:eastAsia="zh-CN"/>
              </w:rPr>
              <w:t>A02090504</w:t>
            </w:r>
          </w:p>
        </w:tc>
        <w:tc>
          <w:tcPr>
            <w:tcW w:w="556" w:type="dxa"/>
            <w:vAlign w:val="center"/>
          </w:tcPr>
          <w:p>
            <w:pPr>
              <w:spacing w:line="560" w:lineRule="exact"/>
              <w:jc w:val="center"/>
              <w:rPr>
                <w:rFonts w:ascii="宋体" w:hAnsi="宋体" w:cs="方正书宋_GBK"/>
                <w:b/>
                <w:bCs/>
              </w:rPr>
            </w:pPr>
            <w:r>
              <w:rPr>
                <w:rFonts w:hint="eastAsia" w:ascii="宋体" w:hAnsi="宋体" w:cs="方正书宋_GBK"/>
                <w:b/>
                <w:bCs/>
              </w:rPr>
              <w:t>套</w:t>
            </w:r>
          </w:p>
        </w:tc>
        <w:tc>
          <w:tcPr>
            <w:tcW w:w="559"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749" w:type="dxa"/>
            <w:vAlign w:val="center"/>
          </w:tcPr>
          <w:p>
            <w:pPr>
              <w:spacing w:line="560" w:lineRule="exact"/>
              <w:jc w:val="center"/>
              <w:rPr>
                <w:rFonts w:ascii="宋体" w:hAnsi="宋体" w:cs="方正书宋_GBK"/>
                <w:b/>
                <w:bCs/>
              </w:rPr>
            </w:pPr>
            <w:r>
              <w:rPr>
                <w:rFonts w:hint="eastAsia" w:ascii="宋体" w:hAnsi="宋体" w:cs="方正书宋_GBK"/>
                <w:b/>
                <w:bCs/>
              </w:rPr>
              <w:t>8</w:t>
            </w:r>
          </w:p>
        </w:tc>
        <w:tc>
          <w:tcPr>
            <w:tcW w:w="729" w:type="dxa"/>
            <w:vAlign w:val="center"/>
          </w:tcPr>
          <w:p>
            <w:pPr>
              <w:spacing w:line="560" w:lineRule="exact"/>
              <w:jc w:val="center"/>
              <w:rPr>
                <w:rFonts w:ascii="宋体" w:hAnsi="宋体" w:cs="方正书宋_GBK"/>
                <w:b/>
                <w:bCs/>
              </w:rPr>
            </w:pPr>
            <w:r>
              <w:rPr>
                <w:rFonts w:hint="eastAsia" w:ascii="宋体" w:hAnsi="宋体" w:cs="方正书宋_GBK"/>
                <w:b/>
                <w:bCs/>
              </w:rPr>
              <w:t>8</w:t>
            </w:r>
          </w:p>
        </w:tc>
        <w:tc>
          <w:tcPr>
            <w:tcW w:w="663" w:type="dxa"/>
            <w:vAlign w:val="center"/>
          </w:tcPr>
          <w:p>
            <w:pPr>
              <w:spacing w:line="560" w:lineRule="exact"/>
              <w:jc w:val="center"/>
              <w:rPr>
                <w:rFonts w:ascii="宋体" w:hAnsi="宋体" w:cs="方正书宋_GBK"/>
                <w:b/>
                <w:bCs/>
              </w:rPr>
            </w:pPr>
            <w:r>
              <w:rPr>
                <w:rFonts w:hint="eastAsia" w:ascii="宋体" w:hAnsi="宋体" w:cs="方正书宋_GBK"/>
                <w:b/>
                <w:bCs/>
              </w:rPr>
              <w:t>8</w:t>
            </w:r>
          </w:p>
        </w:tc>
        <w:tc>
          <w:tcPr>
            <w:tcW w:w="617" w:type="dxa"/>
            <w:vAlign w:val="center"/>
          </w:tcPr>
          <w:p>
            <w:pPr>
              <w:spacing w:line="560" w:lineRule="exact"/>
              <w:jc w:val="center"/>
              <w:rPr>
                <w:rFonts w:ascii="宋体" w:hAnsi="宋体" w:cs="方正书宋_GBK"/>
                <w:b/>
                <w:bCs/>
              </w:rPr>
            </w:pPr>
            <w:r>
              <w:rPr>
                <w:rFonts w:hint="eastAsia" w:ascii="宋体" w:hAnsi="宋体" w:cs="方正书宋_GBK"/>
                <w:b/>
                <w:bCs/>
              </w:rPr>
              <w:t>8</w:t>
            </w:r>
          </w:p>
        </w:tc>
        <w:tc>
          <w:tcPr>
            <w:tcW w:w="521" w:type="dxa"/>
            <w:vAlign w:val="center"/>
          </w:tcPr>
          <w:p>
            <w:pPr>
              <w:spacing w:line="560" w:lineRule="exact"/>
              <w:jc w:val="right"/>
              <w:rPr>
                <w:rFonts w:ascii="宋体" w:hAnsi="宋体" w:cs="Times New Roman"/>
              </w:rPr>
            </w:pPr>
          </w:p>
        </w:tc>
        <w:tc>
          <w:tcPr>
            <w:tcW w:w="568" w:type="dxa"/>
            <w:vAlign w:val="center"/>
          </w:tcPr>
          <w:p>
            <w:pPr>
              <w:spacing w:line="560" w:lineRule="exact"/>
              <w:jc w:val="right"/>
              <w:rPr>
                <w:rFonts w:ascii="宋体" w:hAnsi="宋体" w:cs="Times New Roman"/>
              </w:rPr>
            </w:pPr>
          </w:p>
        </w:tc>
        <w:tc>
          <w:tcPr>
            <w:tcW w:w="572" w:type="dxa"/>
            <w:vAlign w:val="center"/>
          </w:tcPr>
          <w:p>
            <w:pPr>
              <w:spacing w:line="560" w:lineRule="exact"/>
              <w:jc w:val="right"/>
              <w:rPr>
                <w:rFonts w:ascii="宋体" w:hAnsi="宋体" w:cs="Times New Roman"/>
              </w:rPr>
            </w:pPr>
          </w:p>
        </w:tc>
        <w:tc>
          <w:tcPr>
            <w:tcW w:w="512" w:type="dxa"/>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34" w:type="dxa"/>
            <w:vAlign w:val="center"/>
          </w:tcPr>
          <w:p>
            <w:pPr>
              <w:spacing w:line="560" w:lineRule="exact"/>
              <w:jc w:val="center"/>
              <w:rPr>
                <w:rFonts w:ascii="宋体" w:hAnsi="宋体" w:cs="方正书宋_GBK"/>
                <w:b/>
                <w:bCs/>
              </w:rPr>
            </w:pPr>
            <w:r>
              <w:rPr>
                <w:rFonts w:hint="eastAsia" w:ascii="宋体" w:hAnsi="宋体" w:cs="Times New Roman"/>
                <w:b/>
                <w:bCs/>
                <w:lang w:eastAsia="zh-CN"/>
              </w:rPr>
              <w:t>日常公用经费</w:t>
            </w:r>
          </w:p>
        </w:tc>
        <w:tc>
          <w:tcPr>
            <w:tcW w:w="663"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923" w:type="dxa"/>
            <w:vAlign w:val="center"/>
          </w:tcPr>
          <w:p>
            <w:pPr>
              <w:spacing w:line="560" w:lineRule="exact"/>
              <w:jc w:val="center"/>
              <w:rPr>
                <w:rFonts w:ascii="宋体" w:hAnsi="宋体" w:cs="方正书宋_GBK"/>
                <w:b/>
                <w:bCs/>
              </w:rPr>
            </w:pPr>
            <w:r>
              <w:rPr>
                <w:rFonts w:hint="eastAsia" w:ascii="宋体" w:hAnsi="宋体" w:cs="方正书宋_GBK"/>
                <w:b/>
                <w:bCs/>
              </w:rPr>
              <w:t>办公电脑</w:t>
            </w:r>
          </w:p>
        </w:tc>
        <w:tc>
          <w:tcPr>
            <w:tcW w:w="689"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cs="方正书宋_GBK"/>
                <w:b/>
                <w:bCs/>
                <w:lang w:val="en-US" w:eastAsia="zh-CN"/>
              </w:rPr>
              <w:t>A020199</w:t>
            </w:r>
          </w:p>
        </w:tc>
        <w:tc>
          <w:tcPr>
            <w:tcW w:w="556" w:type="dxa"/>
            <w:vAlign w:val="center"/>
          </w:tcPr>
          <w:p>
            <w:pPr>
              <w:spacing w:line="560" w:lineRule="exact"/>
              <w:jc w:val="center"/>
              <w:rPr>
                <w:rFonts w:ascii="宋体" w:hAnsi="宋体" w:cs="方正书宋_GBK"/>
                <w:b/>
                <w:bCs/>
              </w:rPr>
            </w:pPr>
            <w:r>
              <w:rPr>
                <w:rFonts w:hint="eastAsia" w:ascii="宋体" w:hAnsi="宋体" w:cs="方正书宋_GBK"/>
                <w:b/>
                <w:bCs/>
              </w:rPr>
              <w:t>套</w:t>
            </w:r>
          </w:p>
        </w:tc>
        <w:tc>
          <w:tcPr>
            <w:tcW w:w="559"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749"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729"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663"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617" w:type="dxa"/>
            <w:vAlign w:val="center"/>
          </w:tcPr>
          <w:p>
            <w:pPr>
              <w:spacing w:line="560" w:lineRule="exact"/>
              <w:jc w:val="center"/>
              <w:rPr>
                <w:rFonts w:ascii="宋体" w:hAnsi="宋体" w:cs="方正书宋_GBK"/>
                <w:b/>
                <w:bCs/>
              </w:rPr>
            </w:pPr>
            <w:r>
              <w:rPr>
                <w:rFonts w:hint="eastAsia" w:ascii="宋体" w:hAnsi="宋体" w:cs="方正书宋_GBK"/>
                <w:b/>
                <w:bCs/>
              </w:rPr>
              <w:t>1</w:t>
            </w:r>
          </w:p>
        </w:tc>
        <w:tc>
          <w:tcPr>
            <w:tcW w:w="521" w:type="dxa"/>
            <w:vAlign w:val="center"/>
          </w:tcPr>
          <w:p>
            <w:pPr>
              <w:spacing w:line="560" w:lineRule="exact"/>
              <w:jc w:val="right"/>
              <w:rPr>
                <w:rFonts w:ascii="宋体" w:hAnsi="宋体" w:cs="Times New Roman"/>
              </w:rPr>
            </w:pPr>
          </w:p>
        </w:tc>
        <w:tc>
          <w:tcPr>
            <w:tcW w:w="568" w:type="dxa"/>
            <w:vAlign w:val="center"/>
          </w:tcPr>
          <w:p>
            <w:pPr>
              <w:spacing w:line="560" w:lineRule="exact"/>
              <w:jc w:val="right"/>
              <w:rPr>
                <w:rFonts w:ascii="宋体" w:hAnsi="宋体" w:cs="Times New Roman"/>
              </w:rPr>
            </w:pPr>
          </w:p>
        </w:tc>
        <w:tc>
          <w:tcPr>
            <w:tcW w:w="572" w:type="dxa"/>
            <w:vAlign w:val="center"/>
          </w:tcPr>
          <w:p>
            <w:pPr>
              <w:spacing w:line="560" w:lineRule="exact"/>
              <w:jc w:val="right"/>
              <w:rPr>
                <w:rFonts w:ascii="宋体" w:hAnsi="宋体" w:cs="Times New Roman"/>
              </w:rPr>
            </w:pPr>
          </w:p>
        </w:tc>
        <w:tc>
          <w:tcPr>
            <w:tcW w:w="512" w:type="dxa"/>
            <w:vAlign w:val="center"/>
          </w:tcPr>
          <w:p>
            <w:pPr>
              <w:spacing w:line="560" w:lineRule="exact"/>
              <w:jc w:val="right"/>
              <w:rPr>
                <w:rFonts w:ascii="宋体" w:hAnsi="宋体" w:cs="Times New Roman"/>
              </w:rPr>
            </w:pPr>
          </w:p>
        </w:tc>
      </w:tr>
    </w:tbl>
    <w:p>
      <w:pPr>
        <w:pStyle w:val="8"/>
        <w:widowControl/>
        <w:numPr>
          <w:ilvl w:val="0"/>
          <w:numId w:val="1"/>
        </w:numPr>
        <w:spacing w:line="360" w:lineRule="auto"/>
        <w:ind w:firstLineChars="0"/>
        <w:jc w:val="left"/>
        <w:rPr>
          <w:rFonts w:ascii="黑体" w:hAnsi="黑体" w:eastAsia="黑体" w:cs="Calibri"/>
          <w:b/>
          <w:kern w:val="0"/>
          <w:sz w:val="32"/>
          <w:szCs w:val="32"/>
        </w:rPr>
      </w:pPr>
      <w:r>
        <w:rPr>
          <w:rFonts w:hint="eastAsia" w:ascii="黑体" w:hAnsi="黑体" w:eastAsia="黑体" w:cs="Calibri"/>
          <w:b/>
          <w:kern w:val="0"/>
          <w:sz w:val="32"/>
          <w:szCs w:val="32"/>
        </w:rPr>
        <w:t>国有资产信息</w:t>
      </w:r>
    </w:p>
    <w:p>
      <w:pPr>
        <w:pStyle w:val="8"/>
        <w:widowControl/>
        <w:spacing w:line="360" w:lineRule="auto"/>
        <w:ind w:firstLineChars="0"/>
        <w:jc w:val="left"/>
        <w:rPr>
          <w:rFonts w:ascii="仿宋" w:hAnsi="仿宋" w:eastAsia="仿宋" w:cs="仿宋_GB2312"/>
          <w:sz w:val="32"/>
          <w:szCs w:val="32"/>
        </w:rPr>
      </w:pPr>
      <w:r>
        <w:rPr>
          <w:rFonts w:hint="eastAsia" w:ascii="仿宋" w:hAnsi="仿宋" w:eastAsia="仿宋" w:cs="仿宋_GB2312"/>
          <w:sz w:val="32"/>
          <w:szCs w:val="32"/>
        </w:rPr>
        <w:t>成安县广播电视台上年末固定资产金额为1858.85万元，本年度拟购置固定资产</w:t>
      </w:r>
      <w:r>
        <w:rPr>
          <w:rFonts w:hint="eastAsia" w:ascii="仿宋" w:hAnsi="仿宋" w:eastAsia="仿宋" w:cs="仿宋_GB2312"/>
          <w:sz w:val="32"/>
          <w:szCs w:val="32"/>
          <w:lang w:val="en-US" w:eastAsia="zh-CN"/>
        </w:rPr>
        <w:t>30万元</w:t>
      </w:r>
      <w:r>
        <w:rPr>
          <w:rFonts w:hint="eastAsia" w:ascii="仿宋" w:hAnsi="仿宋" w:eastAsia="仿宋" w:cs="仿宋_GB2312"/>
          <w:sz w:val="32"/>
          <w:szCs w:val="32"/>
        </w:rPr>
        <w:t>主要为办公家具（演播厅座椅）、移动设备直播、操作台等，已列入政府采购预算。详见下表。</w:t>
      </w:r>
    </w:p>
    <w:tbl>
      <w:tblPr>
        <w:tblStyle w:val="4"/>
        <w:tblW w:w="9855" w:type="dxa"/>
        <w:tblInd w:w="-106" w:type="dxa"/>
        <w:tblLayout w:type="fixed"/>
        <w:tblCellMar>
          <w:top w:w="0" w:type="dxa"/>
          <w:left w:w="108" w:type="dxa"/>
          <w:bottom w:w="0" w:type="dxa"/>
          <w:right w:w="108" w:type="dxa"/>
        </w:tblCellMar>
      </w:tblPr>
      <w:tblGrid>
        <w:gridCol w:w="4502"/>
        <w:gridCol w:w="930"/>
        <w:gridCol w:w="4423"/>
      </w:tblGrid>
      <w:tr>
        <w:tblPrEx>
          <w:tblCellMar>
            <w:top w:w="0" w:type="dxa"/>
            <w:left w:w="108" w:type="dxa"/>
            <w:bottom w:w="0" w:type="dxa"/>
            <w:right w:w="108" w:type="dxa"/>
          </w:tblCellMar>
        </w:tblPrEx>
        <w:trPr>
          <w:trHeight w:val="705" w:hRule="atLeast"/>
        </w:trPr>
        <w:tc>
          <w:tcPr>
            <w:tcW w:w="9855" w:type="dxa"/>
            <w:gridSpan w:val="3"/>
            <w:tcBorders>
              <w:top w:val="nil"/>
              <w:left w:val="nil"/>
              <w:bottom w:val="nil"/>
              <w:right w:val="nil"/>
            </w:tcBorders>
            <w:vAlign w:val="center"/>
          </w:tcPr>
          <w:p>
            <w:pPr>
              <w:widowControl/>
              <w:rPr>
                <w:rFonts w:ascii="宋体" w:hAnsi="宋体" w:cs="Times New Roman"/>
                <w:b/>
                <w:bCs/>
                <w:kern w:val="0"/>
                <w:sz w:val="32"/>
                <w:szCs w:val="32"/>
              </w:rPr>
            </w:pPr>
          </w:p>
          <w:p>
            <w:pPr>
              <w:widowControl/>
              <w:jc w:val="center"/>
              <w:rPr>
                <w:rFonts w:ascii="楷体" w:hAnsi="楷体" w:eastAsia="楷体" w:cs="Times New Roman"/>
                <w:b/>
                <w:bCs/>
                <w:kern w:val="0"/>
                <w:sz w:val="32"/>
                <w:szCs w:val="32"/>
              </w:rPr>
            </w:pPr>
            <w:r>
              <w:rPr>
                <w:rFonts w:hint="eastAsia" w:ascii="楷体" w:hAnsi="楷体" w:eastAsia="楷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32" w:type="dxa"/>
            <w:gridSpan w:val="2"/>
            <w:tcBorders>
              <w:top w:val="nil"/>
              <w:left w:val="nil"/>
              <w:bottom w:val="nil"/>
              <w:right w:val="nil"/>
            </w:tcBorders>
            <w:vAlign w:val="center"/>
          </w:tcPr>
          <w:p>
            <w:pPr>
              <w:widowControl/>
              <w:jc w:val="left"/>
              <w:rPr>
                <w:rFonts w:ascii="宋体" w:hAnsi="宋体" w:cs="Times New Roman"/>
                <w:kern w:val="0"/>
                <w:sz w:val="22"/>
              </w:rPr>
            </w:pPr>
            <w:r>
              <w:rPr>
                <w:rFonts w:hint="eastAsia" w:ascii="宋体" w:hAnsi="宋体" w:cs="宋体"/>
                <w:kern w:val="0"/>
                <w:sz w:val="22"/>
              </w:rPr>
              <w:t>编制部门：成安县广播电视台</w:t>
            </w:r>
          </w:p>
        </w:tc>
        <w:tc>
          <w:tcPr>
            <w:tcW w:w="4423" w:type="dxa"/>
            <w:tcBorders>
              <w:top w:val="nil"/>
              <w:left w:val="nil"/>
              <w:bottom w:val="nil"/>
              <w:right w:val="nil"/>
            </w:tcBorders>
            <w:vAlign w:val="center"/>
          </w:tcPr>
          <w:p>
            <w:pPr>
              <w:widowControl/>
              <w:ind w:firstLine="550" w:firstLineChars="250"/>
              <w:jc w:val="left"/>
              <w:rPr>
                <w:rFonts w:ascii="宋体" w:hAns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20年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tblPrEx>
          <w:tblCellMar>
            <w:top w:w="0" w:type="dxa"/>
            <w:left w:w="108" w:type="dxa"/>
            <w:bottom w:w="0" w:type="dxa"/>
            <w:right w:w="108" w:type="dxa"/>
          </w:tblCellMar>
        </w:tblPrEx>
        <w:trPr>
          <w:trHeight w:val="645" w:hRule="atLeast"/>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imes New Roman"/>
                <w:b/>
                <w:bCs/>
                <w:kern w:val="0"/>
                <w:sz w:val="22"/>
              </w:rPr>
            </w:pPr>
            <w:r>
              <w:rPr>
                <w:rFonts w:hint="eastAsia" w:ascii="宋体" w:hAnsi="宋体" w:cs="宋体"/>
                <w:b/>
                <w:bCs/>
                <w:kern w:val="0"/>
                <w:sz w:val="22"/>
              </w:rPr>
              <w:t>项目</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b/>
                <w:bCs/>
                <w:kern w:val="0"/>
                <w:sz w:val="22"/>
              </w:rPr>
            </w:pPr>
            <w:r>
              <w:rPr>
                <w:rFonts w:hint="eastAsia" w:ascii="宋体" w:hAnsi="宋体" w:cs="宋体"/>
                <w:b/>
                <w:bCs/>
                <w:kern w:val="0"/>
                <w:sz w:val="22"/>
              </w:rPr>
              <w:t>数量</w:t>
            </w:r>
          </w:p>
        </w:tc>
        <w:tc>
          <w:tcPr>
            <w:tcW w:w="4423"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宋体"/>
                <w:kern w:val="0"/>
                <w:sz w:val="22"/>
              </w:rPr>
              <w:t>资产总额</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1858.85</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1</w:t>
            </w:r>
            <w:r>
              <w:rPr>
                <w:rFonts w:hint="eastAsia" w:ascii="宋体" w:hAnsi="宋体" w:cs="宋体"/>
                <w:kern w:val="0"/>
                <w:sz w:val="22"/>
              </w:rPr>
              <w:t>、房屋（平方米）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4083</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460</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hint="eastAsia" w:ascii="宋体" w:hAnsi="宋体" w:cs="宋体"/>
                <w:kern w:val="0"/>
                <w:sz w:val="22"/>
              </w:rPr>
              <w:t>其中：办公用房（平方米）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1026</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75.61</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2</w:t>
            </w:r>
            <w:r>
              <w:rPr>
                <w:rFonts w:hint="eastAsia" w:ascii="宋体" w:hAnsi="宋体" w:cs="宋体"/>
                <w:kern w:val="0"/>
                <w:sz w:val="22"/>
              </w:rPr>
              <w:t>、车辆（台、辆）</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2</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23</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50</w:t>
            </w:r>
            <w:r>
              <w:rPr>
                <w:rFonts w:hint="eastAsia" w:ascii="宋体" w:hAnsi="宋体" w:cs="宋体"/>
                <w:kern w:val="0"/>
                <w:sz w:val="22"/>
              </w:rPr>
              <w:t>万元以上的设备</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1</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98</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2"/>
              </w:rPr>
            </w:pPr>
            <w:r>
              <w:rPr>
                <w:rFonts w:ascii="宋体" w:hAnsi="宋体" w:cs="宋体"/>
                <w:kern w:val="0"/>
                <w:sz w:val="22"/>
              </w:rPr>
              <w:t>4</w:t>
            </w:r>
            <w:r>
              <w:rPr>
                <w:rFonts w:hint="eastAsia" w:ascii="宋体" w:hAnsi="宋体" w:cs="宋体"/>
                <w:kern w:val="0"/>
                <w:sz w:val="22"/>
              </w:rPr>
              <w:t>、其他固定资产</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215</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cs="Times New Roman"/>
                <w:kern w:val="0"/>
                <w:sz w:val="22"/>
              </w:rPr>
            </w:pPr>
            <w:r>
              <w:rPr>
                <w:rFonts w:hint="eastAsia" w:ascii="宋体" w:hAnsi="宋体" w:cs="Times New Roman"/>
                <w:kern w:val="0"/>
                <w:sz w:val="22"/>
              </w:rPr>
              <w:t>1277.85</w:t>
            </w:r>
          </w:p>
        </w:tc>
      </w:tr>
    </w:tbl>
    <w:p>
      <w:pPr>
        <w:widowControl/>
        <w:spacing w:line="360" w:lineRule="auto"/>
        <w:ind w:firstLine="640" w:firstLineChars="200"/>
        <w:jc w:val="left"/>
        <w:rPr>
          <w:rFonts w:ascii="仿宋" w:hAnsi="仿宋" w:eastAsia="仿宋" w:cs="仿宋_GB2312"/>
          <w:kern w:val="0"/>
          <w:sz w:val="32"/>
          <w:szCs w:val="32"/>
        </w:rPr>
      </w:pP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pgSz w:w="11907" w:h="16839"/>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NotTrackMoves/>
  <w:documentProtection w:enforcement="0"/>
  <w:defaultTabStop w:val="420"/>
  <w:drawingGridHorizontalSpacing w:val="105"/>
  <w:drawingGridVerticalSpacing w:val="159"/>
  <w:noPunctuationKerning w:val="1"/>
  <w:characterSpacingControl w:val="compressPunctuation"/>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EC2"/>
    <w:rsid w:val="005D00F4"/>
    <w:rsid w:val="008F2EC2"/>
    <w:rsid w:val="009A5435"/>
    <w:rsid w:val="01CE069B"/>
    <w:rsid w:val="15EF0FF1"/>
    <w:rsid w:val="19C04729"/>
    <w:rsid w:val="2C8B305E"/>
    <w:rsid w:val="39993C3E"/>
    <w:rsid w:val="5FC615E7"/>
    <w:rsid w:val="606A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0"/>
    <w:rPr>
      <w:kern w:val="2"/>
      <w:sz w:val="18"/>
      <w:szCs w:val="18"/>
    </w:rPr>
  </w:style>
  <w:style w:type="character" w:customStyle="1" w:styleId="7">
    <w:name w:val="页眉 Char"/>
    <w:link w:val="3"/>
    <w:semiHidden/>
    <w:qFormat/>
    <w:uiPriority w:val="0"/>
    <w:rPr>
      <w:kern w:val="2"/>
      <w:sz w:val="18"/>
      <w:szCs w:val="18"/>
    </w:rPr>
  </w:style>
  <w:style w:type="paragraph" w:customStyle="1" w:styleId="8">
    <w:name w:val="列出段落1"/>
    <w:basedOn w:val="1"/>
    <w:qFormat/>
    <w:uiPriority w:val="0"/>
    <w:pPr>
      <w:ind w:firstLine="420" w:firstLineChars="200"/>
    </w:pPr>
  </w:style>
  <w:style w:type="paragraph" w:customStyle="1" w:styleId="9">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647</Words>
  <Characters>3690</Characters>
  <Lines>30</Lines>
  <Paragraphs>8</Paragraphs>
  <TotalTime>2</TotalTime>
  <ScaleCrop>false</ScaleCrop>
  <LinksUpToDate>false</LinksUpToDate>
  <CharactersWithSpaces>4329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2017-06-26T09:20:00Z</dcterms:created>
  <dc:creator>lenovo</dc:creator>
  <cp:lastModifiedBy>Administrator</cp:lastModifiedBy>
  <dcterms:modified xsi:type="dcterms:W3CDTF">2021-05-18T09:02:05Z</dcterms:modified>
  <dc:title>微软用户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0603614022A44D46BBFD412F75D3FC24</vt:lpwstr>
  </property>
</Properties>
</file>