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成安县妇女联合会</w:t>
      </w:r>
    </w:p>
    <w:p>
      <w:pPr>
        <w:spacing w:line="560" w:lineRule="exact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2021年部门预算公开情况说明</w:t>
      </w:r>
    </w:p>
    <w:p>
      <w:pPr>
        <w:spacing w:line="560" w:lineRule="exact"/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按照</w:t>
      </w:r>
      <w:r>
        <w:rPr>
          <w:rFonts w:hint="eastAsia" w:ascii="仿宋_GB2312" w:hAnsi="黑体" w:eastAsia="仿宋_GB2312" w:cs="仿宋_GB2312"/>
          <w:sz w:val="32"/>
          <w:szCs w:val="32"/>
        </w:rPr>
        <w:t>《中华人民共和国预算法》</w:t>
      </w:r>
      <w:bookmarkStart w:id="2" w:name="_GoBack"/>
      <w:bookmarkEnd w:id="2"/>
      <w:r>
        <w:rPr>
          <w:rFonts w:hint="eastAsia" w:ascii="仿宋" w:hAnsi="仿宋" w:eastAsia="仿宋" w:cs="仿宋_GB2312"/>
          <w:sz w:val="32"/>
          <w:szCs w:val="32"/>
        </w:rPr>
        <w:t>有关规定和</w:t>
      </w:r>
      <w:r>
        <w:rPr>
          <w:rFonts w:hint="eastAsia" w:ascii="仿宋" w:hAnsi="仿宋" w:eastAsia="仿宋" w:cs="楷体_GB2312"/>
          <w:sz w:val="32"/>
          <w:szCs w:val="32"/>
        </w:rPr>
        <w:t>财政部关于印发《地方预决算公开操作规程》的通知，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现将成安县妇女联合会2021年部门预算公开如下：</w:t>
      </w:r>
    </w:p>
    <w:p>
      <w:p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一、部门职责及机构设置情况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1、宣传、贯彻党的路线、方针、政策。教育、引导妇女增强自尊、自信、自立、自强精神，成为有思想、有道德、有文化、有纪律的社会主义新女性。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2、向上级妇联反映妇女群众的意见、建议和要求。引导妇女在基层政权建设中发挥民主作用，参与民主管理，民主监督作用，推进男女平等基本国策的落实。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3、制订妇女工作年度计划及本届妇联工作目标，并组织实施。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4、做好妇女群众的来信来访工作，切实解决来信来访者的诉求问题。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方正仿宋_GBK" w:hAnsi="Times New Roman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机构设置：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人员编制4名，其中领导职数3个。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妇联下设办公室：负责文件收发，文件起草。</w:t>
      </w:r>
      <w:r>
        <w:rPr>
          <w:rFonts w:hint="eastAsia" w:ascii="仿宋" w:hAnsi="仿宋" w:eastAsia="仿宋" w:cs="仿宋"/>
          <w:sz w:val="32"/>
          <w:szCs w:val="32"/>
        </w:rPr>
        <w:t>引导妇女在基层政权建设中发挥民主作用，参与民主管理，民主监督作用，推进男女平等基本国策的落实。妇女群众的来信来访工作，切实解决来信来访者的诉求问题。负责妇女群众的来信来访工作，切实解决来信来访者的诉求问题。</w:t>
      </w:r>
    </w:p>
    <w:p>
      <w:pPr>
        <w:jc w:val="center"/>
        <w:outlineLvl w:val="0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部门机构设置情况</w:t>
      </w:r>
    </w:p>
    <w:tbl>
      <w:tblPr>
        <w:tblStyle w:val="4"/>
        <w:tblW w:w="86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妇女联合会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行政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正科级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财政拨款</w:t>
            </w:r>
          </w:p>
        </w:tc>
      </w:tr>
    </w:tbl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二、部门预算安排的总体情况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按照预算管理有关规定，目前我部门预算的编制实行综合预算制度，即全部收入和支出都反映在预算中。</w:t>
      </w:r>
    </w:p>
    <w:p>
      <w:pPr>
        <w:spacing w:line="560" w:lineRule="exact"/>
        <w:ind w:firstLine="640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、收入说明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 w:cs="方正仿宋_GBK"/>
          <w:sz w:val="32"/>
          <w:szCs w:val="32"/>
        </w:rPr>
        <w:t>年预算收入57.85万元，其中：一般公共预算收入57.85万元，政府性基金收入0万元，国有资本经营收入0万元，事业收入0万元，其他收入0万元。</w:t>
      </w:r>
    </w:p>
    <w:p>
      <w:pPr>
        <w:spacing w:line="560" w:lineRule="exact"/>
        <w:ind w:firstLine="640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、支出说明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 w:cs="方正仿宋_GBK"/>
          <w:sz w:val="32"/>
          <w:szCs w:val="32"/>
        </w:rPr>
        <w:t>年支出预算57.85万元，其中基本支出57.85万元，包括人员经费51.49万元和日常公用经费6.36万元。</w:t>
      </w:r>
    </w:p>
    <w:p>
      <w:pPr>
        <w:spacing w:line="560" w:lineRule="exact"/>
        <w:ind w:firstLine="640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、比上年增减变化情况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 w:cs="方正仿宋_GBK"/>
          <w:sz w:val="32"/>
          <w:szCs w:val="32"/>
        </w:rPr>
        <w:t>年预算收支安排57.85万元，</w:t>
      </w:r>
      <w:r>
        <w:rPr>
          <w:rFonts w:hint="eastAsia" w:ascii="仿宋" w:hAnsi="仿宋" w:eastAsia="仿宋"/>
          <w:sz w:val="32"/>
          <w:szCs w:val="32"/>
        </w:rPr>
        <w:t>今年比去年增加了1.09万元，其中基本支出增加1.09万元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left="198"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三、机关运行经费安排情况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机关运行经费共计安排6.36万元，主要用于办公区的日常维修、办公用房水电费、邮电费、办公用房取暖费、办公用房物业管理费等日常运行支出。</w:t>
      </w:r>
    </w:p>
    <w:p>
      <w:pPr>
        <w:autoSpaceDE w:val="0"/>
        <w:autoSpaceDN w:val="0"/>
        <w:adjustRightInd w:val="0"/>
        <w:spacing w:line="560" w:lineRule="exact"/>
        <w:ind w:left="198"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四、财政拨款“三公”经费预算情况及增减变化原因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2021</w:t>
      </w:r>
      <w:r>
        <w:rPr>
          <w:rFonts w:hint="eastAsia" w:ascii="仿宋" w:hAnsi="仿宋" w:eastAsia="仿宋" w:cs="方正仿宋_GBK"/>
          <w:sz w:val="32"/>
          <w:szCs w:val="32"/>
        </w:rPr>
        <w:t>年，我单位</w:t>
      </w:r>
      <w:r>
        <w:rPr>
          <w:rFonts w:hint="eastAsia" w:ascii="仿宋" w:hAnsi="仿宋" w:eastAsia="仿宋" w:cs="Times New Roman"/>
          <w:sz w:val="32"/>
          <w:szCs w:val="32"/>
        </w:rPr>
        <w:t>“</w:t>
      </w:r>
      <w:r>
        <w:rPr>
          <w:rFonts w:hint="eastAsia" w:ascii="仿宋" w:hAnsi="仿宋" w:eastAsia="仿宋" w:cs="方正仿宋_GBK"/>
          <w:sz w:val="32"/>
          <w:szCs w:val="32"/>
        </w:rPr>
        <w:t>三公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hint="eastAsia" w:ascii="仿宋" w:hAnsi="仿宋" w:eastAsia="仿宋" w:cs="方正仿宋_GBK"/>
          <w:sz w:val="32"/>
          <w:szCs w:val="32"/>
        </w:rPr>
        <w:t>经费预算0.6万元，用于公务用车运行维护费。</w:t>
      </w:r>
    </w:p>
    <w:p>
      <w:pPr>
        <w:spacing w:line="560" w:lineRule="exact"/>
        <w:ind w:firstLine="640"/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2021年，我单位“三公”经费预算安排0.6万元，其中因公出国（境）费0万元；公务用车购置及运维费0.6万元（其中：公务用车购置费为0万元，公务用车运行费0.6万元)；公务接待费0万元；会议费0万；培训费0万。比2020年增加0.6万元，增加60%。增加原因：业务活动增加费用增加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五、绩效预算信息</w:t>
      </w:r>
    </w:p>
    <w:p>
      <w:pPr>
        <w:spacing w:line="560" w:lineRule="exact"/>
        <w:ind w:firstLine="643" w:firstLineChars="20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1、总体绩效目标：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2021年，县妇联将继续深入贯彻习近平新时代中国特色社会主义思想，围绕县委、县政府中心工作，做好防疫工作前提下，致力于妇女儿童事业全面发展。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2、分项绩效目标：</w:t>
      </w:r>
      <w:bookmarkStart w:id="0" w:name="_Toc471398463"/>
    </w:p>
    <w:p>
      <w:pPr>
        <w:spacing w:line="58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(1)坚持政治站位，加强妇联系统党建工作</w:t>
      </w:r>
    </w:p>
    <w:p>
      <w:pPr>
        <w:spacing w:line="58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 (2)培树优秀典型，以活动引领社会新风尚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以深入贯彻习近平总书记关于注重家庭、注重家教、注重家风的重要指示精神，以世界读书日、国际家庭日为契机，组织开展“书香成安”好家庭好家风系列诵读会、家风故事等主题宣传活动，促进县域经济社会和谐发展。2.做好“三八”妇女节评选，培树各行各业优秀女性、先进女性组织代表。3.围绕县委中心工作，结合妇女职能依托“妇女之家”“妇女讲习所”等阵地，宣传好党的政策方针，引领更多妇女听党话、跟党走。</w:t>
      </w:r>
    </w:p>
    <w:p>
      <w:pPr>
        <w:spacing w:line="580" w:lineRule="exact"/>
        <w:ind w:left="72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(3)坚持上争下联，关心关爱弱势群体</w:t>
      </w:r>
    </w:p>
    <w:p>
      <w:pPr>
        <w:spacing w:line="58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bCs/>
          <w:sz w:val="32"/>
          <w:szCs w:val="32"/>
        </w:rPr>
        <w:t>.积极做好“两癌”宣传、申报工作，为我县贫困妇女办实事、办好事。深入基层宣传“两癌”政策，确保贫困妇女及时知晓国家政策，及时申报，得到救助。规范各乡镇妇联组织把“两癌”政策等救助政策纳入日常宣传工作，保障政策执行到位。2.吸收社会力量资助，加大对留守儿童关心关爱工作。3.依靠省市相关政策及救助项目，加大对上争跑力度，为贫困妇女儿童申请救助资金。</w:t>
      </w:r>
    </w:p>
    <w:p>
      <w:pPr>
        <w:spacing w:line="58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(4)坚持创建引领，继续美丽庭院创建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以创建活动带动人居环境面貌提升，深入宣传，将寻找“最美家庭、最美女性、最美庭院、绿色家庭”等活动常态化、制度化，争取让更多的家庭参与到美丽庭院创建当中。</w:t>
      </w:r>
    </w:p>
    <w:p>
      <w:pPr>
        <w:spacing w:line="58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(5)坚持创新服务，开创家政工作新局面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1</w:t>
      </w:r>
      <w:r>
        <w:rPr>
          <w:rFonts w:hint="eastAsia" w:ascii="仿宋" w:hAnsi="仿宋" w:eastAsia="仿宋" w:cs="黑体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加大巾帼家政工作力度，</w:t>
      </w:r>
      <w:r>
        <w:rPr>
          <w:rFonts w:hint="eastAsia" w:ascii="仿宋" w:hAnsi="仿宋" w:eastAsia="仿宋" w:cs="仿宋"/>
          <w:bCs/>
          <w:sz w:val="32"/>
          <w:szCs w:val="32"/>
        </w:rPr>
        <w:t>重点培养一家家政服务公司，打造“河北福嫂”品牌，</w:t>
      </w:r>
      <w:r>
        <w:rPr>
          <w:rFonts w:hint="eastAsia" w:ascii="仿宋" w:hAnsi="仿宋" w:eastAsia="仿宋"/>
          <w:bCs/>
          <w:sz w:val="32"/>
          <w:szCs w:val="32"/>
        </w:rPr>
        <w:t>努力开创家政工作新局面。2.结合人社部门，开展好春风行动，结合相关培训学校，开展“燕赵大姐”“邯郸福嫂”巾帼家政大宣讲，积极组织有意愿的妇女参与相关部门组织的家政服务培训。到2021年底，培树各级各类“燕赵大姐”“邯郸福嫂”等家政服务先进典型6名，举办各级各类巾帼家政宣传4场，引导更多妇女走出家门投身家政服务业，努力把我县打造成巾帼家政服务行业领头兵。</w:t>
      </w:r>
    </w:p>
    <w:p>
      <w:pPr>
        <w:spacing w:line="58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(6)谋划县女企业家协会、县女手工艺协会组建工作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我县女企业家协会已经有三年没有开展工作了，女企业家都有意愿重新组建，新班子正在筹备中。我县女企业家苏睿霞是全国妇联执委、全国妇女手工艺协会副会长、省妇女手工艺协会会长，以此为契机，重新组建女手工艺协会后可开拓我县妇女致富的新途径。</w:t>
      </w:r>
    </w:p>
    <w:p>
      <w:pPr>
        <w:spacing w:line="560" w:lineRule="exact"/>
        <w:ind w:firstLine="643" w:firstLineChars="20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3、工作保障措施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hint="eastAsia" w:ascii="仿宋" w:hAnsi="仿宋" w:eastAsia="仿宋"/>
          <w:bCs/>
          <w:sz w:val="32"/>
          <w:szCs w:val="32"/>
        </w:rPr>
        <w:t>健全工作机制，完善规范相关会议记录；</w:t>
      </w:r>
      <w:r>
        <w:rPr>
          <w:rFonts w:hint="eastAsia" w:ascii="仿宋" w:hAnsi="仿宋" w:eastAsia="仿宋"/>
          <w:sz w:val="32"/>
          <w:szCs w:val="32"/>
        </w:rPr>
        <w:t>（2）</w:t>
      </w:r>
      <w:r>
        <w:rPr>
          <w:rFonts w:hint="eastAsia" w:ascii="仿宋" w:hAnsi="仿宋" w:eastAsia="仿宋"/>
          <w:bCs/>
          <w:sz w:val="32"/>
          <w:szCs w:val="32"/>
        </w:rPr>
        <w:t>开展形式多样的主题党日活动。</w:t>
      </w:r>
      <w:r>
        <w:rPr>
          <w:rFonts w:hint="eastAsia" w:ascii="仿宋" w:hAnsi="仿宋" w:eastAsia="仿宋"/>
          <w:sz w:val="32"/>
          <w:szCs w:val="32"/>
        </w:rPr>
        <w:t>（3）</w:t>
      </w:r>
      <w:r>
        <w:rPr>
          <w:rFonts w:hint="eastAsia" w:ascii="仿宋" w:hAnsi="仿宋" w:eastAsia="仿宋"/>
          <w:bCs/>
          <w:sz w:val="32"/>
          <w:szCs w:val="32"/>
        </w:rPr>
        <w:t>党建带妇建，加强“妇女之家”建设，继续加强妇女维权培训力度。加强学习，提高基层妇女参政议政意识。</w:t>
      </w:r>
      <w:r>
        <w:rPr>
          <w:rFonts w:hint="eastAsia" w:ascii="仿宋" w:hAnsi="仿宋" w:eastAsia="仿宋"/>
          <w:sz w:val="32"/>
          <w:szCs w:val="32"/>
        </w:rPr>
        <w:t>（4）</w:t>
      </w:r>
      <w:r>
        <w:rPr>
          <w:rFonts w:hint="eastAsia" w:ascii="仿宋" w:hAnsi="仿宋" w:eastAsia="仿宋"/>
          <w:bCs/>
          <w:sz w:val="32"/>
          <w:szCs w:val="32"/>
        </w:rPr>
        <w:t>筹备县级妇联换届工作。</w:t>
      </w:r>
    </w:p>
    <w:p>
      <w:pPr>
        <w:spacing w:line="560" w:lineRule="exact"/>
        <w:jc w:val="left"/>
        <w:rPr>
          <w:rFonts w:ascii="楷体_GB2312" w:eastAsia="楷体_GB2312"/>
          <w:b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小标宋_GBK"/>
          <w:sz w:val="32"/>
          <w:szCs w:val="32"/>
        </w:rPr>
        <w:t>部门职责</w:t>
      </w:r>
      <w:r>
        <w:rPr>
          <w:rFonts w:ascii="仿宋" w:hAnsi="仿宋" w:eastAsia="仿宋" w:cs="方正小标宋_GBK"/>
          <w:sz w:val="32"/>
          <w:szCs w:val="32"/>
        </w:rPr>
        <w:t>-</w:t>
      </w:r>
      <w:r>
        <w:rPr>
          <w:rFonts w:hint="eastAsia" w:ascii="仿宋" w:hAnsi="仿宋" w:eastAsia="仿宋" w:cs="方正小标宋_GBK"/>
          <w:sz w:val="32"/>
          <w:szCs w:val="32"/>
        </w:rPr>
        <w:t>工作活动绩效目标</w:t>
      </w:r>
      <w:bookmarkEnd w:id="0"/>
    </w:p>
    <w:tbl>
      <w:tblPr>
        <w:tblStyle w:val="4"/>
        <w:tblW w:w="125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1218"/>
        <w:gridCol w:w="2858"/>
        <w:gridCol w:w="1835"/>
        <w:gridCol w:w="978"/>
        <w:gridCol w:w="782"/>
        <w:gridCol w:w="668"/>
        <w:gridCol w:w="661"/>
        <w:gridCol w:w="6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tblHeader/>
          <w:jc w:val="center"/>
        </w:trPr>
        <w:tc>
          <w:tcPr>
            <w:tcW w:w="9732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部门（单位）名称</w:t>
            </w:r>
            <w:r>
              <w:rPr>
                <w:rFonts w:hint="eastAsia" w:ascii="宋体" w:hAnsi="宋体" w:eastAsia="宋体" w:cs="方正小标宋_GBK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妇女联合会</w:t>
            </w:r>
          </w:p>
        </w:tc>
        <w:tc>
          <w:tcPr>
            <w:tcW w:w="276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tblHeader/>
          <w:jc w:val="center"/>
        </w:trPr>
        <w:tc>
          <w:tcPr>
            <w:tcW w:w="28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职责活动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年度预算数</w:t>
            </w:r>
          </w:p>
        </w:tc>
        <w:tc>
          <w:tcPr>
            <w:tcW w:w="285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内容描述</w:t>
            </w:r>
          </w:p>
        </w:tc>
        <w:tc>
          <w:tcPr>
            <w:tcW w:w="183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绩效目标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绩效指标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tblHeader/>
          <w:jc w:val="center"/>
        </w:trPr>
        <w:tc>
          <w:tcPr>
            <w:tcW w:w="284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85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优</w:t>
            </w:r>
          </w:p>
        </w:tc>
        <w:tc>
          <w:tcPr>
            <w:tcW w:w="6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良</w:t>
            </w:r>
          </w:p>
        </w:tc>
        <w:tc>
          <w:tcPr>
            <w:tcW w:w="6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中</w:t>
            </w:r>
          </w:p>
        </w:tc>
        <w:tc>
          <w:tcPr>
            <w:tcW w:w="65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2843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方正书宋_GBK" w:eastAsia="方正书宋_GBK"/>
                <w:b/>
              </w:rPr>
              <w:t>团结动员妇女参加经济社会建设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</w:t>
            </w:r>
          </w:p>
        </w:tc>
        <w:tc>
          <w:tcPr>
            <w:tcW w:w="285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团结、教育全县妇女及各类妇女组织同党中央在思想上、政治上、行动上保持高度一致，全面提高妇女素质。</w:t>
            </w:r>
          </w:p>
        </w:tc>
        <w:tc>
          <w:tcPr>
            <w:tcW w:w="1835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把广大妇女紧密团结在党中央周围，围绕中央、县委县政府中心工作。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≥100%</w:t>
            </w:r>
          </w:p>
        </w:tc>
        <w:tc>
          <w:tcPr>
            <w:tcW w:w="66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66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65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</w:t>
            </w:r>
            <w:r>
              <w:rPr>
                <w:rFonts w:ascii="方正书宋_GBK" w:eastAsia="方正书宋_GBK"/>
              </w:rPr>
              <w:t>0</w:t>
            </w:r>
            <w:r>
              <w:rPr>
                <w:rFonts w:hint="eastAsia" w:ascii="方正书宋_GBK" w:eastAsia="方正书宋_GBK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284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hAnsi="Times New Roman" w:eastAsia="方正书宋_GBK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方正书宋_GBK" w:eastAsia="方正书宋_GBK"/>
                <w:b/>
              </w:rPr>
              <w:t>　　团结动员妇女参加经济社会建设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hAnsi="Times New Roman" w:eastAsia="方正书宋_GBK" w:cs="Times New Roman"/>
                <w:sz w:val="18"/>
                <w:szCs w:val="18"/>
              </w:rPr>
            </w:pPr>
            <w:r>
              <w:rPr>
                <w:rFonts w:hint="eastAsia" w:ascii="方正书宋_GBK" w:hAnsi="Times New Roman" w:eastAsia="方正书宋_GBK" w:cs="Times New Roman"/>
                <w:sz w:val="18"/>
                <w:szCs w:val="18"/>
              </w:rPr>
              <w:t>2</w:t>
            </w:r>
          </w:p>
        </w:tc>
        <w:tc>
          <w:tcPr>
            <w:tcW w:w="285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hAnsi="Times New Roman" w:eastAsia="方正书宋_GBK" w:cs="Times New Roman"/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团结、教育全县妇女及各类妇女组织同党中央在思想上、政治上、行动上保持高度一致，全面提高妇女素质。</w:t>
            </w:r>
          </w:p>
        </w:tc>
        <w:tc>
          <w:tcPr>
            <w:tcW w:w="183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hAnsi="Times New Roman" w:eastAsia="方正书宋_GBK" w:cs="Times New Roman"/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完成县委县政府交办的工作任务，全县妇女精神面貌有较大改观，创业就业能力逐步增强，素质得到全面提升。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带动脱贫人数（万人）</w:t>
            </w:r>
          </w:p>
        </w:tc>
        <w:tc>
          <w:tcPr>
            <w:tcW w:w="782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≥100%</w:t>
            </w:r>
          </w:p>
        </w:tc>
        <w:tc>
          <w:tcPr>
            <w:tcW w:w="66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66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65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</w:t>
            </w:r>
            <w:r>
              <w:rPr>
                <w:rFonts w:ascii="方正书宋_GBK" w:eastAsia="方正书宋_GBK"/>
              </w:rPr>
              <w:t>0</w:t>
            </w:r>
            <w:r>
              <w:rPr>
                <w:rFonts w:hint="eastAsia" w:ascii="方正书宋_GBK" w:eastAsia="方正书宋_GBK"/>
              </w:rPr>
              <w:t>%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黑体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六、政府采购预算情况</w:t>
      </w:r>
    </w:p>
    <w:p>
      <w:pPr>
        <w:spacing w:line="560" w:lineRule="exact"/>
        <w:outlineLvl w:val="0"/>
        <w:rPr>
          <w:rFonts w:ascii="仿宋" w:hAnsi="仿宋" w:eastAsia="仿宋" w:cs="方正仿宋_GBK"/>
          <w:sz w:val="32"/>
          <w:szCs w:val="32"/>
        </w:rPr>
      </w:pPr>
      <w:bookmarkStart w:id="1" w:name="_Toc471398468"/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ascii="仿宋" w:hAnsi="仿宋" w:eastAsia="仿宋" w:cs="仿宋_GB2312"/>
          <w:kern w:val="0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按照政府采购相关法律法规要求，结合我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台</w:t>
      </w:r>
      <w:r>
        <w:rPr>
          <w:rFonts w:ascii="仿宋" w:hAnsi="仿宋" w:eastAsia="仿宋" w:cs="仿宋_GB2312"/>
          <w:kern w:val="0"/>
          <w:sz w:val="32"/>
          <w:szCs w:val="32"/>
        </w:rPr>
        <w:t>实际，</w:t>
      </w:r>
      <w:r>
        <w:rPr>
          <w:rFonts w:hint="eastAsia" w:ascii="仿宋" w:hAnsi="仿宋" w:eastAsia="仿宋" w:cs="Times New Roman"/>
          <w:sz w:val="32"/>
          <w:szCs w:val="32"/>
        </w:rPr>
        <w:t>2021</w:t>
      </w:r>
      <w:r>
        <w:rPr>
          <w:rFonts w:hint="eastAsia" w:ascii="仿宋" w:hAnsi="仿宋" w:eastAsia="仿宋" w:cs="方正仿宋_GBK"/>
          <w:sz w:val="32"/>
          <w:szCs w:val="32"/>
        </w:rPr>
        <w:t>年，我单位安排政府采购预算0.912万元</w:t>
      </w:r>
      <w:bookmarkEnd w:id="1"/>
      <w:r>
        <w:rPr>
          <w:rFonts w:hint="eastAsia" w:ascii="仿宋" w:hAnsi="仿宋" w:eastAsia="仿宋" w:cs="方正仿宋_GBK"/>
          <w:sz w:val="32"/>
          <w:szCs w:val="32"/>
        </w:rPr>
        <w:t>。详见下表</w:t>
      </w:r>
    </w:p>
    <w:p>
      <w:pPr>
        <w:spacing w:line="560" w:lineRule="exact"/>
        <w:outlineLvl w:val="0"/>
        <w:rPr>
          <w:rFonts w:ascii="仿宋" w:hAnsi="仿宋" w:eastAsia="仿宋" w:cs="方正仿宋_GBK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部门政府采购预算</w:t>
      </w:r>
    </w:p>
    <w:tbl>
      <w:tblPr>
        <w:tblStyle w:val="4"/>
        <w:tblW w:w="1368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992"/>
        <w:gridCol w:w="1134"/>
        <w:gridCol w:w="1276"/>
        <w:gridCol w:w="708"/>
        <w:gridCol w:w="455"/>
        <w:gridCol w:w="963"/>
        <w:gridCol w:w="880"/>
        <w:gridCol w:w="821"/>
        <w:gridCol w:w="709"/>
        <w:gridCol w:w="850"/>
        <w:gridCol w:w="851"/>
        <w:gridCol w:w="1275"/>
        <w:gridCol w:w="12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tblHeader/>
          <w:jc w:val="center"/>
        </w:trPr>
        <w:tc>
          <w:tcPr>
            <w:tcW w:w="709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部门（单位）：成安县妇女联合会</w:t>
            </w:r>
          </w:p>
        </w:tc>
        <w:tc>
          <w:tcPr>
            <w:tcW w:w="658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5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政府采购项目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政府采购目录序号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数量单位</w:t>
            </w:r>
          </w:p>
        </w:tc>
        <w:tc>
          <w:tcPr>
            <w:tcW w:w="45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数量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单价</w:t>
            </w:r>
          </w:p>
        </w:tc>
        <w:tc>
          <w:tcPr>
            <w:tcW w:w="658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7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预算资金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45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88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总计</w:t>
            </w:r>
          </w:p>
        </w:tc>
        <w:tc>
          <w:tcPr>
            <w:tcW w:w="450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当年部门预算安排资金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tblHeader/>
          <w:jc w:val="center"/>
        </w:trPr>
        <w:tc>
          <w:tcPr>
            <w:tcW w:w="157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45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一般公共预算拨款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基金预算拨款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财政专户核拨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其他来源收入</w:t>
            </w: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　计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0.912</w:t>
            </w:r>
          </w:p>
        </w:tc>
        <w:tc>
          <w:tcPr>
            <w:tcW w:w="8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0.912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办公设备购置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公用经费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联想电脑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A02010104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0.335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0.335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0.335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</w:rPr>
              <w:t>办公设备购置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公用经费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奔图一体机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A020204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0.165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0.165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0.165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办公家具购置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公用经费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办公桌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A060205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0.075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0.3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0.3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</w:rPr>
              <w:t>办公家具购置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公用经费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办公椅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A060302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把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0.028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0.112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0.112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560" w:lineRule="exact"/>
        <w:outlineLvl w:val="0"/>
        <w:rPr>
          <w:rFonts w:ascii="仿宋" w:hAnsi="仿宋" w:eastAsia="仿宋" w:cs="方正仿宋_GBK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七、国有资产信息</w:t>
      </w:r>
    </w:p>
    <w:p>
      <w:pPr>
        <w:spacing w:line="560" w:lineRule="exact"/>
        <w:ind w:firstLine="64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我单位年未固定资产总额为13.14万元，办公地点在政府综合大楼，固定资产所属成安县政府所有。2021年拟购置固定资产0.912万元。详见下表。</w:t>
      </w:r>
    </w:p>
    <w:tbl>
      <w:tblPr>
        <w:tblStyle w:val="4"/>
        <w:tblW w:w="128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7"/>
        <w:gridCol w:w="1210"/>
        <w:gridCol w:w="5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编制部门：</w:t>
            </w: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妇女联合会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截止时间：2020年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5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——</w:t>
            </w:r>
          </w:p>
        </w:tc>
        <w:tc>
          <w:tcPr>
            <w:tcW w:w="5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56</w:t>
            </w:r>
          </w:p>
        </w:tc>
        <w:tc>
          <w:tcPr>
            <w:tcW w:w="5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政府集中办公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</w:t>
            </w:r>
          </w:p>
        </w:tc>
        <w:tc>
          <w:tcPr>
            <w:tcW w:w="5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、单价在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万元以上的设备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3.14</w:t>
            </w:r>
          </w:p>
        </w:tc>
      </w:tr>
    </w:tbl>
    <w:p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八、名词解释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微软雅黑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、年初结转和结余：指以前年度尚未完成，结转到本年仍按照原规定用途继续使用的资金，或项目已完成等产生的结余资金。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4、基本支出：指单位为了保障其正常运转、完成日常工作任务而发生的人员支出和公用支出。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5、项目支出：指单位为了特定的工作任务和事业发展目标，在基本支出之外所发生的支出。</w:t>
      </w:r>
    </w:p>
    <w:p>
      <w:pPr>
        <w:tabs>
          <w:tab w:val="left" w:pos="11490"/>
        </w:tabs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九、其它需要说明的事项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仿宋_GBK"/>
          <w:bCs/>
          <w:sz w:val="32"/>
          <w:szCs w:val="32"/>
        </w:rPr>
        <w:t>无其它需要说明的事项。</w:t>
      </w:r>
    </w:p>
    <w:sectPr>
      <w:footerReference r:id="rId3" w:type="default"/>
      <w:pgSz w:w="16838" w:h="11906" w:orient="landscape"/>
      <w:pgMar w:top="1587" w:right="2098" w:bottom="1474" w:left="1985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 w:cs="Times New Roman"/>
        <w:sz w:val="32"/>
        <w:szCs w:val="32"/>
      </w:rPr>
    </w:pPr>
    <w:r>
      <w:rPr>
        <w:rFonts w:ascii="仿宋" w:hAnsi="仿宋" w:eastAsia="仿宋" w:cs="仿宋"/>
        <w:sz w:val="32"/>
        <w:szCs w:val="32"/>
      </w:rPr>
      <w:fldChar w:fldCharType="begin"/>
    </w:r>
    <w:r>
      <w:rPr>
        <w:rFonts w:ascii="仿宋" w:hAnsi="仿宋" w:eastAsia="仿宋" w:cs="仿宋"/>
        <w:sz w:val="32"/>
        <w:szCs w:val="32"/>
      </w:rPr>
      <w:instrText xml:space="preserve">PAGE   \* MERGEFORMAT</w:instrText>
    </w:r>
    <w:r>
      <w:rPr>
        <w:rFonts w:ascii="仿宋" w:hAnsi="仿宋" w:eastAsia="仿宋" w:cs="仿宋"/>
        <w:sz w:val="32"/>
        <w:szCs w:val="32"/>
      </w:rPr>
      <w:fldChar w:fldCharType="separate"/>
    </w:r>
    <w:r>
      <w:rPr>
        <w:rFonts w:ascii="仿宋" w:hAnsi="仿宋" w:eastAsia="仿宋" w:cs="仿宋"/>
        <w:sz w:val="32"/>
        <w:szCs w:val="32"/>
        <w:lang w:val="zh-CN"/>
      </w:rPr>
      <w:t>11</w:t>
    </w:r>
    <w:r>
      <w:rPr>
        <w:rFonts w:ascii="仿宋" w:hAnsi="仿宋" w:eastAsia="仿宋" w:cs="仿宋"/>
        <w:sz w:val="32"/>
        <w:szCs w:val="32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5ZTRiNjRjNGMzNTlmNzA3YzQ4ZmQ1OGJmYjU4NmIifQ=="/>
  </w:docVars>
  <w:rsids>
    <w:rsidRoot w:val="00524AAA"/>
    <w:rsid w:val="00082BC4"/>
    <w:rsid w:val="000A796E"/>
    <w:rsid w:val="000C295C"/>
    <w:rsid w:val="000E20C3"/>
    <w:rsid w:val="000F5D53"/>
    <w:rsid w:val="00101C7A"/>
    <w:rsid w:val="00131928"/>
    <w:rsid w:val="0015356C"/>
    <w:rsid w:val="00153855"/>
    <w:rsid w:val="00156750"/>
    <w:rsid w:val="00193775"/>
    <w:rsid w:val="001A0539"/>
    <w:rsid w:val="001A3CB4"/>
    <w:rsid w:val="001D23BD"/>
    <w:rsid w:val="001E0232"/>
    <w:rsid w:val="0020324E"/>
    <w:rsid w:val="00206B22"/>
    <w:rsid w:val="002307B5"/>
    <w:rsid w:val="00267692"/>
    <w:rsid w:val="00273D7A"/>
    <w:rsid w:val="00274515"/>
    <w:rsid w:val="00297179"/>
    <w:rsid w:val="002A1138"/>
    <w:rsid w:val="002C0317"/>
    <w:rsid w:val="00325594"/>
    <w:rsid w:val="0037750D"/>
    <w:rsid w:val="003C4C5D"/>
    <w:rsid w:val="003D1126"/>
    <w:rsid w:val="003D1369"/>
    <w:rsid w:val="003D22B1"/>
    <w:rsid w:val="0042454B"/>
    <w:rsid w:val="004468DD"/>
    <w:rsid w:val="00453A06"/>
    <w:rsid w:val="004560F4"/>
    <w:rsid w:val="00476A92"/>
    <w:rsid w:val="004B77E8"/>
    <w:rsid w:val="00502AD5"/>
    <w:rsid w:val="0050580F"/>
    <w:rsid w:val="00507643"/>
    <w:rsid w:val="00524AAA"/>
    <w:rsid w:val="0053759D"/>
    <w:rsid w:val="005412A2"/>
    <w:rsid w:val="005730D6"/>
    <w:rsid w:val="005A1055"/>
    <w:rsid w:val="005A4FD5"/>
    <w:rsid w:val="005C1348"/>
    <w:rsid w:val="005F4345"/>
    <w:rsid w:val="00616DA8"/>
    <w:rsid w:val="00644123"/>
    <w:rsid w:val="006658D7"/>
    <w:rsid w:val="0067044D"/>
    <w:rsid w:val="0068144F"/>
    <w:rsid w:val="00693BC2"/>
    <w:rsid w:val="00747892"/>
    <w:rsid w:val="00747D9E"/>
    <w:rsid w:val="007775CB"/>
    <w:rsid w:val="007B4EB3"/>
    <w:rsid w:val="007C484E"/>
    <w:rsid w:val="007E3D51"/>
    <w:rsid w:val="007F0D2E"/>
    <w:rsid w:val="00825F97"/>
    <w:rsid w:val="008327A0"/>
    <w:rsid w:val="008432BC"/>
    <w:rsid w:val="00847B8A"/>
    <w:rsid w:val="00847D8C"/>
    <w:rsid w:val="00852F4E"/>
    <w:rsid w:val="00864A51"/>
    <w:rsid w:val="00895441"/>
    <w:rsid w:val="009125E7"/>
    <w:rsid w:val="00933068"/>
    <w:rsid w:val="00962400"/>
    <w:rsid w:val="00973104"/>
    <w:rsid w:val="00990CB9"/>
    <w:rsid w:val="009A562A"/>
    <w:rsid w:val="009B2D48"/>
    <w:rsid w:val="009C264C"/>
    <w:rsid w:val="009C2F87"/>
    <w:rsid w:val="009D2F0B"/>
    <w:rsid w:val="009D4597"/>
    <w:rsid w:val="009D5B08"/>
    <w:rsid w:val="009F0612"/>
    <w:rsid w:val="00A12AE7"/>
    <w:rsid w:val="00A13C09"/>
    <w:rsid w:val="00A15ADE"/>
    <w:rsid w:val="00A238E6"/>
    <w:rsid w:val="00A6455D"/>
    <w:rsid w:val="00A9417F"/>
    <w:rsid w:val="00A95F51"/>
    <w:rsid w:val="00AC6968"/>
    <w:rsid w:val="00B13EFE"/>
    <w:rsid w:val="00B50088"/>
    <w:rsid w:val="00B500A4"/>
    <w:rsid w:val="00B56987"/>
    <w:rsid w:val="00BA40C6"/>
    <w:rsid w:val="00BA6B82"/>
    <w:rsid w:val="00BC6A8D"/>
    <w:rsid w:val="00BC6D3F"/>
    <w:rsid w:val="00BE2C3A"/>
    <w:rsid w:val="00CC3657"/>
    <w:rsid w:val="00CD0F72"/>
    <w:rsid w:val="00CF7C9D"/>
    <w:rsid w:val="00D27A25"/>
    <w:rsid w:val="00D312BA"/>
    <w:rsid w:val="00D44842"/>
    <w:rsid w:val="00D73351"/>
    <w:rsid w:val="00DC6933"/>
    <w:rsid w:val="00E000C9"/>
    <w:rsid w:val="00E00339"/>
    <w:rsid w:val="00E24B37"/>
    <w:rsid w:val="00E338B2"/>
    <w:rsid w:val="00E474B2"/>
    <w:rsid w:val="00E84755"/>
    <w:rsid w:val="00E87B0C"/>
    <w:rsid w:val="00E91C36"/>
    <w:rsid w:val="00F14752"/>
    <w:rsid w:val="00F225C3"/>
    <w:rsid w:val="00F22C36"/>
    <w:rsid w:val="00F311AF"/>
    <w:rsid w:val="00F543D4"/>
    <w:rsid w:val="00F649C0"/>
    <w:rsid w:val="00F66032"/>
    <w:rsid w:val="00FA5A5E"/>
    <w:rsid w:val="00FB3E5A"/>
    <w:rsid w:val="00FB5EA2"/>
    <w:rsid w:val="00FF3F46"/>
    <w:rsid w:val="00FF4338"/>
    <w:rsid w:val="0156305C"/>
    <w:rsid w:val="06821571"/>
    <w:rsid w:val="07CD07F8"/>
    <w:rsid w:val="0AA20DED"/>
    <w:rsid w:val="0D575322"/>
    <w:rsid w:val="16082C06"/>
    <w:rsid w:val="195D7173"/>
    <w:rsid w:val="1E09124A"/>
    <w:rsid w:val="23C01718"/>
    <w:rsid w:val="245F7146"/>
    <w:rsid w:val="26376FA1"/>
    <w:rsid w:val="2CDA6448"/>
    <w:rsid w:val="4C13003B"/>
    <w:rsid w:val="54E80EE3"/>
    <w:rsid w:val="555B2FFD"/>
    <w:rsid w:val="61BB5D7A"/>
    <w:rsid w:val="62317802"/>
    <w:rsid w:val="68924593"/>
    <w:rsid w:val="69312C9A"/>
    <w:rsid w:val="6B1D66F3"/>
    <w:rsid w:val="6D182C0A"/>
    <w:rsid w:val="73F01D6D"/>
    <w:rsid w:val="7BAB2F2A"/>
    <w:rsid w:val="7D5C2F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3297</Words>
  <Characters>508</Characters>
  <Lines>4</Lines>
  <Paragraphs>7</Paragraphs>
  <TotalTime>16</TotalTime>
  <ScaleCrop>false</ScaleCrop>
  <LinksUpToDate>false</LinksUpToDate>
  <CharactersWithSpaces>3798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2017-11-13T12:24:00Z</dcterms:created>
  <dc:creator>旭东</dc:creator>
  <cp:lastModifiedBy>WPS_1657181579</cp:lastModifiedBy>
  <dcterms:modified xsi:type="dcterms:W3CDTF">2024-01-18T10:08:40Z</dcterms:modified>
  <dc:title>2017年部门预算公开督导整改要求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A597DC3CE0E141D6AF3306E910659F58</vt:lpwstr>
  </property>
</Properties>
</file>