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b/>
          <w:sz w:val="44"/>
          <w:szCs w:val="44"/>
        </w:rPr>
      </w:pPr>
      <w:r>
        <w:rPr>
          <w:rFonts w:hint="eastAsia" w:ascii="宋体" w:hAnsi="宋体" w:cs="宋体"/>
          <w:b/>
          <w:sz w:val="44"/>
          <w:szCs w:val="44"/>
        </w:rPr>
        <w:t>成安县辛义乡人民政府</w:t>
      </w:r>
    </w:p>
    <w:p>
      <w:pPr>
        <w:spacing w:line="600" w:lineRule="exact"/>
        <w:jc w:val="center"/>
        <w:rPr>
          <w:rFonts w:ascii="宋体" w:hAnsi="宋体" w:cs="宋体"/>
          <w:b/>
          <w:sz w:val="44"/>
          <w:szCs w:val="44"/>
        </w:rPr>
      </w:pPr>
      <w:r>
        <w:rPr>
          <w:rFonts w:hint="eastAsia" w:ascii="宋体" w:hAnsi="宋体" w:cs="宋体"/>
          <w:b/>
          <w:sz w:val="44"/>
          <w:szCs w:val="44"/>
        </w:rPr>
        <w:t>2021年部门预算公开情况说明</w:t>
      </w:r>
    </w:p>
    <w:p>
      <w:pPr>
        <w:spacing w:line="600" w:lineRule="exact"/>
        <w:jc w:val="center"/>
        <w:rPr>
          <w:rFonts w:ascii="黑体" w:hAnsi="黑体" w:eastAsia="黑体" w:cs="黑体"/>
          <w:sz w:val="32"/>
          <w:szCs w:val="32"/>
        </w:rPr>
      </w:pPr>
    </w:p>
    <w:p>
      <w:pPr>
        <w:spacing w:line="58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按照《中华人民共和国预算法》有关规定和财政部关于印发《地方预决算公开操作规程》的通知，</w:t>
      </w:r>
      <w:r>
        <w:rPr>
          <w:rFonts w:hint="eastAsia" w:ascii="仿宋" w:hAnsi="仿宋" w:eastAsia="仿宋" w:cs="仿宋_GB2312"/>
          <w:kern w:val="0"/>
          <w:sz w:val="32"/>
          <w:szCs w:val="32"/>
        </w:rPr>
        <w:t>现将成安县辛义乡人民政府2021年部门预算公开如下：</w:t>
      </w:r>
    </w:p>
    <w:p>
      <w:pPr>
        <w:spacing w:line="600" w:lineRule="exact"/>
        <w:ind w:firstLine="640"/>
        <w:rPr>
          <w:rFonts w:ascii="黑体" w:hAnsi="黑体" w:eastAsia="黑体" w:cs="楷体"/>
          <w:bCs/>
          <w:sz w:val="32"/>
          <w:szCs w:val="32"/>
        </w:rPr>
      </w:pPr>
      <w:r>
        <w:rPr>
          <w:rFonts w:hint="eastAsia" w:ascii="黑体" w:hAnsi="黑体" w:eastAsia="黑体" w:cs="楷体"/>
          <w:bCs/>
          <w:sz w:val="32"/>
          <w:szCs w:val="32"/>
        </w:rPr>
        <w:t>一、部门职责及机构设置情况</w:t>
      </w:r>
    </w:p>
    <w:p>
      <w:pPr>
        <w:widowControl/>
        <w:spacing w:line="60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主要职责及机构设置情况</w:t>
      </w:r>
    </w:p>
    <w:p>
      <w:pPr>
        <w:widowControl/>
        <w:spacing w:line="600" w:lineRule="exact"/>
        <w:ind w:firstLine="643" w:firstLineChars="200"/>
        <w:jc w:val="left"/>
        <w:rPr>
          <w:rFonts w:ascii="仿宋_GB2312" w:hAnsi="仿宋_GB2312" w:eastAsia="仿宋_GB2312" w:cs="仿宋_GB2312"/>
          <w:b/>
          <w:bCs/>
          <w:sz w:val="32"/>
          <w:szCs w:val="32"/>
        </w:rPr>
      </w:pPr>
      <w:r>
        <w:rPr>
          <w:rFonts w:hint="eastAsia" w:ascii="楷体" w:hAnsi="楷体" w:eastAsia="楷体" w:cs="楷体"/>
          <w:b/>
          <w:kern w:val="0"/>
          <w:sz w:val="32"/>
          <w:szCs w:val="32"/>
        </w:rPr>
        <w:t>（一）</w:t>
      </w:r>
      <w:r>
        <w:rPr>
          <w:rFonts w:hint="eastAsia" w:ascii="仿宋_GB2312" w:hAnsi="仿宋_GB2312" w:eastAsia="仿宋_GB2312" w:cs="仿宋_GB2312"/>
          <w:b/>
          <w:bCs/>
          <w:sz w:val="32"/>
          <w:szCs w:val="32"/>
        </w:rPr>
        <w:t>部门职责：</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1、宣传、贯彻党的路线、方针、政策和上级党组织的决议，执行乡党员代表大会(党员大会)决议，讨论决定本乡的重大问题。</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2、抓好自身和所属党组织以及非公企业和社会组织的党组织建设。</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3、领导乡经济建设，制定本乡经济和社会发展规划并组织实施。</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4、领导乡社会主义精神文明和民主法制建设。加强农村社会治安综合治理，落实统一战线工作任务，做好民族事务工作。</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5、领导并支持乡政府依法行使各项行政管理职权。</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6、领导人大主席团及经济组织、人民武装和共青团、妇</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联等人民团体的工作。</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7、统一指挥协调上级有关部门派驻乡单位的工作。</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8、完成上级党组织交办的其他任务。</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9、促进经济发展、增加农民收入</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10、优化公共服务、着力改善民生</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11、强化社会管理、维护农村稳定</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12、推进基层民主、促进农村和谐</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13、改善生态环境、提升乡风文明</w:t>
      </w:r>
    </w:p>
    <w:p>
      <w:pPr>
        <w:autoSpaceDE w:val="0"/>
        <w:autoSpaceDN w:val="0"/>
        <w:adjustRightInd w:val="0"/>
        <w:spacing w:line="600" w:lineRule="exact"/>
        <w:ind w:firstLine="643" w:firstLineChars="200"/>
        <w:jc w:val="left"/>
        <w:rPr>
          <w:rFonts w:ascii="楷体" w:hAnsi="楷体" w:eastAsia="楷体" w:cs="楷体"/>
          <w:b/>
          <w:bCs/>
          <w:sz w:val="32"/>
          <w:szCs w:val="32"/>
        </w:rPr>
      </w:pPr>
      <w:r>
        <w:rPr>
          <w:rFonts w:hint="eastAsia" w:ascii="楷体" w:hAnsi="楷体" w:eastAsia="楷体" w:cs="楷体"/>
          <w:b/>
          <w:kern w:val="0"/>
          <w:sz w:val="32"/>
          <w:szCs w:val="32"/>
        </w:rPr>
        <w:t>（</w:t>
      </w:r>
      <w:r>
        <w:rPr>
          <w:rFonts w:hint="eastAsia" w:ascii="楷体" w:hAnsi="楷体" w:eastAsia="楷体" w:cs="楷体"/>
          <w:b/>
          <w:kern w:val="0"/>
          <w:sz w:val="32"/>
          <w:szCs w:val="32"/>
          <w:lang w:val="en-US" w:eastAsia="zh-CN"/>
        </w:rPr>
        <w:t>二</w:t>
      </w:r>
      <w:r>
        <w:rPr>
          <w:rFonts w:hint="eastAsia" w:ascii="楷体" w:hAnsi="楷体" w:eastAsia="楷体" w:cs="楷体"/>
          <w:b/>
          <w:kern w:val="0"/>
          <w:sz w:val="32"/>
          <w:szCs w:val="32"/>
        </w:rPr>
        <w:t>）</w:t>
      </w:r>
      <w:r>
        <w:rPr>
          <w:rFonts w:hint="eastAsia" w:ascii="楷体" w:hAnsi="楷体" w:eastAsia="楷体" w:cs="楷体"/>
          <w:b/>
          <w:bCs/>
          <w:sz w:val="32"/>
          <w:szCs w:val="32"/>
        </w:rPr>
        <w:t>机构设置：</w:t>
      </w:r>
    </w:p>
    <w:p>
      <w:pPr>
        <w:ind w:firstLine="720"/>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4"/>
        <w:tblW w:w="10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10"/>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10"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10"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5210" w:type="dxa"/>
            <w:vAlign w:val="center"/>
          </w:tcPr>
          <w:p>
            <w:pPr>
              <w:spacing w:line="300" w:lineRule="exact"/>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rPr>
              <w:t>成安县</w:t>
            </w:r>
            <w:r>
              <w:rPr>
                <w:rFonts w:hint="eastAsia" w:ascii="仿宋" w:hAnsi="仿宋" w:eastAsia="仿宋" w:cs="Times New Roman"/>
                <w:sz w:val="32"/>
                <w:szCs w:val="32"/>
                <w:lang w:eastAsia="zh-CN"/>
              </w:rPr>
              <w:t>辛义</w:t>
            </w:r>
            <w:r>
              <w:rPr>
                <w:rFonts w:hint="eastAsia" w:ascii="仿宋" w:hAnsi="仿宋" w:eastAsia="仿宋" w:cs="Times New Roman"/>
                <w:sz w:val="32"/>
                <w:szCs w:val="32"/>
              </w:rPr>
              <w:t>乡人民政府</w:t>
            </w:r>
            <w:r>
              <w:rPr>
                <w:rFonts w:hint="eastAsia" w:ascii="仿宋" w:hAnsi="仿宋" w:eastAsia="仿宋" w:cs="Times New Roman"/>
                <w:sz w:val="32"/>
                <w:szCs w:val="32"/>
                <w:lang w:val="en-US" w:eastAsia="zh-CN"/>
              </w:rPr>
              <w:t>机关</w:t>
            </w:r>
          </w:p>
        </w:tc>
        <w:tc>
          <w:tcPr>
            <w:tcW w:w="1134" w:type="dxa"/>
            <w:vAlign w:val="center"/>
          </w:tcPr>
          <w:p>
            <w:pPr>
              <w:spacing w:line="300" w:lineRule="exact"/>
              <w:jc w:val="left"/>
              <w:rPr>
                <w:rFonts w:ascii="仿宋" w:hAnsi="仿宋" w:eastAsia="仿宋" w:cs="Times New Roman"/>
                <w:sz w:val="32"/>
                <w:szCs w:val="32"/>
              </w:rPr>
            </w:pPr>
            <w:r>
              <w:rPr>
                <w:rFonts w:hint="eastAsia" w:ascii="仿宋" w:hAnsi="仿宋" w:eastAsia="仿宋" w:cs="Times New Roman"/>
                <w:sz w:val="32"/>
                <w:szCs w:val="32"/>
              </w:rPr>
              <w:t>行政</w:t>
            </w:r>
          </w:p>
        </w:tc>
        <w:tc>
          <w:tcPr>
            <w:tcW w:w="1276" w:type="dxa"/>
            <w:vAlign w:val="center"/>
          </w:tcPr>
          <w:p>
            <w:pPr>
              <w:spacing w:line="300" w:lineRule="exact"/>
              <w:jc w:val="left"/>
              <w:rPr>
                <w:rFonts w:ascii="仿宋" w:hAnsi="仿宋" w:eastAsia="仿宋" w:cs="Times New Roman"/>
                <w:sz w:val="32"/>
                <w:szCs w:val="32"/>
              </w:rPr>
            </w:pPr>
            <w:r>
              <w:rPr>
                <w:rFonts w:hint="eastAsia" w:ascii="仿宋" w:hAnsi="仿宋" w:eastAsia="仿宋" w:cs="Times New Roman"/>
                <w:sz w:val="32"/>
                <w:szCs w:val="32"/>
              </w:rPr>
              <w:t>正科</w:t>
            </w:r>
            <w:r>
              <w:rPr>
                <w:rFonts w:hint="eastAsia" w:ascii="仿宋" w:hAnsi="仿宋" w:eastAsia="仿宋" w:cs="Times New Roman"/>
                <w:sz w:val="32"/>
                <w:szCs w:val="32"/>
                <w:lang w:eastAsia="zh-CN"/>
              </w:rPr>
              <w:t>级</w:t>
            </w:r>
          </w:p>
        </w:tc>
        <w:tc>
          <w:tcPr>
            <w:tcW w:w="2902" w:type="dxa"/>
            <w:vAlign w:val="center"/>
          </w:tcPr>
          <w:p>
            <w:pPr>
              <w:spacing w:line="300" w:lineRule="exact"/>
              <w:jc w:val="left"/>
              <w:rPr>
                <w:rFonts w:ascii="Times New Roman" w:hAnsi="Times New Roman" w:eastAsia="方正书宋_GBK" w:cs="Times New Roman"/>
              </w:rPr>
            </w:pPr>
            <w:r>
              <w:rPr>
                <w:rFonts w:hint="eastAsia" w:ascii="仿宋" w:hAnsi="仿宋" w:eastAsia="仿宋" w:cs="仿宋"/>
                <w:sz w:val="32"/>
                <w:szCs w:val="32"/>
              </w:rPr>
              <w:t>财政拨款</w:t>
            </w:r>
          </w:p>
        </w:tc>
      </w:tr>
    </w:tbl>
    <w:p>
      <w:pPr>
        <w:widowControl/>
        <w:spacing w:line="600" w:lineRule="exact"/>
        <w:ind w:firstLine="640" w:firstLineChars="200"/>
        <w:jc w:val="left"/>
        <w:rPr>
          <w:rFonts w:hint="eastAsia" w:ascii="仿宋_GB2312" w:hAnsi="仿宋_GB2312" w:eastAsia="仿宋_GB2312" w:cs="仿宋_GB2312"/>
          <w:sz w:val="32"/>
          <w:szCs w:val="32"/>
        </w:rPr>
      </w:pPr>
      <w:bookmarkStart w:id="2" w:name="_GoBack"/>
      <w:bookmarkEnd w:id="2"/>
      <w:r>
        <w:rPr>
          <w:rFonts w:hint="eastAsia" w:ascii="仿宋_GB2312" w:hAnsi="仿宋_GB2312" w:eastAsia="仿宋_GB2312" w:cs="仿宋_GB2312"/>
          <w:sz w:val="32"/>
          <w:szCs w:val="32"/>
        </w:rPr>
        <w:t>成安县辛义乡人民政府，预算编码是808001，根据上述职能设股级党政机构和事业单位9个</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辛义乡行政编制33名，全额事业编制34名，自收自支事业编制4名。党委委员9名，其中书记1名，副书记2名（含乡长1名），人大主席1名，纪委书记1名、组织委员1名、宣传委员1名，武装部长1名，交叉任职的委员副乡长1名；设人大主席1名，人大副主席1名；政府领导班子职数3名，其中乡长1名，副乡长2名。</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纪委委员5名，其中书记、副书记各1名。</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公安派出所所长由副乡长兼任。</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党建工作办公室、综合行政执法队、行政综合服务中心主要负责人可配备副科级干部。</w:t>
      </w:r>
    </w:p>
    <w:p>
      <w:pPr>
        <w:spacing w:line="58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党政综合办公室</w:t>
      </w:r>
      <w:r>
        <w:rPr>
          <w:rFonts w:hint="eastAsia" w:eastAsia="仿宋_GB2312"/>
          <w:sz w:val="32"/>
          <w:szCs w:val="32"/>
        </w:rPr>
        <w:t>（挂</w:t>
      </w:r>
      <w:r>
        <w:rPr>
          <w:rFonts w:eastAsia="仿宋_GB2312"/>
          <w:sz w:val="32"/>
          <w:szCs w:val="32"/>
        </w:rPr>
        <w:t>财政所牌子</w:t>
      </w:r>
      <w:r>
        <w:rPr>
          <w:rFonts w:hint="eastAsia"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主要</w:t>
      </w:r>
      <w:r>
        <w:rPr>
          <w:rFonts w:eastAsia="仿宋_GB2312"/>
          <w:sz w:val="32"/>
          <w:szCs w:val="32"/>
        </w:rPr>
        <w:t>职责：负责乡镇党政综合协调、公文运转、保密机要、人事管理、信访稳定、后勤保障等工作；按权限负责基层社区社会组织的分类指导和业务指导；负责监督检查和指导所属单位和行政村的档案工作；按权限负责社区工作者的日常管理工作；负责本行政区域内村务公开工作的指导、监督；负责本行政区域内村民委员会成员的任期和离任经济责任审计工作；负责辖区内农村集体资产管理的指导和监督，按分工和权限负责村集体财务管理工作；加强党对农村经济建设的领导，巩固和加强农业基础地位，保障重要农产品有效供给和促进农民持续增收；根据国家计划，决定本行政区域内经济、文化事业和公共事业建设计划；审查和批准本行政区域内的财政预算和预算执行情况的报告；做好信访工作，畅通信访渠道，处理来信、接待来访；按权限落实好农村重点改革任务；负责辖区内的统计工作。履行统计职责，广泛引导、动员和组织社会力量积极参与并认真配合做好国家规定的周期性普查工作。</w:t>
      </w:r>
    </w:p>
    <w:p>
      <w:pPr>
        <w:spacing w:line="58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党建工作办公室</w:t>
      </w:r>
      <w:r>
        <w:rPr>
          <w:rFonts w:hint="eastAsia" w:eastAsia="仿宋_GB2312"/>
          <w:sz w:val="32"/>
          <w:szCs w:val="32"/>
        </w:rPr>
        <w:t>（</w:t>
      </w:r>
      <w:r>
        <w:rPr>
          <w:rFonts w:eastAsia="仿宋_GB2312"/>
          <w:sz w:val="32"/>
          <w:szCs w:val="32"/>
        </w:rPr>
        <w:t>挂人大主席团办公室牌子</w:t>
      </w:r>
      <w:r>
        <w:rPr>
          <w:rFonts w:hint="eastAsia"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主要职责：宣传执行党的路线、方针、政策，宣传和执行党中央、上级党组织和本级党组织的决议；维护和执行党的纪律，监督党员干部和其他任何工作人员严格遵守国家法律法规；负责乡镇党委自身建设和基层党组织建设，以及其他隶属乡镇党委的党组织建设；负责下级党的基层组织选举工作，对下级党组织的成立或撤销作出决定；负责非公有制企业和社会组织党建工作，扩大新兴领域党建有效覆盖；加强党员队伍建设，对党员进行教育、管理、监督和服务，做好经常性的发展党员工作，加强流动党员管理；做好人才服务工作，发现、培养、推荐党员和群众中的优秀人才；落实意识形态工作责任制，组织党员群众学习习近平新时代中国特色社会主义思想，培育和践行社会主义核心价值观，加强精神文明建设和文化建设；落实统一战线工作任务要求，做好民族事务工作；根据委托授权负责本辖区内的宗教事务管理工作。</w:t>
      </w:r>
    </w:p>
    <w:p>
      <w:pPr>
        <w:spacing w:line="580" w:lineRule="exact"/>
        <w:ind w:firstLine="640" w:firstLineChars="200"/>
        <w:rPr>
          <w:rFonts w:eastAsia="仿宋_GB2312"/>
          <w:sz w:val="32"/>
          <w:szCs w:val="32"/>
        </w:rPr>
      </w:pPr>
      <w:r>
        <w:rPr>
          <w:rFonts w:eastAsia="仿宋_GB2312"/>
          <w:sz w:val="32"/>
          <w:szCs w:val="32"/>
        </w:rPr>
        <w:t>领导辖区内工会、共青团、妇联等工作；按权限负责村民委员会的设立、撤销、范围调整等工作；负责指导居民委员会的换届选举工作；指导村民委员会建立健全各项自治制度，并予以备案</w:t>
      </w:r>
      <w:r>
        <w:rPr>
          <w:rFonts w:hint="eastAsia"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领导辖区内人大工作，选举本级人民代表大会主席、副主席，乡镇长、副乡镇长；听取和审查乡镇人民政府工作报告；办理常务委员会交办的监督、选举以及其他工作，并向常务委员会报告工作。</w:t>
      </w:r>
    </w:p>
    <w:p>
      <w:pPr>
        <w:spacing w:line="58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应急管理办公室</w:t>
      </w:r>
    </w:p>
    <w:p>
      <w:pPr>
        <w:spacing w:line="580" w:lineRule="exact"/>
        <w:ind w:firstLine="640" w:firstLineChars="200"/>
        <w:rPr>
          <w:rFonts w:eastAsia="仿宋_GB2312"/>
          <w:sz w:val="32"/>
          <w:szCs w:val="32"/>
        </w:rPr>
      </w:pPr>
      <w:r>
        <w:rPr>
          <w:rFonts w:eastAsia="仿宋_GB2312"/>
          <w:sz w:val="32"/>
          <w:szCs w:val="32"/>
        </w:rPr>
        <w:t>主要职责：加强本辖区生产经营单位安全生产状况的监督检查，协助上级有关部门依法履行安全生产监督管理职责；负责本辖区的消防工作，开展消防宣传、防火巡查、隐患查改；指导村民委员会开展群众性的消防工作；负责辖区防汛抗洪、抗旱等相关工作；负责辖区防灾减灾等相关工作；依法做好本辖区的突发事件应对工作，制定本级突发事件应急预案，组织开展应急演练；负责辖区应急管理工作，建立健全应急联动机制，严格落实应急管理责任，加强基层综合应急队伍建设和应急保障能力建设；负责本辖区内自然灾害救助工作，做好自然灾害风险排查、隐患治理、救助准备、信息报告、先期处置、应急救助、灾后救助和救助款物管理等工作；履行辖区护林和森林草原防火职责，明确责任分工、开展宣传教育、组织防火巡查巡护、组建火灾扑救队伍、做好防灭火物资储备、制定火灾应急处置办法、组织开展应急演练、做好火灾预防扑救。</w:t>
      </w:r>
    </w:p>
    <w:p>
      <w:pPr>
        <w:spacing w:line="58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自然资源和生态环境办公室</w:t>
      </w:r>
    </w:p>
    <w:p>
      <w:pPr>
        <w:spacing w:line="580" w:lineRule="exact"/>
        <w:ind w:firstLine="640" w:firstLineChars="200"/>
        <w:rPr>
          <w:rFonts w:eastAsia="仿宋_GB2312"/>
          <w:sz w:val="32"/>
          <w:szCs w:val="32"/>
        </w:rPr>
      </w:pPr>
      <w:r>
        <w:rPr>
          <w:rFonts w:eastAsia="仿宋_GB2312"/>
          <w:sz w:val="32"/>
          <w:szCs w:val="32"/>
        </w:rPr>
        <w:t>主要职责：负责辖区基本农田保护管理工作；动员和组织社会力量参与土地调查工作；负责本辖区乡道、村道建设管理工作；承担农村土地承包经营纠纷调解相关工作；负责本区域范围内的村镇规划建设管理工作；负责辖区内农村土地承包管理工作；按照职责分工负责辖区市容、村容和环境卫生、农村生活污水管理责任；按照职责分工依法履行土壤污染防治和安全利用职责；按照职责分工负责本辖区河湖的水资源保护、水域岸线管理、水污染防治、水环境治理等工作，协助上级人民政府及其有关部门做好地下水相关管理和监督工作；根据本地区的实际，组织开展大气污染防治工作；落实属地监管责任，做好禁止露天焚烧秸秆工作；根据本地区的实际，组织开展扬尘污染防治工作；按照职责分工做好乡村环境保护和治理工作，配合做好联合巡查工作，及时查处影响乡村环境保护和治理的行为；按照职责分工和相关预案开展突发环境事件应急处置工作，按照有关规定向上级报告；负责辖区自然资源保护和监管工作；组织开展全民义务植树、古树名木保护和草原建设保护利用工作</w:t>
      </w:r>
      <w:r>
        <w:rPr>
          <w:rFonts w:hint="eastAsia"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综合行政执法队</w:t>
      </w:r>
    </w:p>
    <w:p>
      <w:pPr>
        <w:spacing w:line="580" w:lineRule="exact"/>
        <w:ind w:firstLine="640" w:firstLineChars="200"/>
        <w:rPr>
          <w:rFonts w:eastAsia="仿宋_GB2312"/>
          <w:sz w:val="32"/>
          <w:szCs w:val="32"/>
        </w:rPr>
      </w:pPr>
      <w:r>
        <w:rPr>
          <w:rFonts w:eastAsia="仿宋_GB2312"/>
          <w:sz w:val="32"/>
          <w:szCs w:val="32"/>
        </w:rPr>
        <w:t>主要职责：根据法律法规和省政府授权，承担综合行政执法工作；</w:t>
      </w:r>
      <w:r>
        <w:rPr>
          <w:rFonts w:hint="eastAsia" w:eastAsia="仿宋_GB2312"/>
          <w:sz w:val="32"/>
          <w:szCs w:val="32"/>
        </w:rPr>
        <w:t>负责辖区内民族宗教事务的执法工作；</w:t>
      </w:r>
      <w:r>
        <w:rPr>
          <w:rFonts w:eastAsia="仿宋_GB2312"/>
          <w:sz w:val="32"/>
          <w:szCs w:val="32"/>
        </w:rPr>
        <w:t>负责辖区内的食品安全隐患排查、信息报告、协助执法和宣传教育等工作，做好本行政区域内小作坊、小餐饮、小摊点的监督管理工作；协助有关部门查处传销行为；负责乡村道路交通安全监督管理工作；承担企业劳动争议调解相关工作；按照职责分工做好“散乱污”企业综合整治工作。</w:t>
      </w:r>
    </w:p>
    <w:p>
      <w:pPr>
        <w:spacing w:line="580" w:lineRule="exact"/>
        <w:ind w:firstLine="640" w:firstLineChars="200"/>
        <w:rPr>
          <w:rFonts w:eastAsia="仿宋_GB2312"/>
          <w:sz w:val="32"/>
          <w:szCs w:val="32"/>
        </w:rPr>
      </w:pPr>
      <w:r>
        <w:rPr>
          <w:rFonts w:eastAsia="仿宋_GB2312"/>
          <w:sz w:val="32"/>
          <w:szCs w:val="32"/>
        </w:rPr>
        <w:t>制定本辖区社会治安综合治理规划，检查、推动社会治安综合治理措施的落实，协调和督促有关部门开展法制宣传教育工作、调解各类纠纷</w:t>
      </w:r>
      <w:r>
        <w:rPr>
          <w:rFonts w:hint="eastAsia" w:eastAsia="仿宋_GB2312"/>
          <w:sz w:val="32"/>
          <w:szCs w:val="32"/>
        </w:rPr>
        <w:t>；</w:t>
      </w:r>
      <w:r>
        <w:rPr>
          <w:rFonts w:eastAsia="仿宋_GB2312"/>
          <w:sz w:val="32"/>
          <w:szCs w:val="32"/>
        </w:rPr>
        <w:t>组织群众开展各种形式的治安防范活动和军民、警民联防活动;指导、帮助村民委员会做好社会治安综合治理工作</w:t>
      </w:r>
      <w:r>
        <w:rPr>
          <w:rFonts w:hint="eastAsia" w:eastAsia="仿宋_GB2312"/>
          <w:sz w:val="32"/>
          <w:szCs w:val="32"/>
        </w:rPr>
        <w:t>；</w:t>
      </w:r>
      <w:r>
        <w:rPr>
          <w:rFonts w:eastAsia="仿宋_GB2312"/>
          <w:sz w:val="32"/>
          <w:szCs w:val="32"/>
        </w:rPr>
        <w:t>组织协调辖区社会治安防控体系建设及普法工作，开展基层平安创建活动及各种形式的治安防范活动。加强群防群治组织建设，动员、组织人民群众维护社会治安和社会秩序，做好防范邪教工作</w:t>
      </w:r>
      <w:r>
        <w:rPr>
          <w:rFonts w:hint="eastAsia" w:eastAsia="仿宋_GB2312"/>
          <w:sz w:val="32"/>
          <w:szCs w:val="32"/>
        </w:rPr>
        <w:t>；</w:t>
      </w:r>
      <w:r>
        <w:rPr>
          <w:rFonts w:eastAsia="仿宋_GB2312"/>
          <w:sz w:val="32"/>
          <w:szCs w:val="32"/>
        </w:rPr>
        <w:t>承担民间纠纷调解相关工作</w:t>
      </w:r>
      <w:r>
        <w:rPr>
          <w:rFonts w:hint="eastAsia" w:eastAsia="仿宋_GB2312"/>
          <w:sz w:val="32"/>
          <w:szCs w:val="32"/>
        </w:rPr>
        <w:t>；</w:t>
      </w:r>
      <w:r>
        <w:rPr>
          <w:rFonts w:eastAsia="仿宋_GB2312"/>
          <w:sz w:val="32"/>
          <w:szCs w:val="32"/>
        </w:rPr>
        <w:t>组织相关单位开展社区矫正工作和对户籍或居住地在本辖区的刑满释放人员做好接受建档和安置帮教工作，做好重点帮教对象的衔接工作</w:t>
      </w:r>
      <w:r>
        <w:rPr>
          <w:rFonts w:hint="eastAsia" w:eastAsia="仿宋_GB2312"/>
          <w:sz w:val="32"/>
          <w:szCs w:val="32"/>
        </w:rPr>
        <w:t>；</w:t>
      </w:r>
      <w:r>
        <w:rPr>
          <w:rFonts w:eastAsia="仿宋_GB2312"/>
          <w:sz w:val="32"/>
          <w:szCs w:val="32"/>
        </w:rPr>
        <w:t>协调有关部门做好未成年人的保护工作；负责社区戒毒、社区康复工作。</w:t>
      </w:r>
    </w:p>
    <w:p>
      <w:pPr>
        <w:spacing w:line="58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行政综合服务中心</w:t>
      </w:r>
    </w:p>
    <w:p>
      <w:pPr>
        <w:spacing w:line="580" w:lineRule="exact"/>
        <w:ind w:firstLine="640" w:firstLineChars="200"/>
        <w:rPr>
          <w:rFonts w:eastAsia="仿宋_GB2312"/>
          <w:sz w:val="32"/>
          <w:szCs w:val="32"/>
        </w:rPr>
      </w:pPr>
      <w:r>
        <w:rPr>
          <w:rFonts w:eastAsia="仿宋_GB2312"/>
          <w:sz w:val="32"/>
          <w:szCs w:val="32"/>
        </w:rPr>
        <w:t>主要职责：加大信用信息归集应用力度，落实守信联合激励和失信联合惩戒制度，推进信用分级分类监管；根据法律法规和省政府授权、承担行政审批服务工作；开展就业政策宣传、就业援助等就业服务工作；按照职责分工负责做好辖区城乡居民基本养老保险工作。</w:t>
      </w:r>
    </w:p>
    <w:p>
      <w:pPr>
        <w:spacing w:line="58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农业综合服务中心</w:t>
      </w:r>
    </w:p>
    <w:p>
      <w:pPr>
        <w:spacing w:line="580" w:lineRule="exact"/>
        <w:ind w:firstLine="640" w:firstLineChars="200"/>
        <w:rPr>
          <w:rFonts w:eastAsia="仿宋_GB2312"/>
          <w:sz w:val="32"/>
          <w:szCs w:val="32"/>
        </w:rPr>
      </w:pPr>
      <w:r>
        <w:rPr>
          <w:rFonts w:eastAsia="仿宋_GB2312"/>
          <w:sz w:val="32"/>
          <w:szCs w:val="32"/>
        </w:rPr>
        <w:t>主要职责：按职责分工负责农产品质量安全监管工作，加强农产品质量安全知识的宣传，及时上报有关单位和个人报告的农产品质量安全事故；依法组织群众协助做好本辖区的动物疫病预防与控制工作，组织饲养动物的单位和个人做好强制免疫工作；负责本辖区农村扶贫开发的具体实施工作；引导和扶持农业机械服务组织的发展，做好先进适用的农业机械推广和服务工作；负责组织当地农业生产经营组织和农业生产者对农业有害生物实施综合治理；按照职责分工负责辖区农民负担监管工作，组织开展农民负担专项检查；按照职责分工加强畜禽遗传资源保护，协助有关部门做好辖区畜禽养殖污染防治工作；加强辖区内的水土保持工作，开展水土流失综合治理，预防和减轻水土流失；负责本行政区域内人居环境改善工作</w:t>
      </w:r>
      <w:r>
        <w:rPr>
          <w:rFonts w:hint="eastAsia" w:eastAsia="仿宋_GB2312"/>
          <w:sz w:val="32"/>
          <w:szCs w:val="32"/>
        </w:rPr>
        <w:t>；</w:t>
      </w:r>
      <w:r>
        <w:rPr>
          <w:rFonts w:eastAsia="仿宋_GB2312"/>
          <w:sz w:val="32"/>
          <w:szCs w:val="32"/>
        </w:rPr>
        <w:t>协助上级人民政府有关部门做好本行政区域内农村供水用水管理等相关工作。</w:t>
      </w:r>
    </w:p>
    <w:p>
      <w:pPr>
        <w:spacing w:line="580" w:lineRule="exact"/>
        <w:ind w:firstLine="640" w:firstLineChars="200"/>
        <w:rPr>
          <w:rFonts w:eastAsia="仿宋_GB2312"/>
          <w:sz w:val="32"/>
          <w:szCs w:val="32"/>
        </w:rPr>
      </w:pPr>
      <w:r>
        <w:rPr>
          <w:rFonts w:hint="eastAsia" w:eastAsia="仿宋_GB2312"/>
          <w:sz w:val="32"/>
          <w:szCs w:val="32"/>
        </w:rPr>
        <w:t>8、</w:t>
      </w:r>
      <w:r>
        <w:rPr>
          <w:rFonts w:eastAsia="仿宋_GB2312"/>
          <w:sz w:val="32"/>
          <w:szCs w:val="32"/>
        </w:rPr>
        <w:t>退役军人服务站</w:t>
      </w:r>
    </w:p>
    <w:p>
      <w:pPr>
        <w:spacing w:line="580" w:lineRule="exact"/>
        <w:ind w:firstLine="640" w:firstLineChars="200"/>
        <w:rPr>
          <w:rFonts w:eastAsia="仿宋_GB2312"/>
          <w:sz w:val="32"/>
          <w:szCs w:val="32"/>
        </w:rPr>
      </w:pPr>
      <w:r>
        <w:rPr>
          <w:rFonts w:eastAsia="仿宋_GB2312"/>
          <w:sz w:val="32"/>
          <w:szCs w:val="32"/>
        </w:rPr>
        <w:t>主要职责：依照法定权限，做好本辖区的征兵、民兵、预备役、国防教育、国民经济动员、人民防空、国防交通、国防设施保护、拥军优属、退役军人服务等工作。</w:t>
      </w:r>
    </w:p>
    <w:p>
      <w:pPr>
        <w:spacing w:line="580" w:lineRule="exact"/>
        <w:ind w:firstLine="640" w:firstLineChars="200"/>
        <w:rPr>
          <w:rFonts w:eastAsia="仿宋_GB2312"/>
          <w:sz w:val="32"/>
          <w:szCs w:val="32"/>
        </w:rPr>
      </w:pPr>
      <w:r>
        <w:rPr>
          <w:rFonts w:hint="eastAsia" w:eastAsia="仿宋_GB2312"/>
          <w:sz w:val="32"/>
          <w:szCs w:val="32"/>
        </w:rPr>
        <w:t>9、社会事业服务中心</w:t>
      </w:r>
    </w:p>
    <w:p>
      <w:pPr>
        <w:spacing w:line="580" w:lineRule="exact"/>
        <w:ind w:firstLine="640" w:firstLineChars="200"/>
        <w:rPr>
          <w:rFonts w:eastAsia="仿宋_GB2312"/>
          <w:sz w:val="32"/>
          <w:szCs w:val="32"/>
        </w:rPr>
      </w:pPr>
      <w:r>
        <w:rPr>
          <w:rFonts w:hint="eastAsia" w:eastAsia="仿宋_GB2312"/>
          <w:sz w:val="32"/>
          <w:szCs w:val="32"/>
        </w:rPr>
        <w:t>主要职责：</w:t>
      </w:r>
      <w:r>
        <w:rPr>
          <w:rFonts w:eastAsia="仿宋_GB2312"/>
          <w:sz w:val="32"/>
          <w:szCs w:val="32"/>
        </w:rPr>
        <w:t>负责加强本辖区健康教育工作及其专业人才培养、建立健康知识和技能核心信息发布制度，普及健康科学知识，向公众提供科学、准确的健康信息</w:t>
      </w:r>
      <w:r>
        <w:rPr>
          <w:rFonts w:hint="eastAsia" w:eastAsia="仿宋_GB2312"/>
          <w:sz w:val="32"/>
          <w:szCs w:val="32"/>
        </w:rPr>
        <w:t>；</w:t>
      </w:r>
      <w:r>
        <w:rPr>
          <w:rFonts w:eastAsia="仿宋_GB2312"/>
          <w:sz w:val="32"/>
          <w:szCs w:val="32"/>
        </w:rPr>
        <w:t>负责本辖区健康中国建设、健全实施健康中国行动领导推进工作机制，逐项抓好任务落实</w:t>
      </w:r>
      <w:r>
        <w:rPr>
          <w:rFonts w:hint="eastAsia" w:eastAsia="仿宋_GB2312"/>
          <w:sz w:val="32"/>
          <w:szCs w:val="32"/>
        </w:rPr>
        <w:t>；</w:t>
      </w:r>
      <w:r>
        <w:rPr>
          <w:rFonts w:eastAsia="仿宋_GB2312"/>
          <w:sz w:val="32"/>
          <w:szCs w:val="32"/>
        </w:rPr>
        <w:t>负责辖区内人口与计划生育工作</w:t>
      </w:r>
      <w:r>
        <w:rPr>
          <w:rFonts w:hint="eastAsia" w:eastAsia="仿宋_GB2312"/>
          <w:sz w:val="32"/>
          <w:szCs w:val="32"/>
        </w:rPr>
        <w:t>；</w:t>
      </w:r>
      <w:r>
        <w:rPr>
          <w:rFonts w:eastAsia="仿宋_GB2312"/>
          <w:sz w:val="32"/>
          <w:szCs w:val="32"/>
        </w:rPr>
        <w:t>组织开展全民健身活动，建立健全全民健身工作协调机制</w:t>
      </w:r>
      <w:r>
        <w:rPr>
          <w:rFonts w:hint="eastAsia" w:eastAsia="仿宋_GB2312"/>
          <w:sz w:val="32"/>
          <w:szCs w:val="32"/>
        </w:rPr>
        <w:t>；</w:t>
      </w:r>
      <w:r>
        <w:rPr>
          <w:rFonts w:eastAsia="仿宋_GB2312"/>
          <w:sz w:val="32"/>
          <w:szCs w:val="32"/>
        </w:rPr>
        <w:t>组织实施居家养老服务工作、建设居家养老服务设施、落实政府购买服务、经费补贴等扶持政策措施，组织、指导社会各界参与居家养老和空巢、留守老年人关爱服务</w:t>
      </w:r>
      <w:r>
        <w:rPr>
          <w:rFonts w:hint="eastAsia" w:eastAsia="仿宋_GB2312"/>
          <w:sz w:val="32"/>
          <w:szCs w:val="32"/>
        </w:rPr>
        <w:t>；</w:t>
      </w:r>
      <w:r>
        <w:rPr>
          <w:rFonts w:eastAsia="仿宋_GB2312"/>
          <w:sz w:val="32"/>
          <w:szCs w:val="32"/>
        </w:rPr>
        <w:t>按权限开展社会救助工作</w:t>
      </w:r>
      <w:r>
        <w:rPr>
          <w:rFonts w:hint="eastAsia" w:eastAsia="仿宋_GB2312"/>
          <w:sz w:val="32"/>
          <w:szCs w:val="32"/>
        </w:rPr>
        <w:t>；</w:t>
      </w:r>
      <w:r>
        <w:rPr>
          <w:rFonts w:eastAsia="仿宋_GB2312"/>
          <w:sz w:val="32"/>
          <w:szCs w:val="32"/>
        </w:rPr>
        <w:t>负责本辖区爱国卫生日常工作</w:t>
      </w:r>
      <w:r>
        <w:rPr>
          <w:rFonts w:hint="eastAsia" w:eastAsia="仿宋_GB2312"/>
          <w:sz w:val="32"/>
          <w:szCs w:val="32"/>
        </w:rPr>
        <w:t>；</w:t>
      </w:r>
      <w:r>
        <w:rPr>
          <w:rFonts w:eastAsia="仿宋_GB2312"/>
          <w:sz w:val="32"/>
          <w:szCs w:val="32"/>
        </w:rPr>
        <w:t>按权限做好残疾人保障工作</w:t>
      </w:r>
      <w:r>
        <w:rPr>
          <w:rFonts w:hint="eastAsia" w:eastAsia="仿宋_GB2312"/>
          <w:sz w:val="32"/>
          <w:szCs w:val="32"/>
        </w:rPr>
        <w:t>；</w:t>
      </w:r>
      <w:r>
        <w:rPr>
          <w:rFonts w:eastAsia="仿宋_GB2312"/>
          <w:sz w:val="32"/>
          <w:szCs w:val="32"/>
        </w:rPr>
        <w:t>负责组织开展预防精神障碍发生、促进精神障碍患者康复等工作。</w:t>
      </w:r>
    </w:p>
    <w:p>
      <w:pPr>
        <w:spacing w:line="580" w:lineRule="exact"/>
        <w:ind w:firstLine="640" w:firstLineChars="200"/>
        <w:rPr>
          <w:rFonts w:eastAsia="仿宋_GB2312"/>
          <w:sz w:val="32"/>
          <w:szCs w:val="32"/>
        </w:rPr>
      </w:pPr>
      <w:r>
        <w:rPr>
          <w:rFonts w:eastAsia="仿宋_GB2312"/>
          <w:sz w:val="32"/>
          <w:szCs w:val="32"/>
        </w:rPr>
        <w:t>领导辖区内传染病防治工作，组织开展群众性卫生活动，进行预防传染病的健康教育；组织开展本辖区科普活动，宣传科学、文明的生产和生活方式；负责本辖区综合文化站、新时代文明实践中心（所、站）建设和日常管理，实施免费开放</w:t>
      </w:r>
      <w:r>
        <w:rPr>
          <w:rFonts w:hint="eastAsia" w:eastAsia="仿宋_GB2312"/>
          <w:sz w:val="32"/>
          <w:szCs w:val="32"/>
        </w:rPr>
        <w:t>。</w:t>
      </w:r>
    </w:p>
    <w:p>
      <w:pPr>
        <w:spacing w:line="600" w:lineRule="exact"/>
        <w:ind w:firstLine="640"/>
        <w:rPr>
          <w:rFonts w:ascii="黑体" w:hAnsi="黑体" w:eastAsia="黑体" w:cs="楷体"/>
          <w:bCs/>
          <w:sz w:val="32"/>
          <w:szCs w:val="32"/>
        </w:rPr>
      </w:pPr>
      <w:r>
        <w:rPr>
          <w:rFonts w:hint="eastAsia" w:ascii="黑体" w:hAnsi="黑体" w:eastAsia="黑体" w:cs="楷体"/>
          <w:bCs/>
          <w:sz w:val="32"/>
          <w:szCs w:val="32"/>
        </w:rPr>
        <w:t>二、部门预算安排的总体情况</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按照预算管理有关规定，目前我部门预算的编制实行综合预算制度，即全部收入和支出都反映在预算中。</w:t>
      </w:r>
    </w:p>
    <w:p>
      <w:pPr>
        <w:spacing w:line="600" w:lineRule="exact"/>
        <w:ind w:firstLine="640"/>
        <w:rPr>
          <w:rFonts w:ascii="楷体" w:hAnsi="楷体" w:eastAsia="楷体" w:cs="楷体"/>
          <w:b/>
          <w:bCs/>
          <w:sz w:val="32"/>
          <w:szCs w:val="32"/>
        </w:rPr>
      </w:pPr>
      <w:r>
        <w:rPr>
          <w:rFonts w:hint="eastAsia" w:ascii="楷体" w:hAnsi="楷体" w:eastAsia="楷体" w:cs="楷体"/>
          <w:b/>
          <w:bCs/>
          <w:sz w:val="32"/>
          <w:szCs w:val="32"/>
        </w:rPr>
        <w:t>1、收入说明</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2021年预算收入574.44万元，其中：一般公共预算收入574.44万元，政府性基金收入0万元，国有资本经营收入0万元，事业收入0万元，其他收入0万元。</w:t>
      </w:r>
    </w:p>
    <w:p>
      <w:pPr>
        <w:spacing w:line="600" w:lineRule="exact"/>
        <w:ind w:firstLine="640"/>
        <w:rPr>
          <w:rFonts w:ascii="楷体" w:hAnsi="楷体" w:eastAsia="楷体" w:cs="楷体"/>
          <w:b/>
          <w:bCs/>
          <w:sz w:val="32"/>
          <w:szCs w:val="32"/>
        </w:rPr>
      </w:pPr>
      <w:r>
        <w:rPr>
          <w:rFonts w:hint="eastAsia" w:ascii="楷体" w:hAnsi="楷体" w:eastAsia="楷体" w:cs="楷体"/>
          <w:b/>
          <w:bCs/>
          <w:sz w:val="32"/>
          <w:szCs w:val="32"/>
        </w:rPr>
        <w:t>2、支出说明</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2021年支出预算574.44万元，其中基本支出336.44万元，包括人员经费和日常公用经费；项目支出238.00万元。</w:t>
      </w:r>
    </w:p>
    <w:p>
      <w:pPr>
        <w:spacing w:line="600" w:lineRule="exact"/>
        <w:ind w:firstLine="640"/>
        <w:rPr>
          <w:rFonts w:ascii="楷体" w:hAnsi="楷体" w:eastAsia="楷体" w:cs="楷体"/>
          <w:b/>
          <w:bCs/>
          <w:sz w:val="32"/>
          <w:szCs w:val="32"/>
        </w:rPr>
      </w:pPr>
      <w:r>
        <w:rPr>
          <w:rFonts w:hint="eastAsia" w:ascii="楷体" w:hAnsi="楷体" w:eastAsia="楷体" w:cs="楷体"/>
          <w:b/>
          <w:bCs/>
          <w:sz w:val="32"/>
          <w:szCs w:val="32"/>
        </w:rPr>
        <w:t>3、比上年增减变化情况</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2021年预算收支安排574.44万元，较2020年预算增加145.09万元，其中：基本支出增加73.92万元，主要是财政供养人员增加；项目支出增加71.17万元，主要是增加党报党刊征订费用。</w:t>
      </w:r>
    </w:p>
    <w:p>
      <w:pPr>
        <w:autoSpaceDE w:val="0"/>
        <w:autoSpaceDN w:val="0"/>
        <w:adjustRightInd w:val="0"/>
        <w:spacing w:line="600" w:lineRule="exact"/>
        <w:ind w:left="198" w:firstLine="640" w:firstLineChars="200"/>
        <w:jc w:val="left"/>
        <w:rPr>
          <w:rFonts w:ascii="黑体" w:hAnsi="黑体" w:eastAsia="黑体" w:cs="楷体"/>
          <w:bCs/>
          <w:sz w:val="32"/>
          <w:szCs w:val="32"/>
        </w:rPr>
      </w:pPr>
      <w:r>
        <w:rPr>
          <w:rFonts w:hint="eastAsia" w:ascii="黑体" w:hAnsi="黑体" w:eastAsia="黑体" w:cs="楷体"/>
          <w:bCs/>
          <w:sz w:val="32"/>
          <w:szCs w:val="32"/>
        </w:rPr>
        <w:t>三、机关运行经费安排情况</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机关运行经费共计安排27.9万元，主要用于办公费、水费、电费、邮电费、差旅费、公务用车运行维护费和其他交通费用等日常运行支出。</w:t>
      </w:r>
    </w:p>
    <w:p>
      <w:pPr>
        <w:autoSpaceDE w:val="0"/>
        <w:autoSpaceDN w:val="0"/>
        <w:adjustRightInd w:val="0"/>
        <w:spacing w:line="600" w:lineRule="exact"/>
        <w:ind w:left="198" w:firstLine="640" w:firstLineChars="200"/>
        <w:jc w:val="left"/>
        <w:rPr>
          <w:rFonts w:ascii="黑体" w:hAnsi="黑体" w:eastAsia="黑体" w:cs="楷体"/>
          <w:bCs/>
          <w:sz w:val="32"/>
          <w:szCs w:val="32"/>
        </w:rPr>
      </w:pPr>
      <w:r>
        <w:rPr>
          <w:rFonts w:hint="eastAsia" w:ascii="黑体" w:hAnsi="黑体" w:eastAsia="黑体" w:cs="楷体"/>
          <w:bCs/>
          <w:sz w:val="32"/>
          <w:szCs w:val="32"/>
        </w:rPr>
        <w:t>四、财政拨款“三公”经费预算情况及增减变化原因</w:t>
      </w:r>
    </w:p>
    <w:p>
      <w:pPr>
        <w:autoSpaceDE w:val="0"/>
        <w:autoSpaceDN w:val="0"/>
        <w:adjustRightInd w:val="0"/>
        <w:spacing w:line="600" w:lineRule="exact"/>
        <w:ind w:left="198"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2021年，我单位“三公”经费预算安排1万元，其中因公出国（境）费0万元,较上年数持平；公务用车购置及运维费1万元（其中：公务用车购置费为0万元，公务用车运行费1万元) ，较上年持平；公务接待费0万元，较上年持平。“三公”经费与上年持平。</w:t>
      </w:r>
    </w:p>
    <w:p>
      <w:pPr>
        <w:autoSpaceDE w:val="0"/>
        <w:autoSpaceDN w:val="0"/>
        <w:adjustRightInd w:val="0"/>
        <w:spacing w:line="600" w:lineRule="exact"/>
        <w:ind w:left="198" w:firstLine="640" w:firstLineChars="200"/>
        <w:rPr>
          <w:rFonts w:ascii="仿宋_GB2312" w:hAnsi="仿宋_GB2312" w:eastAsia="仿宋_GB2312" w:cs="仿宋_GB2312"/>
          <w:sz w:val="32"/>
          <w:szCs w:val="32"/>
        </w:rPr>
        <w:sectPr>
          <w:headerReference r:id="rId3" w:type="default"/>
          <w:footerReference r:id="rId4" w:type="default"/>
          <w:pgSz w:w="11906" w:h="16838"/>
          <w:pgMar w:top="1757" w:right="1531" w:bottom="1474" w:left="1531" w:header="851" w:footer="992" w:gutter="0"/>
          <w:cols w:space="0" w:num="1"/>
          <w:docGrid w:type="lines" w:linePitch="312" w:charSpace="0"/>
        </w:sectPr>
      </w:pPr>
    </w:p>
    <w:p>
      <w:pPr>
        <w:spacing w:line="600" w:lineRule="exact"/>
        <w:rPr>
          <w:rFonts w:ascii="黑体" w:hAnsi="黑体" w:eastAsia="黑体" w:cs="楷体"/>
          <w:bCs/>
          <w:sz w:val="32"/>
          <w:szCs w:val="32"/>
        </w:rPr>
      </w:pPr>
      <w:r>
        <w:rPr>
          <w:rFonts w:hint="eastAsia" w:ascii="黑体" w:hAnsi="黑体" w:eastAsia="黑体" w:cs="楷体"/>
          <w:bCs/>
          <w:sz w:val="32"/>
          <w:szCs w:val="32"/>
        </w:rPr>
        <w:t>五、绩效预算信息</w:t>
      </w:r>
    </w:p>
    <w:p>
      <w:pPr>
        <w:spacing w:line="560" w:lineRule="exact"/>
        <w:jc w:val="left"/>
        <w:rPr>
          <w:rFonts w:ascii="仿宋" w:hAnsi="仿宋" w:eastAsia="仿宋" w:cs="仿宋"/>
          <w:sz w:val="32"/>
          <w:szCs w:val="32"/>
        </w:rPr>
      </w:pPr>
      <w:bookmarkStart w:id="0" w:name="_Toc471398463"/>
      <w:r>
        <w:rPr>
          <w:rFonts w:hint="eastAsia" w:ascii="仿宋" w:hAnsi="仿宋" w:eastAsia="仿宋" w:cs="仿宋"/>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仿宋_GB2312" w:hAnsi="仿宋_GB2312" w:eastAsia="仿宋_GB2312"/>
          <w:sz w:val="32"/>
        </w:rPr>
      </w:pPr>
      <w:r>
        <w:rPr>
          <w:rFonts w:hint="eastAsia" w:ascii="仿宋_GB2312" w:hAnsi="仿宋_GB2312" w:eastAsia="仿宋_GB2312"/>
          <w:sz w:val="32"/>
        </w:rPr>
        <w:t>以习近平新时代中国特色社会主义思想为指导，全面贯彻落实党的十九届五次全会精神，以党的建设为统揽，紧扣“乡村振兴”战略，坚定信心、砥砺奋进，持续推进和改善民生，维护社会和谐稳定，提升群众幸福指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_GB2312" w:eastAsia="仿宋_GB2312"/>
          <w:sz w:val="32"/>
        </w:rPr>
      </w:pPr>
      <w:r>
        <w:rPr>
          <w:rFonts w:hint="eastAsia" w:ascii="仿宋_GB2312" w:hAnsi="仿宋_GB2312" w:eastAsia="仿宋_GB2312"/>
          <w:sz w:val="32"/>
        </w:rPr>
        <w:t>完成县委对本年度各项考评指标任务。在今年收支预算内，确保完成以下整体目标：目标1：围绕项目建设，突出发展农业经济；目标2：全力推动社会各项事业，促进经济社会协调发展；目标3：巩固农村环境整治工作成果，建设美丽、宜居新镇；目标4：巩固</w:t>
      </w:r>
      <w:r>
        <w:rPr>
          <w:rFonts w:ascii="仿宋_GB2312" w:hAnsi="仿宋_GB2312" w:eastAsia="仿宋_GB2312"/>
          <w:sz w:val="32"/>
        </w:rPr>
        <w:t>精准扶贫</w:t>
      </w:r>
      <w:r>
        <w:rPr>
          <w:rFonts w:hint="eastAsia" w:ascii="仿宋_GB2312" w:hAnsi="仿宋_GB2312" w:eastAsia="仿宋_GB2312"/>
          <w:sz w:val="32"/>
        </w:rPr>
        <w:t>成果，</w:t>
      </w:r>
      <w:r>
        <w:rPr>
          <w:rFonts w:ascii="仿宋_GB2312" w:hAnsi="仿宋_GB2312" w:eastAsia="仿宋_GB2312"/>
          <w:sz w:val="32"/>
        </w:rPr>
        <w:t>全力推进</w:t>
      </w:r>
      <w:r>
        <w:rPr>
          <w:rFonts w:hint="eastAsia" w:ascii="仿宋_GB2312" w:hAnsi="仿宋_GB2312" w:eastAsia="仿宋_GB2312"/>
          <w:sz w:val="32"/>
        </w:rPr>
        <w:t>乡村振兴工作</w:t>
      </w:r>
      <w:r>
        <w:rPr>
          <w:rFonts w:ascii="仿宋_GB2312" w:hAnsi="仿宋_GB2312" w:eastAsia="仿宋_GB2312"/>
          <w:sz w:val="32"/>
        </w:rPr>
        <w:t>。</w:t>
      </w:r>
    </w:p>
    <w:p>
      <w:pPr>
        <w:spacing w:line="560" w:lineRule="exact"/>
        <w:jc w:val="left"/>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分项绩效目标</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left"/>
        <w:rPr>
          <w:rFonts w:ascii="仿宋_GB2312" w:hAnsi="仿宋_GB2312" w:eastAsia="仿宋_GB2312"/>
          <w:sz w:val="32"/>
        </w:rPr>
      </w:pPr>
      <w:r>
        <w:rPr>
          <w:rFonts w:ascii="仿宋_GB2312" w:hAnsi="仿宋_GB2312" w:eastAsia="仿宋_GB2312"/>
          <w:sz w:val="32"/>
        </w:rPr>
        <w:t>1、促进经济发展、增加农民收入职责绩效目标：持续推动乡村经济发展，以壮大村集体经济、促进农民持续增收为目标，大力扶持壮大有机农业种植、肉鸡养殖产业、苗木种植合作组织发展，充分发挥示范引领作用，促进乡域经济发展和农民增收。持续提升贫困群众满意度，巩固脱贫成果、完善防贫机制，扎实有效推进脱贫攻坚工作，困难群众满意度达到95%以上。</w:t>
      </w:r>
    </w:p>
    <w:p>
      <w:pPr>
        <w:spacing w:line="560" w:lineRule="exact"/>
        <w:ind w:firstLine="707" w:firstLineChars="221"/>
        <w:rPr>
          <w:rFonts w:hint="eastAsia" w:ascii="仿宋_GB2312" w:eastAsia="仿宋_GB2312"/>
          <w:sz w:val="32"/>
          <w:szCs w:val="32"/>
        </w:rPr>
      </w:pPr>
      <w:r>
        <w:rPr>
          <w:rFonts w:ascii="仿宋_GB2312" w:hAnsi="仿宋_GB2312" w:eastAsia="仿宋_GB2312"/>
          <w:sz w:val="32"/>
        </w:rPr>
        <w:t>2、</w:t>
      </w:r>
      <w:r>
        <w:rPr>
          <w:rFonts w:hint="eastAsia" w:ascii="仿宋_GB2312" w:eastAsia="仿宋_GB2312"/>
          <w:sz w:val="32"/>
          <w:szCs w:val="32"/>
        </w:rPr>
        <w:t>强化公共服务、着力改善民生职责绩效目标：加强农田水利、基础设施建设，做好农村人居环境整治工作，2021年硬化道路不低于5条；做好农村社会保障工作，提升为民服务能力，其中正常工作保障率、惠农补贴落实率达到95%以上。</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707"/>
        <w:jc w:val="left"/>
        <w:rPr>
          <w:rFonts w:ascii="仿宋_GB2312" w:hAnsi="仿宋_GB2312" w:eastAsia="仿宋_GB2312"/>
          <w:sz w:val="32"/>
        </w:rPr>
      </w:pPr>
      <w:r>
        <w:rPr>
          <w:rFonts w:ascii="仿宋_GB2312" w:hAnsi="仿宋_GB2312" w:eastAsia="仿宋_GB2312"/>
          <w:sz w:val="32"/>
        </w:rPr>
        <w:t>3、</w:t>
      </w:r>
      <w:r>
        <w:rPr>
          <w:rFonts w:hint="eastAsia" w:ascii="仿宋_GB2312" w:eastAsia="仿宋_GB2312"/>
          <w:sz w:val="32"/>
          <w:szCs w:val="32"/>
        </w:rPr>
        <w:t>加强社会管理、维护农村稳定职责绩效目标：全面贯彻落实党的路线方针政策，抓好疫情防控、大气治理、扫黑除恶、信访稳定、殡葬改革等工作，其中乡辖中小企业环保达标率、秸秆还田率、政策宣传普及率达到95%以上，火化率100%，文明办丧祭祀100%。</w:t>
      </w:r>
    </w:p>
    <w:p>
      <w:pPr>
        <w:spacing w:line="560" w:lineRule="exact"/>
        <w:ind w:firstLine="707" w:firstLineChars="221"/>
        <w:rPr>
          <w:rFonts w:hint="eastAsia" w:ascii="仿宋_GB2312" w:hAnsi="仿宋_GB2312" w:eastAsia="仿宋_GB2312" w:cs="仿宋_GB2312"/>
          <w:kern w:val="0"/>
          <w:sz w:val="32"/>
          <w:szCs w:val="32"/>
        </w:rPr>
      </w:pPr>
      <w:r>
        <w:rPr>
          <w:rFonts w:hint="eastAsia" w:ascii="仿宋_GB2312" w:eastAsia="仿宋_GB2312"/>
          <w:sz w:val="32"/>
          <w:szCs w:val="32"/>
        </w:rPr>
        <w:t>4、推进基层民主、促进农村和谐职责：扎实开展党的主题教育活动，不断加强农村党支部书记、村两委干部、党员干部和优秀青年四支队伍规范化管理和学习教育培训力度，提升党员干部履职尽责能力和综合素质，做好两委换届工作，全年举办各类培训不低于5次</w:t>
      </w:r>
      <w:r>
        <w:rPr>
          <w:rFonts w:hint="eastAsia" w:ascii="仿宋_GB2312" w:hAnsi="仿宋_GB2312" w:eastAsia="仿宋_GB2312" w:cs="仿宋_GB2312"/>
          <w:kern w:val="0"/>
          <w:sz w:val="32"/>
          <w:szCs w:val="32"/>
        </w:rPr>
        <w:t>，村民满意度达到93%以上，两委换届任务完成率100%。</w:t>
      </w:r>
    </w:p>
    <w:p>
      <w:pPr>
        <w:widowControl/>
        <w:spacing w:line="560" w:lineRule="exact"/>
        <w:jc w:val="left"/>
        <w:rPr>
          <w:rFonts w:ascii="仿宋" w:hAnsi="仿宋" w:eastAsia="仿宋" w:cs="仿宋"/>
          <w:sz w:val="32"/>
          <w:szCs w:val="32"/>
        </w:rPr>
      </w:pPr>
      <w:r>
        <w:rPr>
          <w:rFonts w:hint="eastAsia" w:ascii="仿宋" w:hAnsi="仿宋" w:eastAsia="仿宋" w:cs="仿宋"/>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_GB2312" w:eastAsia="仿宋_GB2312"/>
          <w:sz w:val="32"/>
        </w:rPr>
      </w:pPr>
      <w:r>
        <w:rPr>
          <w:rFonts w:ascii="仿宋_GB2312" w:hAnsi="仿宋_GB2312" w:eastAsia="仿宋_GB2312"/>
          <w:sz w:val="32"/>
        </w:rPr>
        <w:t>1、促进经济发展、增加农民收入：全力推进农业农村全面转型，依托我乡西阳寺有机农业示范园、全自动肉鸡养殖产业，以“村集体+合作社+农户”的形式，促进周边传统种植、养殖业向规模化、产业化方向发展，提高经济发展的质量和水平，新增规模化产业不少于一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_GB2312" w:eastAsia="仿宋_GB2312"/>
          <w:sz w:val="32"/>
        </w:rPr>
      </w:pPr>
      <w:r>
        <w:rPr>
          <w:rFonts w:ascii="仿宋_GB2312" w:hAnsi="仿宋_GB2312" w:eastAsia="仿宋_GB2312"/>
          <w:sz w:val="32"/>
        </w:rPr>
        <w:t>2、强化公共服务、着力改善民生：全力做好农村社会保障工作，确保精准扶贫、耕地地力保护补贴等各项惠农政策精准落实到户，不错一人；不断加强农田水利、基础设施建设，改善农民生产生活环境；优化便民服务流程，通过“一站式”服务、办事代理制等多种形式，努力实现群众小事不出门，大事不出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_GB2312" w:eastAsia="仿宋_GB2312"/>
          <w:sz w:val="32"/>
        </w:rPr>
      </w:pPr>
      <w:r>
        <w:rPr>
          <w:rFonts w:ascii="仿宋_GB2312" w:hAnsi="仿宋_GB2312" w:eastAsia="仿宋_GB2312"/>
          <w:sz w:val="32"/>
        </w:rPr>
        <w:t>3、加强社会管理、维护农村稳定：全力抓好农村环境卫生整治、大气污染防治、卫片执法等工作，促进农村经济社会的健康、和谐、可持续发展；加强社会治安综合治理，抓细扫黑除恶工作，消除社会不稳定因素，确保人民群众生命财产安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_GB2312" w:eastAsia="仿宋_GB2312"/>
          <w:sz w:val="32"/>
        </w:rPr>
      </w:pPr>
      <w:r>
        <w:rPr>
          <w:rFonts w:ascii="仿宋_GB2312" w:hAnsi="仿宋_GB2312" w:eastAsia="仿宋_GB2312"/>
          <w:sz w:val="32"/>
        </w:rPr>
        <w:t>4、推进基层民主、促进农村和谐：全力加大对党员干部的学习教育培训力度，特别是新任村“两委”干部，提升党员干部履职尽责能力和综合素质。健全完善村务公开制度，切规范民主决策机制，实维护农民合法权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_GB2312" w:eastAsia="仿宋_GB2312"/>
          <w:sz w:val="32"/>
        </w:rPr>
      </w:pPr>
      <w:r>
        <w:rPr>
          <w:rFonts w:ascii="仿宋_GB2312" w:hAnsi="仿宋_GB2312" w:eastAsia="仿宋_GB2312"/>
          <w:sz w:val="32"/>
        </w:rPr>
        <w:t>5、改善生态环境、提升乡风文明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_GB2312" w:eastAsia="仿宋_GB2312"/>
          <w:sz w:val="32"/>
        </w:rPr>
      </w:pPr>
      <w:r>
        <w:rPr>
          <w:rFonts w:ascii="仿宋_GB2312" w:hAnsi="仿宋_GB2312" w:eastAsia="仿宋_GB2312"/>
          <w:sz w:val="32"/>
        </w:rPr>
        <w:t>围绕“产业兴旺、生态宜居、乡风文明、治理有效、生活富裕”的目标，推进农村人居环境整治行动，做好垃圾整理，污水处理，村容村貌提升等工作，使农村变得更加生态，更加宜居，村民素质明显提升，村风民俗文明进步，让乡村迸发勃勃生机。</w:t>
      </w:r>
    </w:p>
    <w:p>
      <w:pPr>
        <w:spacing w:line="600" w:lineRule="exact"/>
        <w:jc w:val="left"/>
        <w:rPr>
          <w:rFonts w:ascii="仿宋" w:hAnsi="仿宋" w:eastAsia="仿宋" w:cs="仿宋"/>
          <w:sz w:val="32"/>
          <w:szCs w:val="32"/>
        </w:rPr>
      </w:pPr>
    </w:p>
    <w:tbl>
      <w:tblPr>
        <w:tblStyle w:val="4"/>
        <w:tblW w:w="147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3402"/>
        <w:gridCol w:w="3402"/>
        <w:gridCol w:w="565"/>
        <w:gridCol w:w="852"/>
        <w:gridCol w:w="737"/>
        <w:gridCol w:w="737"/>
        <w:gridCol w:w="622"/>
        <w:gridCol w:w="115"/>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852" w:type="dxa"/>
          <w:trHeight w:val="90"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仿宋" w:hAnsi="仿宋" w:eastAsia="仿宋" w:cs="仿宋"/>
                <w:sz w:val="32"/>
                <w:szCs w:val="32"/>
              </w:rPr>
            </w:pPr>
            <w:r>
              <w:rPr>
                <w:rFonts w:hint="eastAsia" w:ascii="仿宋" w:hAnsi="仿宋" w:eastAsia="仿宋" w:cs="仿宋"/>
                <w:sz w:val="32"/>
                <w:szCs w:val="32"/>
              </w:rPr>
              <w:t>808成安县辛义乡人民政府</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仿宋" w:hAnsi="仿宋" w:eastAsia="仿宋" w:cs="仿宋"/>
                <w:sz w:val="32"/>
                <w:szCs w:val="32"/>
              </w:rPr>
            </w:pPr>
            <w:r>
              <w:rPr>
                <w:rFonts w:hint="eastAsia" w:ascii="仿宋" w:hAnsi="仿宋" w:eastAsia="仿宋" w:cs="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职责活动</w:t>
            </w:r>
          </w:p>
        </w:tc>
        <w:tc>
          <w:tcPr>
            <w:tcW w:w="1276" w:type="dxa"/>
            <w:vMerge w:val="restart"/>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年度预算数</w:t>
            </w:r>
          </w:p>
        </w:tc>
        <w:tc>
          <w:tcPr>
            <w:tcW w:w="3402" w:type="dxa"/>
            <w:vMerge w:val="restart"/>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内容描述</w:t>
            </w:r>
          </w:p>
        </w:tc>
        <w:tc>
          <w:tcPr>
            <w:tcW w:w="3402" w:type="dxa"/>
            <w:vMerge w:val="restart"/>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绩效目标</w:t>
            </w:r>
          </w:p>
        </w:tc>
        <w:tc>
          <w:tcPr>
            <w:tcW w:w="1417" w:type="dxa"/>
            <w:gridSpan w:val="2"/>
            <w:vMerge w:val="restart"/>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绩效</w:t>
            </w:r>
          </w:p>
          <w:p>
            <w:pPr>
              <w:spacing w:line="400" w:lineRule="exact"/>
              <w:jc w:val="center"/>
              <w:rPr>
                <w:rFonts w:ascii="仿宋" w:hAnsi="仿宋" w:eastAsia="仿宋" w:cs="仿宋"/>
                <w:sz w:val="32"/>
                <w:szCs w:val="32"/>
              </w:rPr>
            </w:pPr>
            <w:r>
              <w:rPr>
                <w:rFonts w:hint="eastAsia" w:ascii="仿宋" w:hAnsi="仿宋" w:eastAsia="仿宋" w:cs="仿宋"/>
                <w:sz w:val="32"/>
                <w:szCs w:val="32"/>
              </w:rPr>
              <w:t>指标</w:t>
            </w:r>
          </w:p>
        </w:tc>
        <w:tc>
          <w:tcPr>
            <w:tcW w:w="2948" w:type="dxa"/>
            <w:gridSpan w:val="5"/>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400" w:lineRule="exact"/>
              <w:jc w:val="left"/>
              <w:outlineLvl w:val="0"/>
              <w:rPr>
                <w:rFonts w:ascii="仿宋" w:hAnsi="仿宋" w:eastAsia="仿宋" w:cs="仿宋"/>
                <w:sz w:val="32"/>
                <w:szCs w:val="32"/>
              </w:rPr>
            </w:pPr>
          </w:p>
        </w:tc>
        <w:tc>
          <w:tcPr>
            <w:tcW w:w="1276" w:type="dxa"/>
            <w:vMerge w:val="continue"/>
            <w:shd w:val="clear" w:color="auto" w:fill="auto"/>
            <w:vAlign w:val="center"/>
          </w:tcPr>
          <w:p>
            <w:pPr>
              <w:spacing w:line="400" w:lineRule="exact"/>
              <w:jc w:val="left"/>
              <w:outlineLvl w:val="0"/>
              <w:rPr>
                <w:rFonts w:ascii="仿宋" w:hAnsi="仿宋" w:eastAsia="仿宋" w:cs="仿宋"/>
                <w:sz w:val="32"/>
                <w:szCs w:val="32"/>
              </w:rPr>
            </w:pPr>
          </w:p>
        </w:tc>
        <w:tc>
          <w:tcPr>
            <w:tcW w:w="3402" w:type="dxa"/>
            <w:vMerge w:val="continue"/>
            <w:shd w:val="clear" w:color="auto" w:fill="auto"/>
            <w:vAlign w:val="center"/>
          </w:tcPr>
          <w:p>
            <w:pPr>
              <w:spacing w:line="400" w:lineRule="exact"/>
              <w:jc w:val="left"/>
              <w:outlineLvl w:val="0"/>
              <w:rPr>
                <w:rFonts w:ascii="仿宋" w:hAnsi="仿宋" w:eastAsia="仿宋" w:cs="仿宋"/>
                <w:sz w:val="32"/>
                <w:szCs w:val="32"/>
              </w:rPr>
            </w:pPr>
          </w:p>
        </w:tc>
        <w:tc>
          <w:tcPr>
            <w:tcW w:w="3402" w:type="dxa"/>
            <w:vMerge w:val="continue"/>
            <w:shd w:val="clear" w:color="auto" w:fill="auto"/>
            <w:vAlign w:val="center"/>
          </w:tcPr>
          <w:p>
            <w:pPr>
              <w:spacing w:line="400" w:lineRule="exact"/>
              <w:jc w:val="left"/>
              <w:outlineLvl w:val="0"/>
              <w:rPr>
                <w:rFonts w:ascii="仿宋" w:hAnsi="仿宋" w:eastAsia="仿宋" w:cs="仿宋"/>
                <w:sz w:val="32"/>
                <w:szCs w:val="32"/>
              </w:rPr>
            </w:pPr>
          </w:p>
        </w:tc>
        <w:tc>
          <w:tcPr>
            <w:tcW w:w="1417" w:type="dxa"/>
            <w:gridSpan w:val="2"/>
            <w:vMerge w:val="continue"/>
            <w:shd w:val="clear" w:color="auto" w:fill="auto"/>
            <w:vAlign w:val="center"/>
          </w:tcPr>
          <w:p>
            <w:pPr>
              <w:spacing w:line="400" w:lineRule="exact"/>
              <w:jc w:val="left"/>
              <w:outlineLvl w:val="0"/>
              <w:rPr>
                <w:rFonts w:ascii="仿宋" w:hAnsi="仿宋" w:eastAsia="仿宋" w:cs="仿宋"/>
                <w:sz w:val="32"/>
                <w:szCs w:val="32"/>
              </w:rPr>
            </w:pPr>
          </w:p>
        </w:tc>
        <w:tc>
          <w:tcPr>
            <w:tcW w:w="737" w:type="dxa"/>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优</w:t>
            </w:r>
          </w:p>
        </w:tc>
        <w:tc>
          <w:tcPr>
            <w:tcW w:w="737" w:type="dxa"/>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良</w:t>
            </w:r>
          </w:p>
        </w:tc>
        <w:tc>
          <w:tcPr>
            <w:tcW w:w="737" w:type="dxa"/>
            <w:gridSpan w:val="2"/>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中</w:t>
            </w:r>
          </w:p>
        </w:tc>
        <w:tc>
          <w:tcPr>
            <w:tcW w:w="737" w:type="dxa"/>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促进经济发展、</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增加农民收入</w:t>
            </w:r>
          </w:p>
        </w:tc>
        <w:tc>
          <w:tcPr>
            <w:tcW w:w="1276" w:type="dxa"/>
            <w:shd w:val="clear" w:color="auto" w:fill="auto"/>
            <w:vAlign w:val="center"/>
          </w:tcPr>
          <w:p>
            <w:pPr>
              <w:widowControl/>
              <w:jc w:val="right"/>
              <w:textAlignment w:val="center"/>
              <w:rPr>
                <w:rFonts w:ascii="宋体" w:hAnsi="宋体" w:cs="宋体"/>
                <w:color w:val="000000"/>
                <w:sz w:val="22"/>
                <w:szCs w:val="22"/>
              </w:rPr>
            </w:pPr>
            <w:r>
              <w:rPr>
                <w:rFonts w:hint="eastAsia" w:ascii="仿宋_GB2312" w:hAnsi="仿宋_GB2312" w:eastAsia="仿宋_GB2312" w:cs="仿宋_GB2312"/>
                <w:sz w:val="28"/>
                <w:szCs w:val="28"/>
              </w:rPr>
              <w:t>104.888</w:t>
            </w:r>
          </w:p>
        </w:tc>
        <w:tc>
          <w:tcPr>
            <w:tcW w:w="3402" w:type="dxa"/>
            <w:shd w:val="clear" w:color="auto" w:fill="auto"/>
            <w:vAlign w:val="center"/>
          </w:tcPr>
          <w:p>
            <w:pPr>
              <w:spacing w:line="400" w:lineRule="atLeas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tc>
        <w:tc>
          <w:tcPr>
            <w:tcW w:w="3402"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促进经济发展、增加农民收入职责绩效目标：持续推动乡村经济发展，以壮大村集体经济、促进农民持续增收为目标，大力扶持壮大有机农业种植、肉鸡养殖产业、苗木种植合作组织发展，充分发挥示范引领作用，促进乡域经济发展和农民增收，新增产业不低于2家。持续提升贫困群众满意度，巩固脱贫成果、完善防贫机制，</w:t>
            </w:r>
          </w:p>
          <w:p>
            <w:pPr>
              <w:spacing w:line="400" w:lineRule="exact"/>
              <w:jc w:val="left"/>
              <w:rPr>
                <w:rFonts w:ascii="仿宋_GB2312" w:hAnsi="仿宋_GB2312" w:eastAsia="仿宋_GB2312" w:cs="仿宋_GB2312"/>
                <w:sz w:val="24"/>
              </w:rPr>
            </w:pPr>
          </w:p>
        </w:tc>
        <w:tc>
          <w:tcPr>
            <w:tcW w:w="1417" w:type="dxa"/>
            <w:gridSpan w:val="2"/>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促进经济发展、增加农民收入</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≥90%</w:t>
            </w:r>
          </w:p>
        </w:tc>
        <w:tc>
          <w:tcPr>
            <w:tcW w:w="737" w:type="dxa"/>
            <w:gridSpan w:val="2"/>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强化公共服务、</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着力改善民生</w:t>
            </w:r>
          </w:p>
        </w:tc>
        <w:tc>
          <w:tcPr>
            <w:tcW w:w="1276" w:type="dxa"/>
            <w:shd w:val="clear" w:color="auto" w:fill="auto"/>
            <w:vAlign w:val="center"/>
          </w:tcPr>
          <w:p>
            <w:pPr>
              <w:widowControl/>
              <w:jc w:val="right"/>
              <w:textAlignment w:val="center"/>
              <w:rPr>
                <w:rFonts w:ascii="宋体" w:hAnsi="宋体" w:cs="宋体"/>
                <w:color w:val="000000"/>
                <w:sz w:val="22"/>
                <w:szCs w:val="22"/>
              </w:rPr>
            </w:pPr>
            <w:r>
              <w:rPr>
                <w:rFonts w:hint="eastAsia" w:ascii="仿宋_GB2312" w:hAnsi="仿宋_GB2312" w:eastAsia="仿宋_GB2312" w:cs="仿宋_GB2312"/>
                <w:sz w:val="28"/>
                <w:szCs w:val="28"/>
              </w:rPr>
              <w:t>182.332</w:t>
            </w:r>
          </w:p>
        </w:tc>
        <w:tc>
          <w:tcPr>
            <w:tcW w:w="3402" w:type="dxa"/>
            <w:shd w:val="clear" w:color="auto" w:fill="auto"/>
            <w:vAlign w:val="center"/>
          </w:tcPr>
          <w:p>
            <w:pPr>
              <w:spacing w:line="39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拓展服务渠道，改进服务方式，通过“一站式”服务、办事代理制等多种形式，方便群众办事；推进依法行政，严格依法履行职责；推行行政机关首问办理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做好农村社会保障工作，建立健全农村困难群众最低生活保障制度，做好烈军属、五保户养老金的社会化发放和申领资格认证，解除农民后顾之忧；保证粮食直补，农资直补等各项惠农政策落实到户。</w:t>
            </w:r>
          </w:p>
        </w:tc>
        <w:tc>
          <w:tcPr>
            <w:tcW w:w="3402" w:type="dxa"/>
            <w:shd w:val="clear" w:color="auto" w:fill="auto"/>
            <w:vAlign w:val="center"/>
          </w:tcPr>
          <w:p>
            <w:pPr>
              <w:spacing w:line="360" w:lineRule="atLeast"/>
              <w:jc w:val="left"/>
              <w:rPr>
                <w:rFonts w:ascii="仿宋_GB2312" w:hAnsi="仿宋_GB2312" w:eastAsia="仿宋_GB2312" w:cs="仿宋_GB2312"/>
                <w:sz w:val="24"/>
              </w:rPr>
            </w:pPr>
            <w:r>
              <w:rPr>
                <w:rFonts w:hint="eastAsia" w:ascii="仿宋_GB2312" w:hAnsi="仿宋_GB2312" w:eastAsia="仿宋_GB2312" w:cs="仿宋_GB2312"/>
                <w:sz w:val="24"/>
              </w:rPr>
              <w:t>强化公共服务、着力改善民生职责绩效目标：加强农田水利、基础设施建设，2021年硬化道路不低于5条；做好农村社会保障工作，提升为民服务能力，其中正常工作保障率、惠农补贴落实率达到95%以上。</w:t>
            </w:r>
          </w:p>
          <w:p>
            <w:pPr>
              <w:spacing w:line="360" w:lineRule="atLeast"/>
              <w:jc w:val="left"/>
              <w:rPr>
                <w:rFonts w:ascii="仿宋_GB2312" w:hAnsi="仿宋_GB2312" w:eastAsia="仿宋_GB2312" w:cs="仿宋_GB2312"/>
                <w:sz w:val="24"/>
              </w:rPr>
            </w:pPr>
          </w:p>
        </w:tc>
        <w:tc>
          <w:tcPr>
            <w:tcW w:w="1417" w:type="dxa"/>
            <w:gridSpan w:val="2"/>
            <w:shd w:val="clear" w:color="auto" w:fill="auto"/>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4"/>
              </w:rPr>
              <w:t>强化公共服务、着力改善民生</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≥90%</w:t>
            </w:r>
          </w:p>
        </w:tc>
        <w:tc>
          <w:tcPr>
            <w:tcW w:w="737" w:type="dxa"/>
            <w:gridSpan w:val="2"/>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76"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加强社会管理、维护农村稳定</w:t>
            </w:r>
          </w:p>
        </w:tc>
        <w:tc>
          <w:tcPr>
            <w:tcW w:w="1276" w:type="dxa"/>
            <w:shd w:val="clear" w:color="auto" w:fill="auto"/>
            <w:vAlign w:val="center"/>
          </w:tcPr>
          <w:p>
            <w:pPr>
              <w:spacing w:line="376" w:lineRule="exact"/>
              <w:jc w:val="left"/>
              <w:rPr>
                <w:rFonts w:ascii="仿宋_GB2312" w:hAnsi="仿宋_GB2312" w:eastAsia="仿宋_GB2312" w:cs="仿宋_GB2312"/>
                <w:sz w:val="24"/>
              </w:rPr>
            </w:pPr>
            <w:r>
              <w:rPr>
                <w:rFonts w:hint="eastAsia" w:ascii="仿宋_GB2312" w:hAnsi="仿宋_GB2312" w:eastAsia="仿宋_GB2312" w:cs="仿宋_GB2312"/>
                <w:sz w:val="28"/>
                <w:szCs w:val="28"/>
              </w:rPr>
              <w:t>172.332</w:t>
            </w:r>
          </w:p>
        </w:tc>
        <w:tc>
          <w:tcPr>
            <w:tcW w:w="3402" w:type="dxa"/>
            <w:shd w:val="clear" w:color="auto" w:fill="auto"/>
            <w:vAlign w:val="center"/>
          </w:tcPr>
          <w:p>
            <w:pPr>
              <w:spacing w:line="376" w:lineRule="exact"/>
              <w:jc w:val="left"/>
              <w:rPr>
                <w:rFonts w:ascii="仿宋_GB2312" w:hAnsi="仿宋_GB2312" w:eastAsia="仿宋_GB2312" w:cs="仿宋_GB2312"/>
                <w:sz w:val="24"/>
              </w:rPr>
            </w:pPr>
            <w:r>
              <w:rPr>
                <w:rFonts w:hint="eastAsia" w:ascii="仿宋_GB2312" w:hAnsi="仿宋_GB2312" w:eastAsia="仿宋_GB2312" w:cs="仿宋_GB2312"/>
                <w:sz w:val="24"/>
              </w:rPr>
              <w:t>抓好农村思想政治建设和精神文明建设，加强农村教育、卫生、文化、体育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完善村规民约，深化农村平安创建工作。</w:t>
            </w:r>
          </w:p>
        </w:tc>
        <w:tc>
          <w:tcPr>
            <w:tcW w:w="3402" w:type="dxa"/>
            <w:shd w:val="clear" w:color="auto" w:fill="auto"/>
            <w:vAlign w:val="center"/>
          </w:tcPr>
          <w:p>
            <w:pPr>
              <w:spacing w:line="360" w:lineRule="atLeast"/>
              <w:jc w:val="left"/>
              <w:rPr>
                <w:rFonts w:ascii="仿宋_GB2312" w:hAnsi="仿宋_GB2312" w:eastAsia="仿宋_GB2312" w:cs="仿宋_GB2312"/>
                <w:sz w:val="24"/>
              </w:rPr>
            </w:pPr>
            <w:r>
              <w:rPr>
                <w:rFonts w:hint="eastAsia" w:ascii="仿宋_GB2312" w:hAnsi="仿宋_GB2312" w:eastAsia="仿宋_GB2312" w:cs="仿宋_GB2312"/>
                <w:sz w:val="24"/>
              </w:rPr>
              <w:t>加强社会管理、维护农村稳定职责绩效目标：全面贯彻落实党的路线、方针、政策，抓好农村人居环境整治、大气治理、扫黑除恶等工作，加强信访隐患摸排，及时掌握化解矛盾纠纷，其中乡辖中小企业环保达标率、秸秆还田率、政策宣传普及率达到95%以上。</w:t>
            </w:r>
          </w:p>
          <w:p>
            <w:pPr>
              <w:spacing w:line="376" w:lineRule="exact"/>
              <w:jc w:val="left"/>
              <w:rPr>
                <w:rFonts w:ascii="仿宋_GB2312" w:hAnsi="仿宋_GB2312" w:eastAsia="仿宋_GB2312" w:cs="仿宋_GB2312"/>
                <w:sz w:val="24"/>
              </w:rPr>
            </w:pPr>
          </w:p>
        </w:tc>
        <w:tc>
          <w:tcPr>
            <w:tcW w:w="1417" w:type="dxa"/>
            <w:gridSpan w:val="2"/>
            <w:shd w:val="clear" w:color="auto" w:fill="auto"/>
            <w:vAlign w:val="center"/>
          </w:tcPr>
          <w:p>
            <w:pPr>
              <w:spacing w:line="400" w:lineRule="exact"/>
              <w:jc w:val="left"/>
              <w:rPr>
                <w:rFonts w:ascii="仿宋" w:hAnsi="仿宋" w:eastAsia="仿宋" w:cs="仿宋"/>
                <w:sz w:val="32"/>
                <w:szCs w:val="32"/>
              </w:rPr>
            </w:pPr>
            <w:r>
              <w:rPr>
                <w:rFonts w:hint="eastAsia" w:ascii="仿宋_GB2312" w:hAnsi="仿宋_GB2312" w:eastAsia="仿宋_GB2312" w:cs="仿宋_GB2312"/>
                <w:sz w:val="24"/>
              </w:rPr>
              <w:t>加强社会管理、维护农村稳定</w:t>
            </w:r>
          </w:p>
        </w:tc>
        <w:tc>
          <w:tcPr>
            <w:tcW w:w="737" w:type="dxa"/>
            <w:shd w:val="clear" w:color="auto" w:fill="auto"/>
            <w:vAlign w:val="center"/>
          </w:tcPr>
          <w:p>
            <w:pPr>
              <w:spacing w:line="400" w:lineRule="exact"/>
              <w:jc w:val="left"/>
              <w:rPr>
                <w:rFonts w:ascii="仿宋" w:hAnsi="仿宋" w:eastAsia="仿宋" w:cs="仿宋"/>
                <w:sz w:val="24"/>
              </w:rPr>
            </w:pPr>
            <w:r>
              <w:rPr>
                <w:rFonts w:hint="eastAsia" w:ascii="仿宋_GB2312" w:hAnsi="仿宋_GB2312" w:eastAsia="仿宋_GB2312" w:cs="仿宋_GB2312"/>
                <w:sz w:val="24"/>
              </w:rPr>
              <w:t>≥95%</w:t>
            </w:r>
          </w:p>
        </w:tc>
        <w:tc>
          <w:tcPr>
            <w:tcW w:w="737" w:type="dxa"/>
            <w:shd w:val="clear" w:color="auto" w:fill="auto"/>
            <w:vAlign w:val="center"/>
          </w:tcPr>
          <w:p>
            <w:pPr>
              <w:spacing w:line="400" w:lineRule="exact"/>
              <w:jc w:val="left"/>
              <w:rPr>
                <w:rFonts w:ascii="仿宋" w:hAnsi="仿宋" w:eastAsia="仿宋" w:cs="仿宋"/>
                <w:sz w:val="24"/>
              </w:rPr>
            </w:pPr>
            <w:r>
              <w:rPr>
                <w:rFonts w:hint="eastAsia" w:ascii="仿宋_GB2312" w:hAnsi="仿宋_GB2312" w:eastAsia="仿宋_GB2312" w:cs="仿宋_GB2312"/>
                <w:sz w:val="24"/>
              </w:rPr>
              <w:t>≥90%</w:t>
            </w:r>
          </w:p>
        </w:tc>
        <w:tc>
          <w:tcPr>
            <w:tcW w:w="737" w:type="dxa"/>
            <w:gridSpan w:val="2"/>
            <w:shd w:val="clear" w:color="auto" w:fill="auto"/>
            <w:vAlign w:val="center"/>
          </w:tcPr>
          <w:p>
            <w:pPr>
              <w:spacing w:line="400" w:lineRule="exact"/>
              <w:jc w:val="left"/>
              <w:rPr>
                <w:rFonts w:ascii="仿宋" w:hAnsi="仿宋" w:eastAsia="仿宋" w:cs="仿宋"/>
                <w:sz w:val="24"/>
              </w:rPr>
            </w:pPr>
            <w:r>
              <w:rPr>
                <w:rFonts w:hint="eastAsia" w:ascii="仿宋_GB2312" w:hAnsi="仿宋_GB2312" w:eastAsia="仿宋_GB2312" w:cs="仿宋_GB2312"/>
                <w:sz w:val="24"/>
              </w:rPr>
              <w:t>≥85%</w:t>
            </w:r>
          </w:p>
        </w:tc>
        <w:tc>
          <w:tcPr>
            <w:tcW w:w="737" w:type="dxa"/>
            <w:shd w:val="clear" w:color="auto" w:fill="auto"/>
            <w:vAlign w:val="center"/>
          </w:tcPr>
          <w:p>
            <w:pPr>
              <w:spacing w:line="400" w:lineRule="exact"/>
              <w:jc w:val="left"/>
              <w:rPr>
                <w:rFonts w:ascii="仿宋" w:hAnsi="仿宋" w:eastAsia="仿宋" w:cs="仿宋"/>
                <w:sz w:val="24"/>
              </w:rPr>
            </w:pPr>
            <w:r>
              <w:rPr>
                <w:rFonts w:hint="eastAsia" w:ascii="仿宋_GB2312" w:hAnsi="仿宋_GB2312" w:eastAsia="仿宋_GB2312" w:cs="仿宋_GB2312"/>
                <w:sz w:val="24"/>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推进基层民主、</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促进农村和谐</w:t>
            </w:r>
          </w:p>
        </w:tc>
        <w:tc>
          <w:tcPr>
            <w:tcW w:w="1276" w:type="dxa"/>
            <w:shd w:val="clear" w:color="auto" w:fill="auto"/>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114.888</w:t>
            </w:r>
          </w:p>
        </w:tc>
        <w:tc>
          <w:tcPr>
            <w:tcW w:w="3402"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坚持党的领导，保障农民群众的选举权；健全完善村党组织领导的充满活力的村民自治机构，保障村民的参与权；健全村务公开制度，保障农民群众的知情权；规范民主决策机制，拓展村民民主参与村级事务的渠道，调动村民群众生产生活中的突出问题，切实维护农民合法权益；创新方法，不断深化基层民主管理内涵，着力解决基层民主管理中的薄弱问题，进一步密切党群干群关系、巩固党的执政基础，促进和谐社会建设。</w:t>
            </w:r>
          </w:p>
        </w:tc>
        <w:tc>
          <w:tcPr>
            <w:tcW w:w="3402"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全面贯彻落实党的路线、方针、政策，抓好农村环境卫生整治、扫黑除恶等工作。</w:t>
            </w:r>
          </w:p>
        </w:tc>
        <w:tc>
          <w:tcPr>
            <w:tcW w:w="1417" w:type="dxa"/>
            <w:gridSpan w:val="2"/>
            <w:shd w:val="clear" w:color="auto" w:fill="auto"/>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4"/>
              </w:rPr>
              <w:t>推进基层民主、促进农村和谐</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≥90%</w:t>
            </w:r>
          </w:p>
        </w:tc>
        <w:tc>
          <w:tcPr>
            <w:tcW w:w="737" w:type="dxa"/>
            <w:gridSpan w:val="2"/>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5" w:hRule="atLeast"/>
          <w:jc w:val="center"/>
        </w:trPr>
        <w:tc>
          <w:tcPr>
            <w:tcW w:w="2341" w:type="dxa"/>
            <w:shd w:val="clear" w:color="auto" w:fill="auto"/>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改善生态环境、提升乡风文明</w:t>
            </w:r>
          </w:p>
        </w:tc>
        <w:tc>
          <w:tcPr>
            <w:tcW w:w="1276" w:type="dxa"/>
            <w:shd w:val="clear" w:color="auto" w:fill="auto"/>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114.888</w:t>
            </w:r>
          </w:p>
        </w:tc>
        <w:tc>
          <w:tcPr>
            <w:tcW w:w="3402"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围绕“产业兴旺、生态宜居、乡风文明、治理有效、生活富裕”的目标，推进农村人居环境整治行动，做好垃圾整理，污水处理，村容村貌提升等工作，使农村变得更加生态，更加宜居，村民素质明显提升，村风民俗文明进步，让乡村迸发勃勃生机。</w:t>
            </w:r>
          </w:p>
        </w:tc>
        <w:tc>
          <w:tcPr>
            <w:tcW w:w="3402"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推进农村人居环境整治行动，做好垃圾整理，村容村貌提升等工作。</w:t>
            </w:r>
          </w:p>
        </w:tc>
        <w:tc>
          <w:tcPr>
            <w:tcW w:w="1417" w:type="dxa"/>
            <w:gridSpan w:val="2"/>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改善生态环境、提升乡风文明</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≥90%</w:t>
            </w:r>
          </w:p>
        </w:tc>
        <w:tc>
          <w:tcPr>
            <w:tcW w:w="737" w:type="dxa"/>
            <w:gridSpan w:val="2"/>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r>
    </w:tbl>
    <w:p>
      <w:pPr>
        <w:spacing w:line="600" w:lineRule="exact"/>
        <w:jc w:val="left"/>
        <w:rPr>
          <w:rFonts w:ascii="仿宋" w:hAnsi="仿宋" w:eastAsia="仿宋" w:cs="仿宋"/>
          <w:sz w:val="32"/>
          <w:szCs w:val="32"/>
        </w:rPr>
        <w:sectPr>
          <w:pgSz w:w="16838" w:h="23811"/>
          <w:pgMar w:top="1474" w:right="1134" w:bottom="1474" w:left="1134" w:header="851" w:footer="992" w:gutter="0"/>
          <w:cols w:space="0" w:num="1"/>
          <w:docGrid w:type="lines" w:linePitch="315" w:charSpace="0"/>
        </w:sectPr>
      </w:pPr>
    </w:p>
    <w:bookmarkEnd w:id="0"/>
    <w:p>
      <w:pPr>
        <w:tabs>
          <w:tab w:val="left" w:pos="455"/>
        </w:tabs>
        <w:autoSpaceDE w:val="0"/>
        <w:autoSpaceDN w:val="0"/>
        <w:adjustRightInd w:val="0"/>
        <w:spacing w:afterLines="100" w:line="440" w:lineRule="exact"/>
        <w:ind w:firstLine="640" w:firstLineChars="200"/>
        <w:jc w:val="left"/>
        <w:rPr>
          <w:rFonts w:ascii="黑体" w:hAnsi="黑体" w:eastAsia="黑体" w:cs="楷体"/>
          <w:bCs/>
          <w:sz w:val="32"/>
          <w:szCs w:val="32"/>
        </w:rPr>
      </w:pPr>
      <w:r>
        <w:rPr>
          <w:rFonts w:hint="eastAsia" w:ascii="黑体" w:hAnsi="黑体" w:eastAsia="黑体" w:cs="楷体"/>
          <w:bCs/>
          <w:sz w:val="32"/>
          <w:szCs w:val="32"/>
        </w:rPr>
        <w:t>六、政府采购预算情况</w:t>
      </w:r>
    </w:p>
    <w:p>
      <w:pPr>
        <w:tabs>
          <w:tab w:val="left" w:pos="455"/>
        </w:tabs>
        <w:autoSpaceDE w:val="0"/>
        <w:autoSpaceDN w:val="0"/>
        <w:adjustRightInd w:val="0"/>
        <w:spacing w:afterLines="100" w:line="440" w:lineRule="exact"/>
        <w:ind w:firstLine="560" w:firstLineChars="200"/>
        <w:jc w:val="left"/>
        <w:rPr>
          <w:rFonts w:ascii="黑体" w:hAnsi="黑体" w:eastAsia="黑体" w:cs="楷体"/>
          <w:bCs/>
          <w:sz w:val="32"/>
          <w:szCs w:val="32"/>
        </w:rPr>
      </w:pPr>
      <w:r>
        <w:rPr>
          <w:rFonts w:hint="eastAsia" w:ascii="仿宋_GB2312" w:hAnsi="仿宋_GB2312" w:eastAsia="仿宋_GB2312" w:cs="仿宋_GB2312"/>
          <w:sz w:val="28"/>
          <w:szCs w:val="28"/>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2021年我单位安排预算政府采购计算机2台，打印机3台，办公座椅3套，价值2.5万元</w:t>
      </w:r>
      <w:r>
        <w:rPr>
          <w:rFonts w:hint="eastAsia" w:ascii="黑体" w:hAnsi="黑体" w:eastAsia="黑体" w:cs="楷体"/>
          <w:bCs/>
          <w:sz w:val="32"/>
          <w:szCs w:val="32"/>
        </w:rPr>
        <w:t>。</w:t>
      </w:r>
    </w:p>
    <w:tbl>
      <w:tblPr>
        <w:tblStyle w:val="4"/>
        <w:tblpPr w:leftFromText="180" w:rightFromText="180" w:vertAnchor="text" w:horzAnchor="margin" w:tblpXSpec="center" w:tblpY="705"/>
        <w:tblOverlap w:val="never"/>
        <w:tblW w:w="1258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134"/>
        <w:gridCol w:w="1134"/>
        <w:gridCol w:w="850"/>
        <w:gridCol w:w="785"/>
        <w:gridCol w:w="862"/>
        <w:gridCol w:w="713"/>
        <w:gridCol w:w="651"/>
        <w:gridCol w:w="850"/>
        <w:gridCol w:w="959"/>
        <w:gridCol w:w="708"/>
        <w:gridCol w:w="709"/>
        <w:gridCol w:w="709"/>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trPr>
        <w:tc>
          <w:tcPr>
            <w:tcW w:w="7146" w:type="dxa"/>
            <w:gridSpan w:val="7"/>
            <w:tcBorders>
              <w:top w:val="single" w:color="FFFFFF" w:sz="6" w:space="0"/>
              <w:left w:val="single" w:color="FFFFFF" w:sz="6" w:space="0"/>
              <w:right w:val="single" w:color="FFFFFF" w:sz="6" w:space="0"/>
            </w:tcBorders>
            <w:vAlign w:val="center"/>
          </w:tcPr>
          <w:p>
            <w:pPr>
              <w:spacing w:line="560" w:lineRule="exact"/>
              <w:jc w:val="left"/>
              <w:rPr>
                <w:rFonts w:ascii="仿宋_GB2312" w:hAnsi="仿宋_GB2312" w:eastAsia="仿宋_GB2312" w:cs="仿宋_GB2312"/>
                <w:sz w:val="28"/>
                <w:szCs w:val="28"/>
              </w:rPr>
            </w:pPr>
            <w:bookmarkStart w:id="1" w:name="_Toc471398468"/>
            <w:r>
              <w:rPr>
                <w:rFonts w:hint="eastAsia" w:ascii="仿宋_GB2312" w:hAnsi="仿宋_GB2312" w:eastAsia="仿宋_GB2312" w:cs="仿宋_GB2312"/>
                <w:sz w:val="28"/>
                <w:szCs w:val="28"/>
              </w:rPr>
              <w:t>部门（单位）名称：辛义乡人民政府</w:t>
            </w:r>
          </w:p>
        </w:tc>
        <w:tc>
          <w:tcPr>
            <w:tcW w:w="5436" w:type="dxa"/>
            <w:gridSpan w:val="7"/>
            <w:tcBorders>
              <w:top w:val="single" w:color="FFFFFF" w:sz="6" w:space="0"/>
              <w:left w:val="single" w:color="FFFFFF" w:sz="6" w:space="0"/>
              <w:right w:val="single" w:color="FFFFFF" w:sz="6" w:space="0"/>
            </w:tcBorders>
            <w:vAlign w:val="center"/>
          </w:tcPr>
          <w:p>
            <w:pPr>
              <w:spacing w:line="5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tblHeader/>
        </w:trPr>
        <w:tc>
          <w:tcPr>
            <w:tcW w:w="2802" w:type="dxa"/>
            <w:gridSpan w:val="2"/>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政府采购项目来源</w:t>
            </w:r>
          </w:p>
        </w:tc>
        <w:tc>
          <w:tcPr>
            <w:tcW w:w="1134"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采购物品名称</w:t>
            </w:r>
          </w:p>
        </w:tc>
        <w:tc>
          <w:tcPr>
            <w:tcW w:w="850"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政府采购目录序号</w:t>
            </w:r>
          </w:p>
        </w:tc>
        <w:tc>
          <w:tcPr>
            <w:tcW w:w="785"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数量  单位</w:t>
            </w:r>
          </w:p>
        </w:tc>
        <w:tc>
          <w:tcPr>
            <w:tcW w:w="862"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数量</w:t>
            </w:r>
          </w:p>
        </w:tc>
        <w:tc>
          <w:tcPr>
            <w:tcW w:w="713"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单价</w:t>
            </w:r>
          </w:p>
        </w:tc>
        <w:tc>
          <w:tcPr>
            <w:tcW w:w="5436" w:type="dxa"/>
            <w:gridSpan w:val="7"/>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6" w:hRule="atLeast"/>
          <w:tblHeader/>
        </w:trPr>
        <w:tc>
          <w:tcPr>
            <w:tcW w:w="1668"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项目名称</w:t>
            </w:r>
          </w:p>
        </w:tc>
        <w:tc>
          <w:tcPr>
            <w:tcW w:w="1134"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预算资金</w:t>
            </w:r>
          </w:p>
        </w:tc>
        <w:tc>
          <w:tcPr>
            <w:tcW w:w="1134" w:type="dxa"/>
            <w:vMerge w:val="continue"/>
            <w:vAlign w:val="center"/>
          </w:tcPr>
          <w:p>
            <w:pPr>
              <w:spacing w:line="400" w:lineRule="exact"/>
              <w:jc w:val="left"/>
              <w:rPr>
                <w:rFonts w:ascii="仿宋_GB2312" w:hAnsi="仿宋_GB2312" w:eastAsia="仿宋_GB2312" w:cs="仿宋_GB2312"/>
                <w:szCs w:val="21"/>
              </w:rPr>
            </w:pPr>
          </w:p>
        </w:tc>
        <w:tc>
          <w:tcPr>
            <w:tcW w:w="850" w:type="dxa"/>
            <w:vMerge w:val="continue"/>
            <w:vAlign w:val="center"/>
          </w:tcPr>
          <w:p>
            <w:pPr>
              <w:spacing w:line="560" w:lineRule="exact"/>
              <w:jc w:val="left"/>
              <w:outlineLvl w:val="0"/>
              <w:rPr>
                <w:rFonts w:ascii="仿宋_GB2312" w:hAnsi="仿宋_GB2312" w:eastAsia="仿宋_GB2312" w:cs="仿宋_GB2312"/>
                <w:szCs w:val="21"/>
              </w:rPr>
            </w:pPr>
          </w:p>
        </w:tc>
        <w:tc>
          <w:tcPr>
            <w:tcW w:w="785" w:type="dxa"/>
            <w:vMerge w:val="continue"/>
            <w:vAlign w:val="center"/>
          </w:tcPr>
          <w:p>
            <w:pPr>
              <w:spacing w:line="560" w:lineRule="exact"/>
              <w:jc w:val="left"/>
              <w:outlineLvl w:val="0"/>
              <w:rPr>
                <w:rFonts w:ascii="仿宋_GB2312" w:hAnsi="仿宋_GB2312" w:eastAsia="仿宋_GB2312" w:cs="仿宋_GB2312"/>
                <w:szCs w:val="21"/>
              </w:rPr>
            </w:pPr>
          </w:p>
        </w:tc>
        <w:tc>
          <w:tcPr>
            <w:tcW w:w="862" w:type="dxa"/>
            <w:vMerge w:val="continue"/>
            <w:vAlign w:val="center"/>
          </w:tcPr>
          <w:p>
            <w:pPr>
              <w:spacing w:line="560" w:lineRule="exact"/>
              <w:jc w:val="left"/>
              <w:outlineLvl w:val="0"/>
              <w:rPr>
                <w:rFonts w:ascii="仿宋_GB2312" w:hAnsi="仿宋_GB2312" w:eastAsia="仿宋_GB2312" w:cs="仿宋_GB2312"/>
                <w:szCs w:val="21"/>
              </w:rPr>
            </w:pPr>
          </w:p>
        </w:tc>
        <w:tc>
          <w:tcPr>
            <w:tcW w:w="713" w:type="dxa"/>
            <w:vMerge w:val="continue"/>
            <w:vAlign w:val="center"/>
          </w:tcPr>
          <w:p>
            <w:pPr>
              <w:spacing w:line="560" w:lineRule="exact"/>
              <w:jc w:val="left"/>
              <w:outlineLvl w:val="0"/>
              <w:rPr>
                <w:rFonts w:ascii="仿宋_GB2312" w:hAnsi="仿宋_GB2312" w:eastAsia="仿宋_GB2312" w:cs="仿宋_GB2312"/>
                <w:szCs w:val="21"/>
              </w:rPr>
            </w:pPr>
          </w:p>
        </w:tc>
        <w:tc>
          <w:tcPr>
            <w:tcW w:w="651"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总计</w:t>
            </w:r>
          </w:p>
        </w:tc>
        <w:tc>
          <w:tcPr>
            <w:tcW w:w="3935" w:type="dxa"/>
            <w:gridSpan w:val="5"/>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当年部门预算安排资金</w:t>
            </w:r>
          </w:p>
        </w:tc>
        <w:tc>
          <w:tcPr>
            <w:tcW w:w="850"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0" w:hRule="atLeast"/>
          <w:tblHeader/>
        </w:trPr>
        <w:tc>
          <w:tcPr>
            <w:tcW w:w="1668" w:type="dxa"/>
            <w:vMerge w:val="continue"/>
            <w:vAlign w:val="center"/>
          </w:tcPr>
          <w:p>
            <w:pPr>
              <w:spacing w:line="560" w:lineRule="exact"/>
              <w:jc w:val="left"/>
              <w:outlineLvl w:val="0"/>
              <w:rPr>
                <w:rFonts w:ascii="仿宋_GB2312" w:hAnsi="仿宋_GB2312" w:eastAsia="仿宋_GB2312" w:cs="仿宋_GB2312"/>
                <w:szCs w:val="21"/>
              </w:rPr>
            </w:pPr>
          </w:p>
        </w:tc>
        <w:tc>
          <w:tcPr>
            <w:tcW w:w="1134" w:type="dxa"/>
            <w:vMerge w:val="continue"/>
            <w:vAlign w:val="center"/>
          </w:tcPr>
          <w:p>
            <w:pPr>
              <w:spacing w:line="560" w:lineRule="exact"/>
              <w:jc w:val="left"/>
              <w:outlineLvl w:val="0"/>
              <w:rPr>
                <w:rFonts w:ascii="仿宋_GB2312" w:hAnsi="仿宋_GB2312" w:eastAsia="仿宋_GB2312" w:cs="仿宋_GB2312"/>
                <w:szCs w:val="21"/>
              </w:rPr>
            </w:pPr>
          </w:p>
        </w:tc>
        <w:tc>
          <w:tcPr>
            <w:tcW w:w="1134" w:type="dxa"/>
            <w:vMerge w:val="continue"/>
            <w:vAlign w:val="center"/>
          </w:tcPr>
          <w:p>
            <w:pPr>
              <w:spacing w:line="560" w:lineRule="exact"/>
              <w:jc w:val="left"/>
              <w:outlineLvl w:val="0"/>
              <w:rPr>
                <w:rFonts w:ascii="仿宋_GB2312" w:hAnsi="仿宋_GB2312" w:eastAsia="仿宋_GB2312" w:cs="仿宋_GB2312"/>
                <w:szCs w:val="21"/>
              </w:rPr>
            </w:pPr>
          </w:p>
        </w:tc>
        <w:tc>
          <w:tcPr>
            <w:tcW w:w="850" w:type="dxa"/>
            <w:vMerge w:val="continue"/>
            <w:vAlign w:val="center"/>
          </w:tcPr>
          <w:p>
            <w:pPr>
              <w:spacing w:line="560" w:lineRule="exact"/>
              <w:jc w:val="left"/>
              <w:outlineLvl w:val="0"/>
              <w:rPr>
                <w:rFonts w:ascii="仿宋_GB2312" w:hAnsi="仿宋_GB2312" w:eastAsia="仿宋_GB2312" w:cs="仿宋_GB2312"/>
                <w:szCs w:val="21"/>
              </w:rPr>
            </w:pPr>
          </w:p>
        </w:tc>
        <w:tc>
          <w:tcPr>
            <w:tcW w:w="785" w:type="dxa"/>
            <w:vMerge w:val="continue"/>
            <w:vAlign w:val="center"/>
          </w:tcPr>
          <w:p>
            <w:pPr>
              <w:spacing w:line="560" w:lineRule="exact"/>
              <w:jc w:val="left"/>
              <w:outlineLvl w:val="0"/>
              <w:rPr>
                <w:rFonts w:ascii="仿宋_GB2312" w:hAnsi="仿宋_GB2312" w:eastAsia="仿宋_GB2312" w:cs="仿宋_GB2312"/>
                <w:szCs w:val="21"/>
              </w:rPr>
            </w:pPr>
          </w:p>
        </w:tc>
        <w:tc>
          <w:tcPr>
            <w:tcW w:w="862" w:type="dxa"/>
            <w:vMerge w:val="continue"/>
            <w:vAlign w:val="center"/>
          </w:tcPr>
          <w:p>
            <w:pPr>
              <w:spacing w:line="560" w:lineRule="exact"/>
              <w:jc w:val="left"/>
              <w:outlineLvl w:val="0"/>
              <w:rPr>
                <w:rFonts w:ascii="仿宋_GB2312" w:hAnsi="仿宋_GB2312" w:eastAsia="仿宋_GB2312" w:cs="仿宋_GB2312"/>
                <w:szCs w:val="21"/>
              </w:rPr>
            </w:pPr>
          </w:p>
        </w:tc>
        <w:tc>
          <w:tcPr>
            <w:tcW w:w="713" w:type="dxa"/>
            <w:vMerge w:val="continue"/>
            <w:vAlign w:val="center"/>
          </w:tcPr>
          <w:p>
            <w:pPr>
              <w:spacing w:line="560" w:lineRule="exact"/>
              <w:jc w:val="left"/>
              <w:outlineLvl w:val="0"/>
              <w:rPr>
                <w:rFonts w:ascii="仿宋_GB2312" w:hAnsi="仿宋_GB2312" w:eastAsia="仿宋_GB2312" w:cs="仿宋_GB2312"/>
                <w:szCs w:val="21"/>
              </w:rPr>
            </w:pPr>
          </w:p>
        </w:tc>
        <w:tc>
          <w:tcPr>
            <w:tcW w:w="651" w:type="dxa"/>
            <w:vMerge w:val="continue"/>
            <w:vAlign w:val="center"/>
          </w:tcPr>
          <w:p>
            <w:pPr>
              <w:spacing w:line="400" w:lineRule="exact"/>
              <w:jc w:val="left"/>
              <w:rPr>
                <w:rFonts w:ascii="仿宋_GB2312" w:hAnsi="仿宋_GB2312" w:eastAsia="仿宋_GB2312" w:cs="仿宋_GB2312"/>
                <w:szCs w:val="21"/>
              </w:rPr>
            </w:pPr>
          </w:p>
        </w:tc>
        <w:tc>
          <w:tcPr>
            <w:tcW w:w="850" w:type="dxa"/>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合计</w:t>
            </w:r>
          </w:p>
        </w:tc>
        <w:tc>
          <w:tcPr>
            <w:tcW w:w="959" w:type="dxa"/>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一般公共预算拨款</w:t>
            </w:r>
          </w:p>
        </w:tc>
        <w:tc>
          <w:tcPr>
            <w:tcW w:w="708" w:type="dxa"/>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基金预算拨款</w:t>
            </w:r>
          </w:p>
        </w:tc>
        <w:tc>
          <w:tcPr>
            <w:tcW w:w="709" w:type="dxa"/>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财政专户核拨</w:t>
            </w:r>
          </w:p>
        </w:tc>
        <w:tc>
          <w:tcPr>
            <w:tcW w:w="709" w:type="dxa"/>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其他来源收入</w:t>
            </w:r>
          </w:p>
        </w:tc>
        <w:tc>
          <w:tcPr>
            <w:tcW w:w="850" w:type="dxa"/>
            <w:vMerge w:val="continue"/>
            <w:vAlign w:val="center"/>
          </w:tcPr>
          <w:p>
            <w:pPr>
              <w:spacing w:line="560" w:lineRule="exact"/>
              <w:jc w:val="left"/>
              <w:outlineLvl w:val="0"/>
              <w:rPr>
                <w:rFonts w:ascii="仿宋_GB2312" w:hAnsi="仿宋_GB2312" w:eastAsia="仿宋_GB2312" w:cs="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68"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合　计</w:t>
            </w:r>
          </w:p>
        </w:tc>
        <w:tc>
          <w:tcPr>
            <w:tcW w:w="1134"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2.5</w:t>
            </w:r>
          </w:p>
        </w:tc>
        <w:tc>
          <w:tcPr>
            <w:tcW w:w="1134" w:type="dxa"/>
            <w:vAlign w:val="center"/>
          </w:tcPr>
          <w:p>
            <w:pPr>
              <w:spacing w:line="560" w:lineRule="exact"/>
              <w:jc w:val="center"/>
              <w:rPr>
                <w:rFonts w:ascii="仿宋_GB2312" w:hAnsi="仿宋_GB2312" w:eastAsia="仿宋_GB2312" w:cs="仿宋_GB2312"/>
                <w:b/>
                <w:bCs/>
                <w:szCs w:val="21"/>
              </w:rPr>
            </w:pPr>
          </w:p>
        </w:tc>
        <w:tc>
          <w:tcPr>
            <w:tcW w:w="850" w:type="dxa"/>
            <w:vAlign w:val="center"/>
          </w:tcPr>
          <w:p>
            <w:pPr>
              <w:spacing w:line="560" w:lineRule="exact"/>
              <w:jc w:val="center"/>
              <w:rPr>
                <w:rFonts w:ascii="仿宋_GB2312" w:hAnsi="仿宋_GB2312" w:eastAsia="仿宋_GB2312" w:cs="仿宋_GB2312"/>
                <w:b/>
                <w:bCs/>
                <w:szCs w:val="21"/>
              </w:rPr>
            </w:pPr>
          </w:p>
        </w:tc>
        <w:tc>
          <w:tcPr>
            <w:tcW w:w="785" w:type="dxa"/>
            <w:vAlign w:val="center"/>
          </w:tcPr>
          <w:p>
            <w:pPr>
              <w:spacing w:line="560" w:lineRule="exact"/>
              <w:jc w:val="center"/>
              <w:rPr>
                <w:rFonts w:ascii="仿宋_GB2312" w:hAnsi="仿宋_GB2312" w:eastAsia="仿宋_GB2312" w:cs="仿宋_GB2312"/>
                <w:b/>
                <w:bCs/>
                <w:szCs w:val="21"/>
              </w:rPr>
            </w:pPr>
          </w:p>
        </w:tc>
        <w:tc>
          <w:tcPr>
            <w:tcW w:w="862" w:type="dxa"/>
            <w:vAlign w:val="center"/>
          </w:tcPr>
          <w:p>
            <w:pPr>
              <w:spacing w:line="560" w:lineRule="exact"/>
              <w:jc w:val="center"/>
              <w:rPr>
                <w:rFonts w:ascii="仿宋_GB2312" w:hAnsi="仿宋_GB2312" w:eastAsia="仿宋_GB2312" w:cs="仿宋_GB2312"/>
                <w:b/>
                <w:bCs/>
                <w:szCs w:val="21"/>
              </w:rPr>
            </w:pPr>
          </w:p>
        </w:tc>
        <w:tc>
          <w:tcPr>
            <w:tcW w:w="713" w:type="dxa"/>
            <w:vAlign w:val="center"/>
          </w:tcPr>
          <w:p>
            <w:pPr>
              <w:spacing w:line="560" w:lineRule="exact"/>
              <w:jc w:val="center"/>
              <w:rPr>
                <w:rFonts w:ascii="仿宋_GB2312" w:hAnsi="仿宋_GB2312" w:eastAsia="仿宋_GB2312" w:cs="仿宋_GB2312"/>
                <w:b/>
                <w:bCs/>
                <w:szCs w:val="21"/>
              </w:rPr>
            </w:pPr>
          </w:p>
        </w:tc>
        <w:tc>
          <w:tcPr>
            <w:tcW w:w="651"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2.5</w:t>
            </w:r>
          </w:p>
        </w:tc>
        <w:tc>
          <w:tcPr>
            <w:tcW w:w="850"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2.5</w:t>
            </w:r>
          </w:p>
        </w:tc>
        <w:tc>
          <w:tcPr>
            <w:tcW w:w="959"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2.5</w:t>
            </w:r>
          </w:p>
        </w:tc>
        <w:tc>
          <w:tcPr>
            <w:tcW w:w="708"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850" w:type="dxa"/>
            <w:vAlign w:val="center"/>
          </w:tcPr>
          <w:p>
            <w:pPr>
              <w:spacing w:line="560" w:lineRule="exact"/>
              <w:jc w:val="center"/>
              <w:rPr>
                <w:rFonts w:ascii="仿宋_GB2312" w:hAnsi="仿宋_GB2312" w:eastAsia="仿宋_GB2312" w:cs="仿宋_GB2312"/>
                <w:b/>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68"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日常公用经费</w:t>
            </w:r>
          </w:p>
        </w:tc>
        <w:tc>
          <w:tcPr>
            <w:tcW w:w="1134"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134"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打印机</w:t>
            </w:r>
          </w:p>
        </w:tc>
        <w:tc>
          <w:tcPr>
            <w:tcW w:w="850"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A0201060102</w:t>
            </w:r>
          </w:p>
        </w:tc>
        <w:tc>
          <w:tcPr>
            <w:tcW w:w="785"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台</w:t>
            </w:r>
          </w:p>
        </w:tc>
        <w:tc>
          <w:tcPr>
            <w:tcW w:w="862"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713"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0.5</w:t>
            </w:r>
          </w:p>
        </w:tc>
        <w:tc>
          <w:tcPr>
            <w:tcW w:w="651"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850"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959"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708"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850" w:type="dxa"/>
            <w:vAlign w:val="center"/>
          </w:tcPr>
          <w:p>
            <w:pPr>
              <w:spacing w:line="560" w:lineRule="exact"/>
              <w:jc w:val="center"/>
              <w:rPr>
                <w:rFonts w:ascii="仿宋_GB2312" w:hAnsi="仿宋_GB2312" w:eastAsia="仿宋_GB2312" w:cs="仿宋_GB2312"/>
                <w:b/>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68"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日常公用经费</w:t>
            </w:r>
          </w:p>
        </w:tc>
        <w:tc>
          <w:tcPr>
            <w:tcW w:w="1134"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1134"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计算机</w:t>
            </w:r>
          </w:p>
        </w:tc>
        <w:tc>
          <w:tcPr>
            <w:tcW w:w="850"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A02010104</w:t>
            </w:r>
          </w:p>
        </w:tc>
        <w:tc>
          <w:tcPr>
            <w:tcW w:w="785"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台</w:t>
            </w:r>
          </w:p>
        </w:tc>
        <w:tc>
          <w:tcPr>
            <w:tcW w:w="862"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w:t>
            </w:r>
          </w:p>
        </w:tc>
        <w:tc>
          <w:tcPr>
            <w:tcW w:w="713"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0.25</w:t>
            </w:r>
          </w:p>
        </w:tc>
        <w:tc>
          <w:tcPr>
            <w:tcW w:w="651"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850"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959"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708"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850" w:type="dxa"/>
            <w:vAlign w:val="center"/>
          </w:tcPr>
          <w:p>
            <w:pPr>
              <w:spacing w:line="560" w:lineRule="exact"/>
              <w:jc w:val="center"/>
              <w:rPr>
                <w:rFonts w:ascii="仿宋_GB2312" w:hAnsi="仿宋_GB2312" w:eastAsia="仿宋_GB2312" w:cs="仿宋_GB2312"/>
                <w:b/>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68"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日常公用经费</w:t>
            </w:r>
          </w:p>
        </w:tc>
        <w:tc>
          <w:tcPr>
            <w:tcW w:w="1134"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1134"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办公桌椅</w:t>
            </w:r>
          </w:p>
        </w:tc>
        <w:tc>
          <w:tcPr>
            <w:tcW w:w="850"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A060205</w:t>
            </w:r>
          </w:p>
        </w:tc>
        <w:tc>
          <w:tcPr>
            <w:tcW w:w="785"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套</w:t>
            </w:r>
          </w:p>
        </w:tc>
        <w:tc>
          <w:tcPr>
            <w:tcW w:w="862"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w:t>
            </w:r>
          </w:p>
        </w:tc>
        <w:tc>
          <w:tcPr>
            <w:tcW w:w="713"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0.25</w:t>
            </w:r>
          </w:p>
        </w:tc>
        <w:tc>
          <w:tcPr>
            <w:tcW w:w="651"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850"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959"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708"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850" w:type="dxa"/>
            <w:vAlign w:val="center"/>
          </w:tcPr>
          <w:p>
            <w:pPr>
              <w:spacing w:line="560" w:lineRule="exact"/>
              <w:jc w:val="center"/>
              <w:rPr>
                <w:rFonts w:ascii="仿宋_GB2312" w:hAnsi="仿宋_GB2312" w:eastAsia="仿宋_GB2312" w:cs="仿宋_GB2312"/>
                <w:b/>
                <w:bCs/>
                <w:szCs w:val="21"/>
              </w:rPr>
            </w:pPr>
          </w:p>
        </w:tc>
      </w:tr>
      <w:bookmarkEnd w:id="1"/>
    </w:tbl>
    <w:p>
      <w:pPr>
        <w:spacing w:beforeLines="120" w:afterLines="50" w:line="600" w:lineRule="exact"/>
        <w:jc w:val="center"/>
        <w:outlineLvl w:val="0"/>
        <w:rPr>
          <w:rFonts w:ascii="黑体" w:hAnsi="黑体" w:eastAsia="黑体" w:cs="楷体"/>
          <w:bCs/>
          <w:sz w:val="32"/>
          <w:szCs w:val="32"/>
        </w:rPr>
      </w:pPr>
    </w:p>
    <w:p>
      <w:pPr>
        <w:spacing w:beforeLines="120" w:afterLines="50" w:line="600" w:lineRule="exact"/>
        <w:jc w:val="center"/>
        <w:outlineLvl w:val="0"/>
        <w:rPr>
          <w:rFonts w:ascii="黑体" w:hAnsi="黑体" w:eastAsia="黑体" w:cs="楷体"/>
          <w:bCs/>
          <w:sz w:val="32"/>
          <w:szCs w:val="32"/>
        </w:rPr>
      </w:pPr>
    </w:p>
    <w:p>
      <w:pPr>
        <w:spacing w:beforeLines="120" w:afterLines="50" w:line="600" w:lineRule="exact"/>
        <w:jc w:val="center"/>
        <w:outlineLvl w:val="0"/>
        <w:rPr>
          <w:rFonts w:ascii="黑体" w:hAnsi="黑体" w:eastAsia="黑体" w:cs="楷体"/>
          <w:bCs/>
          <w:sz w:val="32"/>
          <w:szCs w:val="32"/>
        </w:rPr>
      </w:pPr>
    </w:p>
    <w:p>
      <w:pPr>
        <w:spacing w:beforeLines="120" w:afterLines="50" w:line="40" w:lineRule="exact"/>
        <w:ind w:firstLine="640" w:firstLineChars="200"/>
        <w:jc w:val="left"/>
        <w:outlineLvl w:val="0"/>
        <w:rPr>
          <w:rFonts w:ascii="黑体" w:hAnsi="黑体" w:eastAsia="黑体" w:cs="楷体"/>
          <w:bCs/>
          <w:sz w:val="32"/>
          <w:szCs w:val="32"/>
        </w:rPr>
      </w:pPr>
      <w:r>
        <w:rPr>
          <w:rFonts w:hint="eastAsia" w:ascii="黑体" w:hAnsi="黑体" w:eastAsia="黑体" w:cs="楷体"/>
          <w:bCs/>
          <w:sz w:val="32"/>
          <w:szCs w:val="32"/>
        </w:rPr>
        <w:t>七、国有资产信息</w:t>
      </w:r>
    </w:p>
    <w:p>
      <w:pPr>
        <w:spacing w:line="560" w:lineRule="exact"/>
        <w:ind w:firstLine="640"/>
        <w:rPr>
          <w:rFonts w:ascii="仿宋_GB2312" w:hAnsi="黑体" w:eastAsia="仿宋_GB2312"/>
          <w:sz w:val="32"/>
          <w:szCs w:val="32"/>
        </w:rPr>
      </w:pPr>
      <w:r>
        <w:rPr>
          <w:rFonts w:hint="eastAsia" w:ascii="仿宋_GB2312" w:hAnsi="黑体" w:eastAsia="仿宋_GB2312" w:cs="仿宋_GB2312"/>
          <w:sz w:val="32"/>
          <w:szCs w:val="32"/>
        </w:rPr>
        <w:t>辛义乡人民政府（含所属单位）上年末固定资产金额为2115.38万元，本年度拟购置固定资产主要为计算机设备、打印机、办公桌椅等，已列入政府采购预算。2021年我单位拟购置固定资产2.5万元。详见下表。</w:t>
      </w:r>
    </w:p>
    <w:p>
      <w:pPr>
        <w:spacing w:beforeLines="120" w:afterLines="50" w:line="40" w:lineRule="exact"/>
        <w:jc w:val="center"/>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部门固定资产占用情况表</w:t>
      </w:r>
    </w:p>
    <w:p>
      <w:pPr>
        <w:autoSpaceDE w:val="0"/>
        <w:autoSpaceDN w:val="0"/>
        <w:adjustRightInd w:val="0"/>
        <w:spacing w:line="600" w:lineRule="exact"/>
        <w:ind w:firstLine="1960" w:firstLineChars="7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编制部门：成安县辛义乡人民政府             截止时间：2020年12月31日</w:t>
      </w:r>
    </w:p>
    <w:tbl>
      <w:tblPr>
        <w:tblStyle w:val="4"/>
        <w:tblW w:w="10114" w:type="dxa"/>
        <w:jc w:val="center"/>
        <w:tblLayout w:type="fixed"/>
        <w:tblCellMar>
          <w:top w:w="0" w:type="dxa"/>
          <w:left w:w="108" w:type="dxa"/>
          <w:bottom w:w="0" w:type="dxa"/>
          <w:right w:w="108" w:type="dxa"/>
        </w:tblCellMar>
      </w:tblPr>
      <w:tblGrid>
        <w:gridCol w:w="4151"/>
        <w:gridCol w:w="1795"/>
        <w:gridCol w:w="4168"/>
      </w:tblGrid>
      <w:tr>
        <w:tblPrEx>
          <w:tblCellMar>
            <w:top w:w="0" w:type="dxa"/>
            <w:left w:w="108" w:type="dxa"/>
            <w:bottom w:w="0" w:type="dxa"/>
            <w:right w:w="108" w:type="dxa"/>
          </w:tblCellMar>
        </w:tblPrEx>
        <w:trPr>
          <w:trHeight w:val="645"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22"/>
                <w:szCs w:val="22"/>
              </w:rPr>
            </w:pPr>
            <w:r>
              <w:rPr>
                <w:rFonts w:hint="eastAsia" w:ascii="宋体" w:hAnsi="宋体" w:cs="宋体"/>
                <w:b/>
                <w:bCs/>
                <w:kern w:val="0"/>
                <w:sz w:val="22"/>
                <w:szCs w:val="22"/>
              </w:rPr>
              <w:t>项目</w:t>
            </w:r>
          </w:p>
        </w:tc>
        <w:tc>
          <w:tcPr>
            <w:tcW w:w="1795"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2"/>
                <w:szCs w:val="22"/>
              </w:rPr>
            </w:pPr>
            <w:r>
              <w:rPr>
                <w:rFonts w:hint="eastAsia" w:ascii="宋体" w:hAnsi="宋体" w:cs="宋体"/>
                <w:b/>
                <w:bCs/>
                <w:kern w:val="0"/>
                <w:sz w:val="22"/>
                <w:szCs w:val="22"/>
              </w:rPr>
              <w:t>数量</w:t>
            </w:r>
          </w:p>
        </w:tc>
        <w:tc>
          <w:tcPr>
            <w:tcW w:w="416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cs="宋体"/>
                <w:kern w:val="0"/>
                <w:sz w:val="22"/>
                <w:szCs w:val="22"/>
              </w:rPr>
              <w:t>资产总额</w:t>
            </w:r>
          </w:p>
        </w:tc>
        <w:tc>
          <w:tcPr>
            <w:tcW w:w="17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w:t>
            </w:r>
          </w:p>
        </w:tc>
        <w:tc>
          <w:tcPr>
            <w:tcW w:w="416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color w:val="000000"/>
                <w:kern w:val="0"/>
                <w:sz w:val="22"/>
                <w:szCs w:val="22"/>
              </w:rPr>
              <w:t>2115.38</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ascii="宋体" w:hAnsi="宋体" w:cs="宋体"/>
                <w:kern w:val="0"/>
                <w:sz w:val="22"/>
                <w:szCs w:val="22"/>
              </w:rPr>
              <w:t>1</w:t>
            </w:r>
            <w:r>
              <w:rPr>
                <w:rFonts w:hint="eastAsia" w:ascii="宋体" w:hAnsi="宋体" w:cs="宋体"/>
                <w:kern w:val="0"/>
                <w:sz w:val="22"/>
                <w:szCs w:val="22"/>
              </w:rPr>
              <w:t>、房屋（平方米）</w:t>
            </w:r>
          </w:p>
        </w:tc>
        <w:tc>
          <w:tcPr>
            <w:tcW w:w="1795"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10873.74</w:t>
            </w:r>
          </w:p>
        </w:tc>
        <w:tc>
          <w:tcPr>
            <w:tcW w:w="4168" w:type="dxa"/>
            <w:tcBorders>
              <w:top w:val="nil"/>
              <w:left w:val="nil"/>
              <w:bottom w:val="single" w:color="auto" w:sz="4" w:space="0"/>
              <w:right w:val="single" w:color="auto" w:sz="4" w:space="0"/>
            </w:tcBorders>
            <w:vAlign w:val="center"/>
          </w:tcPr>
          <w:p>
            <w:pPr>
              <w:widowControl/>
              <w:jc w:val="center"/>
              <w:textAlignment w:val="center"/>
              <w:rPr>
                <w:rFonts w:ascii="宋体" w:hAnsi="宋体"/>
                <w:kern w:val="0"/>
                <w:sz w:val="22"/>
                <w:szCs w:val="22"/>
              </w:rPr>
            </w:pPr>
            <w:r>
              <w:rPr>
                <w:rFonts w:hint="eastAsia" w:ascii="宋体" w:hAnsi="宋体" w:cs="宋体"/>
                <w:color w:val="000000"/>
                <w:kern w:val="0"/>
                <w:sz w:val="22"/>
                <w:szCs w:val="22"/>
              </w:rPr>
              <w:t>778.88</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cs="宋体"/>
                <w:kern w:val="0"/>
                <w:sz w:val="22"/>
                <w:szCs w:val="22"/>
              </w:rPr>
              <w:t>其中：办公用房（平方米）</w:t>
            </w:r>
          </w:p>
        </w:tc>
        <w:tc>
          <w:tcPr>
            <w:tcW w:w="1795"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650</w:t>
            </w:r>
          </w:p>
        </w:tc>
        <w:tc>
          <w:tcPr>
            <w:tcW w:w="4168" w:type="dxa"/>
            <w:tcBorders>
              <w:top w:val="nil"/>
              <w:left w:val="nil"/>
              <w:bottom w:val="single" w:color="auto" w:sz="4" w:space="0"/>
              <w:right w:val="single" w:color="auto" w:sz="4" w:space="0"/>
            </w:tcBorders>
            <w:vAlign w:val="center"/>
          </w:tcPr>
          <w:p>
            <w:pPr>
              <w:widowControl/>
              <w:jc w:val="center"/>
              <w:textAlignment w:val="center"/>
              <w:rPr>
                <w:rFonts w:ascii="宋体" w:hAnsi="宋体"/>
                <w:kern w:val="0"/>
                <w:sz w:val="22"/>
                <w:szCs w:val="22"/>
              </w:rPr>
            </w:pPr>
            <w:r>
              <w:rPr>
                <w:rFonts w:hint="eastAsia" w:ascii="宋体" w:hAnsi="宋体" w:cs="宋体"/>
                <w:color w:val="000000"/>
                <w:kern w:val="0"/>
                <w:sz w:val="22"/>
                <w:szCs w:val="22"/>
              </w:rPr>
              <w:t>10</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ascii="宋体" w:hAnsi="宋体" w:cs="宋体"/>
                <w:kern w:val="0"/>
                <w:sz w:val="22"/>
                <w:szCs w:val="22"/>
              </w:rPr>
              <w:t>2</w:t>
            </w:r>
            <w:r>
              <w:rPr>
                <w:rFonts w:hint="eastAsia" w:ascii="宋体" w:hAnsi="宋体" w:cs="宋体"/>
                <w:kern w:val="0"/>
                <w:sz w:val="22"/>
                <w:szCs w:val="22"/>
              </w:rPr>
              <w:t>、车辆（台、辆）</w:t>
            </w:r>
          </w:p>
        </w:tc>
        <w:tc>
          <w:tcPr>
            <w:tcW w:w="1795"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2</w:t>
            </w:r>
          </w:p>
        </w:tc>
        <w:tc>
          <w:tcPr>
            <w:tcW w:w="4168" w:type="dxa"/>
            <w:tcBorders>
              <w:top w:val="nil"/>
              <w:left w:val="nil"/>
              <w:bottom w:val="single" w:color="auto" w:sz="4" w:space="0"/>
              <w:right w:val="single" w:color="auto" w:sz="4" w:space="0"/>
            </w:tcBorders>
            <w:vAlign w:val="center"/>
          </w:tcPr>
          <w:p>
            <w:pPr>
              <w:widowControl/>
              <w:jc w:val="center"/>
              <w:textAlignment w:val="center"/>
              <w:rPr>
                <w:rFonts w:ascii="宋体" w:hAnsi="宋体"/>
                <w:kern w:val="0"/>
                <w:sz w:val="22"/>
                <w:szCs w:val="22"/>
              </w:rPr>
            </w:pPr>
            <w:r>
              <w:rPr>
                <w:rFonts w:hint="eastAsia" w:ascii="宋体" w:hAnsi="宋体" w:cs="宋体"/>
                <w:color w:val="000000"/>
                <w:kern w:val="0"/>
                <w:sz w:val="22"/>
                <w:szCs w:val="22"/>
              </w:rPr>
              <w:t>17.76</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50</w:t>
            </w:r>
            <w:r>
              <w:rPr>
                <w:rFonts w:hint="eastAsia" w:ascii="宋体" w:hAnsi="宋体" w:cs="宋体"/>
                <w:kern w:val="0"/>
                <w:sz w:val="22"/>
                <w:szCs w:val="22"/>
              </w:rPr>
              <w:t>万元以上的设备</w:t>
            </w:r>
          </w:p>
        </w:tc>
        <w:tc>
          <w:tcPr>
            <w:tcW w:w="1795"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8</w:t>
            </w:r>
          </w:p>
        </w:tc>
        <w:tc>
          <w:tcPr>
            <w:tcW w:w="4168" w:type="dxa"/>
            <w:tcBorders>
              <w:top w:val="nil"/>
              <w:left w:val="nil"/>
              <w:bottom w:val="single" w:color="auto" w:sz="4" w:space="0"/>
              <w:right w:val="single" w:color="auto" w:sz="4" w:space="0"/>
            </w:tcBorders>
            <w:vAlign w:val="center"/>
          </w:tcPr>
          <w:p>
            <w:pPr>
              <w:widowControl/>
              <w:jc w:val="center"/>
              <w:textAlignment w:val="center"/>
              <w:rPr>
                <w:rFonts w:ascii="宋体" w:hAnsi="宋体"/>
                <w:kern w:val="0"/>
                <w:sz w:val="22"/>
                <w:szCs w:val="22"/>
              </w:rPr>
            </w:pPr>
            <w:r>
              <w:rPr>
                <w:rFonts w:hint="eastAsia" w:ascii="宋体" w:hAnsi="宋体" w:cs="宋体"/>
                <w:color w:val="000000"/>
                <w:kern w:val="0"/>
                <w:sz w:val="22"/>
                <w:szCs w:val="22"/>
              </w:rPr>
              <w:t>927.68</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ascii="宋体" w:hAnsi="宋体" w:cs="宋体"/>
                <w:kern w:val="0"/>
                <w:sz w:val="22"/>
                <w:szCs w:val="22"/>
              </w:rPr>
              <w:t>4</w:t>
            </w:r>
            <w:r>
              <w:rPr>
                <w:rFonts w:hint="eastAsia" w:ascii="宋体" w:hAnsi="宋体" w:cs="宋体"/>
                <w:kern w:val="0"/>
                <w:sz w:val="22"/>
                <w:szCs w:val="22"/>
              </w:rPr>
              <w:t>、其他固定资产</w:t>
            </w:r>
          </w:p>
        </w:tc>
        <w:tc>
          <w:tcPr>
            <w:tcW w:w="1795"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494</w:t>
            </w:r>
          </w:p>
        </w:tc>
        <w:tc>
          <w:tcPr>
            <w:tcW w:w="416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391.06</w:t>
            </w:r>
          </w:p>
        </w:tc>
      </w:tr>
    </w:tbl>
    <w:p>
      <w:pPr>
        <w:autoSpaceDE w:val="0"/>
        <w:autoSpaceDN w:val="0"/>
        <w:adjustRightInd w:val="0"/>
        <w:spacing w:line="600" w:lineRule="exact"/>
        <w:ind w:firstLine="640" w:firstLineChars="200"/>
        <w:jc w:val="left"/>
        <w:rPr>
          <w:rFonts w:ascii="黑体" w:hAnsi="黑体" w:eastAsia="黑体" w:cs="楷体"/>
          <w:bCs/>
          <w:sz w:val="32"/>
          <w:szCs w:val="32"/>
        </w:rPr>
      </w:pPr>
      <w:r>
        <w:rPr>
          <w:rFonts w:hint="eastAsia" w:ascii="黑体" w:hAnsi="黑体" w:eastAsia="黑体" w:cs="楷体"/>
          <w:bCs/>
          <w:sz w:val="32"/>
          <w:szCs w:val="32"/>
        </w:rPr>
        <w:t>八、名词解释</w:t>
      </w:r>
    </w:p>
    <w:p>
      <w:pPr>
        <w:pStyle w:val="6"/>
        <w:widowControl/>
        <w:spacing w:line="600" w:lineRule="exact"/>
        <w:ind w:left="1559" w:leftChars="304" w:hanging="921" w:hangingChars="288"/>
        <w:jc w:val="left"/>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1、财政拨款收入：指</w:t>
      </w:r>
      <w:r>
        <w:rPr>
          <w:rFonts w:hint="eastAsia" w:ascii="仿宋_GB2312" w:hAnsi="仿宋_GB2312" w:eastAsia="仿宋_GB2312" w:cs="仿宋_GB2312"/>
          <w:kern w:val="0"/>
          <w:sz w:val="32"/>
          <w:szCs w:val="32"/>
        </w:rPr>
        <w:t>财政当年拨付的资金。</w:t>
      </w:r>
    </w:p>
    <w:p>
      <w:pPr>
        <w:pStyle w:val="6"/>
        <w:widowControl/>
        <w:spacing w:line="60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pStyle w:val="6"/>
        <w:widowControl/>
        <w:spacing w:line="600" w:lineRule="exact"/>
        <w:ind w:firstLine="640"/>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3、年初结转和结余</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 xml:space="preserve">指以前年度尚未完成，结转到本年仍按照原规定用途继续使用的资金，或项目已完成等产生的结余资金。 </w:t>
      </w:r>
      <w:r>
        <w:rPr>
          <w:rFonts w:hint="eastAsia" w:ascii="仿宋_GB2312" w:hAnsi="仿宋_GB2312" w:eastAsia="仿宋_GB2312" w:cs="仿宋_GB2312"/>
          <w:b/>
          <w:kern w:val="0"/>
          <w:sz w:val="32"/>
          <w:szCs w:val="32"/>
        </w:rPr>
        <w:t> </w:t>
      </w:r>
    </w:p>
    <w:p>
      <w:pPr>
        <w:pStyle w:val="6"/>
        <w:widowControl/>
        <w:spacing w:line="600" w:lineRule="exact"/>
        <w:ind w:firstLine="640"/>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 xml:space="preserve">4、基本支出：指单位为了保障其正常运转、完成日常工作任务而发生的人员支出和公用支出。 </w:t>
      </w:r>
      <w:r>
        <w:rPr>
          <w:rFonts w:hint="eastAsia" w:ascii="仿宋_GB2312" w:hAnsi="仿宋_GB2312" w:eastAsia="仿宋_GB2312" w:cs="仿宋_GB2312"/>
          <w:b/>
          <w:kern w:val="0"/>
          <w:sz w:val="32"/>
          <w:szCs w:val="32"/>
        </w:rPr>
        <w:t> </w:t>
      </w:r>
    </w:p>
    <w:p>
      <w:pPr>
        <w:pStyle w:val="6"/>
        <w:widowControl/>
        <w:spacing w:line="60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5、项目支出：指单位为了特定的工作任务和事业发展目标，在基本支出之外所发生的支出。</w:t>
      </w:r>
    </w:p>
    <w:p>
      <w:pPr>
        <w:tabs>
          <w:tab w:val="left" w:pos="11490"/>
        </w:tabs>
        <w:spacing w:line="600" w:lineRule="exact"/>
        <w:ind w:firstLine="640" w:firstLineChars="200"/>
        <w:rPr>
          <w:rFonts w:ascii="黑体" w:hAnsi="黑体" w:eastAsia="黑体" w:cs="楷体"/>
          <w:b/>
          <w:sz w:val="32"/>
          <w:szCs w:val="32"/>
        </w:rPr>
      </w:pPr>
      <w:r>
        <w:rPr>
          <w:rFonts w:hint="eastAsia" w:ascii="黑体" w:hAnsi="黑体" w:eastAsia="黑体" w:cs="楷体"/>
          <w:b/>
          <w:sz w:val="32"/>
          <w:szCs w:val="32"/>
        </w:rPr>
        <w:t>九、其它需要说明的事项</w:t>
      </w:r>
    </w:p>
    <w:p>
      <w:pPr>
        <w:tabs>
          <w:tab w:val="left" w:pos="1149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无其它需要说明的事项。</w:t>
      </w:r>
    </w:p>
    <w:p>
      <w:pPr>
        <w:autoSpaceDE w:val="0"/>
        <w:autoSpaceDN w:val="0"/>
        <w:adjustRightInd w:val="0"/>
        <w:jc w:val="left"/>
        <w:rPr>
          <w:rFonts w:ascii="仿宋_GB2312" w:hAnsi="仿宋_GB2312" w:eastAsia="仿宋_GB2312" w:cs="仿宋_GB2312"/>
          <w:sz w:val="32"/>
          <w:szCs w:val="32"/>
        </w:rPr>
      </w:pPr>
    </w:p>
    <w:sectPr>
      <w:pgSz w:w="16838" w:h="11906" w:orient="landscape"/>
      <w:pgMar w:top="1757" w:right="1531" w:bottom="1474" w:left="1531" w:header="851" w:footer="992" w:gutter="0"/>
      <w:cols w:space="0" w:num="1"/>
      <w:docGrid w:type="linesAndChar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4lAdABAACkAwAADgAAAGRycy9lMm9Eb2MueG1srVPNjtMwEL4j8Q6W&#10;7zTZrhaV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NieMWB37+8f388/f51zdy&#10;neXpAzSYdR8wLw3v/IBLM98DXmbWg4o2f5EPwTiKe7qIK4dERC5aLVerGkMCY7OD+NVjeYiQ3ktv&#10;STYYjTi9Iio/foQ0ps4p+TXn77QxZYLGkZ7RNzfLm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f4lAdABAACkAwAADgAAAAAAAAABACAAAAAeAQAAZHJz&#10;L2Uyb0RvYy54bWxQSwUGAAAAAAYABgBZAQAAYAUAAAAA&#10;">
          <v:path/>
          <v:fill on="f" focussize="0,0"/>
          <v:stroke on="f" joinstyle="miter"/>
          <v:imagedata o:title=""/>
          <o:lock v:ext="edit"/>
          <v:textbox inset="0mm,0mm,0mm,0mm" style="mso-fit-shape-to-text:t;">
            <w:txbxContent>
              <w:p>
                <w:pPr>
                  <w:pStyle w:val="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06"/>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IyYjVkM2Q3OGI3NjgyMmRhNzc4Mzg1ZjJiNjZhOGYifQ=="/>
  </w:docVars>
  <w:rsids>
    <w:rsidRoot w:val="575F10C3"/>
    <w:rsid w:val="002C19AD"/>
    <w:rsid w:val="009C5A7F"/>
    <w:rsid w:val="00C6134B"/>
    <w:rsid w:val="00DC4B47"/>
    <w:rsid w:val="16A50D85"/>
    <w:rsid w:val="18354279"/>
    <w:rsid w:val="398F24F9"/>
    <w:rsid w:val="3F9B4224"/>
    <w:rsid w:val="44A66F1C"/>
    <w:rsid w:val="55B00017"/>
    <w:rsid w:val="575F10C3"/>
    <w:rsid w:val="5E1D4389"/>
    <w:rsid w:val="5F3C2B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2"/>
    <w:basedOn w:val="1"/>
    <w:unhideWhenUsed/>
    <w:qFormat/>
    <w:uiPriority w:val="99"/>
    <w:pPr>
      <w:ind w:firstLine="420" w:firstLineChars="200"/>
    </w:p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8711</Words>
  <Characters>9021</Characters>
  <Lines>64</Lines>
  <Paragraphs>18</Paragraphs>
  <TotalTime>0</TotalTime>
  <ScaleCrop>false</ScaleCrop>
  <LinksUpToDate>false</LinksUpToDate>
  <CharactersWithSpaces>9043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2021-04-02T03:57:00Z</dcterms:created>
  <dc:creator>HP</dc:creator>
  <cp:lastModifiedBy>Wang</cp:lastModifiedBy>
  <dcterms:modified xsi:type="dcterms:W3CDTF">2024-01-18T04:36:09Z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FD0DEBE8CD574E03AFA4EAF658CCD440</vt:lpwstr>
  </property>
</Properties>
</file>