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sz w:val="44"/>
          <w:szCs w:val="44"/>
        </w:rPr>
        <w:t>中国人民政治协商会议河北省成安县委员会</w:t>
      </w:r>
      <w:r>
        <w:rPr>
          <w:rFonts w:hint="eastAsia" w:ascii="黑体" w:hAnsi="黑体" w:eastAsia="黑体" w:cs="黑体"/>
          <w:sz w:val="44"/>
          <w:szCs w:val="44"/>
          <w:lang w:eastAsia="zh-CN"/>
        </w:rPr>
        <w:t>所属单位</w:t>
      </w:r>
      <w:r>
        <w:rPr>
          <w:rFonts w:ascii="黑体" w:hAnsi="黑体" w:eastAsia="黑体" w:cs="黑体"/>
          <w:color w:val="000000"/>
          <w:sz w:val="44"/>
        </w:rPr>
        <w:t>2022年</w:t>
      </w:r>
      <w:r>
        <w:rPr>
          <w:rFonts w:hint="eastAsia" w:ascii="黑体" w:hAnsi="黑体" w:eastAsia="黑体" w:cs="黑体"/>
          <w:color w:val="000000"/>
          <w:sz w:val="44"/>
          <w:lang w:eastAsia="zh-CN"/>
        </w:rPr>
        <w:t>单位</w:t>
      </w:r>
      <w:r>
        <w:rPr>
          <w:rFonts w:ascii="黑体" w:hAnsi="黑体" w:eastAsia="黑体" w:cs="黑体"/>
          <w:color w:val="000000"/>
          <w:sz w:val="44"/>
        </w:rPr>
        <w:t>预算信息公开目录</w:t>
      </w:r>
    </w:p>
    <w:p>
      <w:pPr>
        <w:jc w:val="center"/>
      </w:pPr>
      <w:r>
        <w:rPr>
          <w:rFonts w:ascii="黑体" w:hAnsi="黑体" w:eastAsia="黑体" w:cs="黑体"/>
          <w:b/>
          <w:color w:val="000000"/>
          <w:sz w:val="30"/>
        </w:rPr>
        <w:t xml:space="preserve"> </w:t>
      </w:r>
    </w:p>
    <w:p>
      <w:pPr>
        <w:jc w:val="center"/>
      </w:pP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eastAsia="zh-CN"/>
        </w:rPr>
        <w:t>5</w:t>
      </w:r>
      <w:r>
        <w:rPr>
          <w:rFonts w:hint="eastAsia"/>
          <w:lang w:eastAsia="zh-CN"/>
        </w:rP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8</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1</w:t>
      </w:r>
    </w:p>
    <w:p>
      <w:pPr>
        <w:pStyle w:val="5"/>
        <w:tabs>
          <w:tab w:val="right" w:leader="dot" w:pos="14562"/>
        </w:tabs>
        <w:rPr>
          <w:lang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eastAsia="zh-CN"/>
        </w:rPr>
        <w:t>1</w:t>
      </w:r>
      <w:r>
        <w:rPr>
          <w:rFonts w:hint="eastAsia"/>
          <w:lang w:eastAsia="zh-CN"/>
        </w:rPr>
        <w:fldChar w:fldCharType="end"/>
      </w:r>
      <w:r>
        <w:rPr>
          <w:rFonts w:hint="eastAsia"/>
          <w:lang w:eastAsia="zh-CN"/>
        </w:rPr>
        <w:t>3</w:t>
      </w:r>
    </w:p>
    <w:p>
      <w:pPr>
        <w:pStyle w:val="5"/>
        <w:tabs>
          <w:tab w:val="right" w:leader="dot" w:pos="14562"/>
        </w:tabs>
        <w:rPr>
          <w:lang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5</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1</w:t>
      </w:r>
      <w:r>
        <w:fldChar w:fldCharType="end"/>
      </w:r>
      <w: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fldChar w:fldCharType="end"/>
      </w:r>
      <w:r>
        <w:fldChar w:fldCharType="end"/>
      </w:r>
      <w:r>
        <w:rPr>
          <w:rFonts w:hint="eastAsia"/>
          <w:lang w:eastAsia="zh-CN"/>
        </w:rPr>
        <w:t>9</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fldChar w:fldCharType="end"/>
      </w:r>
      <w:r>
        <w:rPr>
          <w:rFonts w:hint="eastAsia"/>
          <w:lang w:eastAsia="zh-CN"/>
        </w:rPr>
        <w:t>20</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fldChar w:fldCharType="end"/>
      </w:r>
      <w:r>
        <w:rPr>
          <w:rFonts w:hint="eastAsia"/>
          <w:lang w:eastAsia="zh-CN"/>
        </w:rPr>
        <w:t>20</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fldChar w:fldCharType="end"/>
      </w:r>
      <w:r>
        <w:rPr>
          <w:rFonts w:hint="eastAsia"/>
          <w:lang w:eastAsia="zh-CN"/>
        </w:rPr>
        <w:t>29</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fldChar w:fldCharType="end"/>
      </w:r>
      <w:r>
        <w:rPr>
          <w:rFonts w:hint="eastAsia"/>
          <w:lang w:eastAsia="zh-CN"/>
        </w:rPr>
        <w:t>29</w:t>
      </w:r>
    </w:p>
    <w:p>
      <w:pPr>
        <w:pStyle w:val="5"/>
        <w:tabs>
          <w:tab w:val="right" w:leader="dot" w:pos="14562"/>
        </w:tabs>
        <w:rPr>
          <w:lang w:eastAsia="zh-CN"/>
        </w:rPr>
      </w:pPr>
      <w:r>
        <w:fldChar w:fldCharType="begin"/>
      </w:r>
      <w:r>
        <w:instrText xml:space="preserve"> HYPERLINK \l "_Toc_3_3_0000000017" </w:instrText>
      </w:r>
      <w:r>
        <w:fldChar w:fldCharType="separate"/>
      </w:r>
      <w:r>
        <w:t>八、名词解释</w:t>
      </w:r>
      <w:r>
        <w:tab/>
      </w:r>
      <w:r>
        <w:fldChar w:fldCharType="end"/>
      </w:r>
      <w:r>
        <w:rPr>
          <w:rFonts w:hint="eastAsia"/>
          <w:lang w:eastAsia="zh-CN"/>
        </w:rPr>
        <w:t>30</w:t>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fldChar w:fldCharType="end"/>
      </w:r>
      <w:r>
        <w:rPr>
          <w:rFonts w:hint="eastAsia"/>
          <w:lang w:eastAsia="zh-CN"/>
        </w:rPr>
        <w:t>31</w:t>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jc w:val="center"/>
        <w:outlineLvl w:val="3"/>
      </w:pPr>
      <w:bookmarkStart w:id="0" w:name="_Toc_4_4_0000000019"/>
      <w:r>
        <w:rPr>
          <w:rFonts w:ascii="方正小标宋_GBK" w:hAnsi="方正小标宋_GBK" w:eastAsia="方正小标宋_GBK" w:cs="方正小标宋_GBK"/>
          <w:color w:val="000000"/>
          <w:sz w:val="44"/>
        </w:rPr>
        <w:t>一、中国人民政治协商会议河北省成安县委员会收支预算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131001中国人民政治协商会议河北省成安县委员会</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r>
              <w:t>一、一般公共预算拨款收入</w:t>
            </w:r>
          </w:p>
        </w:tc>
        <w:tc>
          <w:tcPr>
            <w:tcW w:w="2126" w:type="dxa"/>
            <w:vAlign w:val="center"/>
          </w:tcPr>
          <w:p>
            <w:pPr>
              <w:pStyle w:val="16"/>
            </w:pPr>
            <w:r>
              <w:t>233.24</w:t>
            </w:r>
          </w:p>
        </w:tc>
        <w:tc>
          <w:tcPr>
            <w:tcW w:w="4535" w:type="dxa"/>
            <w:vAlign w:val="center"/>
          </w:tcPr>
          <w:p>
            <w:pPr>
              <w:pStyle w:val="17"/>
            </w:pPr>
            <w:r>
              <w:t>一、一般公共服务支出</w:t>
            </w:r>
          </w:p>
        </w:tc>
        <w:tc>
          <w:tcPr>
            <w:tcW w:w="2126" w:type="dxa"/>
            <w:vAlign w:val="center"/>
          </w:tcPr>
          <w:p>
            <w:pPr>
              <w:pStyle w:val="16"/>
            </w:pPr>
            <w:r>
              <w:t>180.99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8.95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13.43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9"/>
            </w:pPr>
            <w:r>
              <w:t>本年收入合计</w:t>
            </w:r>
          </w:p>
        </w:tc>
        <w:tc>
          <w:tcPr>
            <w:tcW w:w="2126" w:type="dxa"/>
            <w:vAlign w:val="center"/>
          </w:tcPr>
          <w:p>
            <w:pPr>
              <w:pStyle w:val="20"/>
            </w:pPr>
            <w:r>
              <w:t>233.24</w:t>
            </w:r>
          </w:p>
        </w:tc>
        <w:tc>
          <w:tcPr>
            <w:tcW w:w="4535" w:type="dxa"/>
            <w:vAlign w:val="center"/>
          </w:tcPr>
          <w:p>
            <w:pPr>
              <w:pStyle w:val="19"/>
            </w:pPr>
            <w:r>
              <w:t>本年支出合计</w:t>
            </w:r>
          </w:p>
        </w:tc>
        <w:tc>
          <w:tcPr>
            <w:tcW w:w="2126" w:type="dxa"/>
            <w:vAlign w:val="center"/>
          </w:tcPr>
          <w:p>
            <w:pPr>
              <w:pStyle w:val="20"/>
            </w:pPr>
            <w:r>
              <w:t>233.24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9"/>
            </w:pPr>
            <w:r>
              <w:t>收入总计</w:t>
            </w:r>
          </w:p>
        </w:tc>
        <w:tc>
          <w:tcPr>
            <w:tcW w:w="2126" w:type="dxa"/>
            <w:vAlign w:val="center"/>
          </w:tcPr>
          <w:p>
            <w:pPr>
              <w:pStyle w:val="20"/>
            </w:pPr>
            <w:r>
              <w:t>233.24</w:t>
            </w:r>
          </w:p>
        </w:tc>
        <w:tc>
          <w:tcPr>
            <w:tcW w:w="4535" w:type="dxa"/>
            <w:vAlign w:val="center"/>
          </w:tcPr>
          <w:p>
            <w:pPr>
              <w:pStyle w:val="19"/>
            </w:pPr>
            <w:r>
              <w:t>支出总计</w:t>
            </w:r>
          </w:p>
        </w:tc>
        <w:tc>
          <w:tcPr>
            <w:tcW w:w="2126" w:type="dxa"/>
            <w:vAlign w:val="center"/>
          </w:tcPr>
          <w:p>
            <w:pPr>
              <w:pStyle w:val="20"/>
            </w:pPr>
            <w:r>
              <w:t>233.24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9"/>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131001中国人民政治协商会议河北省成安县委员会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2" w:type="dxa"/>
            <w:gridSpan w:val="8"/>
            <w:vAlign w:val="center"/>
          </w:tcPr>
          <w:p>
            <w:pPr>
              <w:pStyle w:val="15"/>
            </w:pPr>
            <w:r>
              <w:t>本年收入</w:t>
            </w:r>
          </w:p>
        </w:tc>
        <w:tc>
          <w:tcPr>
            <w:tcW w:w="1134" w:type="dxa"/>
            <w:vMerge w:val="restart"/>
            <w:vAlign w:val="center"/>
          </w:tcPr>
          <w:p>
            <w:pPr>
              <w:pStyle w:val="15"/>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233.24</w:t>
            </w:r>
          </w:p>
        </w:tc>
        <w:tc>
          <w:tcPr>
            <w:tcW w:w="1134" w:type="dxa"/>
            <w:vAlign w:val="center"/>
          </w:tcPr>
          <w:p>
            <w:pPr>
              <w:pStyle w:val="20"/>
            </w:pPr>
            <w:r>
              <w:t>233.24</w:t>
            </w:r>
          </w:p>
        </w:tc>
        <w:tc>
          <w:tcPr>
            <w:tcW w:w="1134" w:type="dxa"/>
            <w:vAlign w:val="center"/>
          </w:tcPr>
          <w:p>
            <w:pPr>
              <w:pStyle w:val="20"/>
            </w:pPr>
            <w:r>
              <w:t>233.24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180.99</w:t>
            </w:r>
          </w:p>
        </w:tc>
        <w:tc>
          <w:tcPr>
            <w:tcW w:w="1134" w:type="dxa"/>
            <w:vAlign w:val="center"/>
          </w:tcPr>
          <w:p>
            <w:pPr>
              <w:pStyle w:val="16"/>
            </w:pPr>
            <w:r>
              <w:t>180.99</w:t>
            </w:r>
          </w:p>
        </w:tc>
        <w:tc>
          <w:tcPr>
            <w:tcW w:w="1134" w:type="dxa"/>
            <w:vAlign w:val="center"/>
          </w:tcPr>
          <w:p>
            <w:pPr>
              <w:pStyle w:val="16"/>
            </w:pPr>
            <w:r>
              <w:t>180.99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20102</w:t>
            </w:r>
          </w:p>
        </w:tc>
        <w:tc>
          <w:tcPr>
            <w:tcW w:w="1559" w:type="dxa"/>
            <w:vAlign w:val="center"/>
          </w:tcPr>
          <w:p>
            <w:pPr>
              <w:pStyle w:val="17"/>
            </w:pPr>
            <w:r>
              <w:t>政协事务</w:t>
            </w:r>
          </w:p>
        </w:tc>
        <w:tc>
          <w:tcPr>
            <w:tcW w:w="1134" w:type="dxa"/>
            <w:vAlign w:val="center"/>
          </w:tcPr>
          <w:p>
            <w:pPr>
              <w:pStyle w:val="16"/>
            </w:pPr>
            <w:r>
              <w:t>180.99</w:t>
            </w:r>
          </w:p>
        </w:tc>
        <w:tc>
          <w:tcPr>
            <w:tcW w:w="1134" w:type="dxa"/>
            <w:vAlign w:val="center"/>
          </w:tcPr>
          <w:p>
            <w:pPr>
              <w:pStyle w:val="16"/>
            </w:pPr>
            <w:r>
              <w:t>180.99</w:t>
            </w:r>
          </w:p>
        </w:tc>
        <w:tc>
          <w:tcPr>
            <w:tcW w:w="1134" w:type="dxa"/>
            <w:vAlign w:val="center"/>
          </w:tcPr>
          <w:p>
            <w:pPr>
              <w:pStyle w:val="16"/>
            </w:pPr>
            <w:r>
              <w:t>180.99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2010201</w:t>
            </w:r>
          </w:p>
        </w:tc>
        <w:tc>
          <w:tcPr>
            <w:tcW w:w="1559" w:type="dxa"/>
            <w:vAlign w:val="center"/>
          </w:tcPr>
          <w:p>
            <w:pPr>
              <w:pStyle w:val="17"/>
            </w:pPr>
            <w:r>
              <w:t>行政运行</w:t>
            </w:r>
          </w:p>
        </w:tc>
        <w:tc>
          <w:tcPr>
            <w:tcW w:w="1134" w:type="dxa"/>
            <w:vAlign w:val="center"/>
          </w:tcPr>
          <w:p>
            <w:pPr>
              <w:pStyle w:val="16"/>
            </w:pPr>
            <w:r>
              <w:t>180.99</w:t>
            </w:r>
          </w:p>
        </w:tc>
        <w:tc>
          <w:tcPr>
            <w:tcW w:w="1134" w:type="dxa"/>
            <w:vAlign w:val="center"/>
          </w:tcPr>
          <w:p>
            <w:pPr>
              <w:pStyle w:val="16"/>
            </w:pPr>
            <w:r>
              <w:t>180.99</w:t>
            </w:r>
          </w:p>
        </w:tc>
        <w:tc>
          <w:tcPr>
            <w:tcW w:w="1134" w:type="dxa"/>
            <w:vAlign w:val="center"/>
          </w:tcPr>
          <w:p>
            <w:pPr>
              <w:pStyle w:val="16"/>
            </w:pPr>
            <w:r>
              <w:t>180.99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29.87</w:t>
            </w:r>
          </w:p>
        </w:tc>
        <w:tc>
          <w:tcPr>
            <w:tcW w:w="1134" w:type="dxa"/>
            <w:vAlign w:val="center"/>
          </w:tcPr>
          <w:p>
            <w:pPr>
              <w:pStyle w:val="16"/>
            </w:pPr>
            <w:r>
              <w:t>29.87</w:t>
            </w:r>
          </w:p>
        </w:tc>
        <w:tc>
          <w:tcPr>
            <w:tcW w:w="1134" w:type="dxa"/>
            <w:vAlign w:val="center"/>
          </w:tcPr>
          <w:p>
            <w:pPr>
              <w:pStyle w:val="16"/>
            </w:pPr>
            <w:r>
              <w:t>29.87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28.53</w:t>
            </w:r>
          </w:p>
        </w:tc>
        <w:tc>
          <w:tcPr>
            <w:tcW w:w="1134" w:type="dxa"/>
            <w:vAlign w:val="center"/>
          </w:tcPr>
          <w:p>
            <w:pPr>
              <w:pStyle w:val="16"/>
            </w:pPr>
            <w:r>
              <w:t>28.53</w:t>
            </w:r>
          </w:p>
        </w:tc>
        <w:tc>
          <w:tcPr>
            <w:tcW w:w="1134" w:type="dxa"/>
            <w:vAlign w:val="center"/>
          </w:tcPr>
          <w:p>
            <w:pPr>
              <w:pStyle w:val="16"/>
            </w:pPr>
            <w:r>
              <w:t>28.53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19.02</w:t>
            </w:r>
          </w:p>
        </w:tc>
        <w:tc>
          <w:tcPr>
            <w:tcW w:w="1134" w:type="dxa"/>
            <w:vAlign w:val="center"/>
          </w:tcPr>
          <w:p>
            <w:pPr>
              <w:pStyle w:val="16"/>
            </w:pPr>
            <w:r>
              <w:t>19.02</w:t>
            </w:r>
          </w:p>
        </w:tc>
        <w:tc>
          <w:tcPr>
            <w:tcW w:w="1134" w:type="dxa"/>
            <w:vAlign w:val="center"/>
          </w:tcPr>
          <w:p>
            <w:pPr>
              <w:pStyle w:val="16"/>
            </w:pPr>
            <w:r>
              <w:t>19.02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9.51</w:t>
            </w:r>
          </w:p>
        </w:tc>
        <w:tc>
          <w:tcPr>
            <w:tcW w:w="1134" w:type="dxa"/>
            <w:vAlign w:val="center"/>
          </w:tcPr>
          <w:p>
            <w:pPr>
              <w:pStyle w:val="16"/>
            </w:pPr>
            <w:r>
              <w:t>9.51</w:t>
            </w:r>
          </w:p>
        </w:tc>
        <w:tc>
          <w:tcPr>
            <w:tcW w:w="1134" w:type="dxa"/>
            <w:vAlign w:val="center"/>
          </w:tcPr>
          <w:p>
            <w:pPr>
              <w:pStyle w:val="16"/>
            </w:pPr>
            <w:r>
              <w:t>9.51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20808</w:t>
            </w:r>
          </w:p>
        </w:tc>
        <w:tc>
          <w:tcPr>
            <w:tcW w:w="1559" w:type="dxa"/>
            <w:vAlign w:val="center"/>
          </w:tcPr>
          <w:p>
            <w:pPr>
              <w:pStyle w:val="17"/>
            </w:pPr>
            <w:r>
              <w:t>抚恤</w:t>
            </w:r>
          </w:p>
        </w:tc>
        <w:tc>
          <w:tcPr>
            <w:tcW w:w="1134" w:type="dxa"/>
            <w:vAlign w:val="center"/>
          </w:tcPr>
          <w:p>
            <w:pPr>
              <w:pStyle w:val="16"/>
            </w:pPr>
            <w:r>
              <w:t>1.34</w:t>
            </w:r>
          </w:p>
        </w:tc>
        <w:tc>
          <w:tcPr>
            <w:tcW w:w="1134" w:type="dxa"/>
            <w:vAlign w:val="center"/>
          </w:tcPr>
          <w:p>
            <w:pPr>
              <w:pStyle w:val="16"/>
            </w:pPr>
            <w:r>
              <w:t>1.34</w:t>
            </w:r>
          </w:p>
        </w:tc>
        <w:tc>
          <w:tcPr>
            <w:tcW w:w="1134" w:type="dxa"/>
            <w:vAlign w:val="center"/>
          </w:tcPr>
          <w:p>
            <w:pPr>
              <w:pStyle w:val="16"/>
            </w:pPr>
            <w:r>
              <w:t>1.34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2080801</w:t>
            </w:r>
          </w:p>
        </w:tc>
        <w:tc>
          <w:tcPr>
            <w:tcW w:w="1559" w:type="dxa"/>
            <w:vAlign w:val="center"/>
          </w:tcPr>
          <w:p>
            <w:pPr>
              <w:pStyle w:val="17"/>
            </w:pPr>
            <w:r>
              <w:t>死亡抚恤</w:t>
            </w:r>
          </w:p>
        </w:tc>
        <w:tc>
          <w:tcPr>
            <w:tcW w:w="1134" w:type="dxa"/>
            <w:vAlign w:val="center"/>
          </w:tcPr>
          <w:p>
            <w:pPr>
              <w:pStyle w:val="16"/>
            </w:pPr>
            <w:r>
              <w:t>1.34</w:t>
            </w:r>
          </w:p>
        </w:tc>
        <w:tc>
          <w:tcPr>
            <w:tcW w:w="1134" w:type="dxa"/>
            <w:vAlign w:val="center"/>
          </w:tcPr>
          <w:p>
            <w:pPr>
              <w:pStyle w:val="16"/>
            </w:pPr>
            <w:r>
              <w:t>1.34</w:t>
            </w:r>
          </w:p>
        </w:tc>
        <w:tc>
          <w:tcPr>
            <w:tcW w:w="1134" w:type="dxa"/>
            <w:vAlign w:val="center"/>
          </w:tcPr>
          <w:p>
            <w:pPr>
              <w:pStyle w:val="16"/>
            </w:pPr>
            <w:r>
              <w:t>1.34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8.95</w:t>
            </w:r>
          </w:p>
        </w:tc>
        <w:tc>
          <w:tcPr>
            <w:tcW w:w="1134" w:type="dxa"/>
            <w:vAlign w:val="center"/>
          </w:tcPr>
          <w:p>
            <w:pPr>
              <w:pStyle w:val="16"/>
            </w:pPr>
            <w:r>
              <w:t>8.95</w:t>
            </w:r>
          </w:p>
        </w:tc>
        <w:tc>
          <w:tcPr>
            <w:tcW w:w="1134" w:type="dxa"/>
            <w:vAlign w:val="center"/>
          </w:tcPr>
          <w:p>
            <w:pPr>
              <w:pStyle w:val="16"/>
            </w:pPr>
            <w:r>
              <w:t>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21012</w:t>
            </w:r>
          </w:p>
        </w:tc>
        <w:tc>
          <w:tcPr>
            <w:tcW w:w="1559" w:type="dxa"/>
            <w:vAlign w:val="center"/>
          </w:tcPr>
          <w:p>
            <w:pPr>
              <w:pStyle w:val="17"/>
            </w:pPr>
            <w:r>
              <w:t>财政对基本医疗保险基金的补助</w:t>
            </w:r>
          </w:p>
        </w:tc>
        <w:tc>
          <w:tcPr>
            <w:tcW w:w="1134" w:type="dxa"/>
            <w:vAlign w:val="center"/>
          </w:tcPr>
          <w:p>
            <w:pPr>
              <w:pStyle w:val="16"/>
            </w:pPr>
            <w:r>
              <w:t>8.95</w:t>
            </w:r>
          </w:p>
        </w:tc>
        <w:tc>
          <w:tcPr>
            <w:tcW w:w="1134" w:type="dxa"/>
            <w:vAlign w:val="center"/>
          </w:tcPr>
          <w:p>
            <w:pPr>
              <w:pStyle w:val="16"/>
            </w:pPr>
            <w:r>
              <w:t>8.95</w:t>
            </w:r>
          </w:p>
        </w:tc>
        <w:tc>
          <w:tcPr>
            <w:tcW w:w="1134" w:type="dxa"/>
            <w:vAlign w:val="center"/>
          </w:tcPr>
          <w:p>
            <w:pPr>
              <w:pStyle w:val="16"/>
            </w:pPr>
            <w:r>
              <w:t>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2101201</w:t>
            </w:r>
          </w:p>
        </w:tc>
        <w:tc>
          <w:tcPr>
            <w:tcW w:w="1559" w:type="dxa"/>
            <w:vAlign w:val="center"/>
          </w:tcPr>
          <w:p>
            <w:pPr>
              <w:pStyle w:val="17"/>
            </w:pPr>
            <w:r>
              <w:t>财政对职工基本医疗保险基金的补助</w:t>
            </w:r>
          </w:p>
        </w:tc>
        <w:tc>
          <w:tcPr>
            <w:tcW w:w="1134" w:type="dxa"/>
            <w:vAlign w:val="center"/>
          </w:tcPr>
          <w:p>
            <w:pPr>
              <w:pStyle w:val="16"/>
            </w:pPr>
            <w:r>
              <w:t>8.95</w:t>
            </w:r>
          </w:p>
        </w:tc>
        <w:tc>
          <w:tcPr>
            <w:tcW w:w="1134" w:type="dxa"/>
            <w:vAlign w:val="center"/>
          </w:tcPr>
          <w:p>
            <w:pPr>
              <w:pStyle w:val="16"/>
            </w:pPr>
            <w:r>
              <w:t>8.95</w:t>
            </w:r>
          </w:p>
        </w:tc>
        <w:tc>
          <w:tcPr>
            <w:tcW w:w="1134" w:type="dxa"/>
            <w:vAlign w:val="center"/>
          </w:tcPr>
          <w:p>
            <w:pPr>
              <w:pStyle w:val="16"/>
            </w:pPr>
            <w:r>
              <w:t>8.95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13.43</w:t>
            </w:r>
          </w:p>
        </w:tc>
        <w:tc>
          <w:tcPr>
            <w:tcW w:w="1134" w:type="dxa"/>
            <w:vAlign w:val="center"/>
          </w:tcPr>
          <w:p>
            <w:pPr>
              <w:pStyle w:val="16"/>
            </w:pPr>
            <w:r>
              <w:t>13.43</w:t>
            </w:r>
          </w:p>
        </w:tc>
        <w:tc>
          <w:tcPr>
            <w:tcW w:w="1134" w:type="dxa"/>
            <w:vAlign w:val="center"/>
          </w:tcPr>
          <w:p>
            <w:pPr>
              <w:pStyle w:val="16"/>
            </w:pPr>
            <w:r>
              <w:t>13.43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13.43</w:t>
            </w:r>
          </w:p>
        </w:tc>
        <w:tc>
          <w:tcPr>
            <w:tcW w:w="1134" w:type="dxa"/>
            <w:vAlign w:val="center"/>
          </w:tcPr>
          <w:p>
            <w:pPr>
              <w:pStyle w:val="16"/>
            </w:pPr>
            <w:r>
              <w:t>13.43</w:t>
            </w:r>
          </w:p>
        </w:tc>
        <w:tc>
          <w:tcPr>
            <w:tcW w:w="1134" w:type="dxa"/>
            <w:vAlign w:val="center"/>
          </w:tcPr>
          <w:p>
            <w:pPr>
              <w:pStyle w:val="16"/>
            </w:pPr>
            <w:r>
              <w:t>13.43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13.43</w:t>
            </w:r>
          </w:p>
        </w:tc>
        <w:tc>
          <w:tcPr>
            <w:tcW w:w="1134" w:type="dxa"/>
            <w:vAlign w:val="center"/>
          </w:tcPr>
          <w:p>
            <w:pPr>
              <w:pStyle w:val="16"/>
            </w:pPr>
            <w:r>
              <w:t>13.43</w:t>
            </w:r>
          </w:p>
        </w:tc>
        <w:tc>
          <w:tcPr>
            <w:tcW w:w="1134" w:type="dxa"/>
            <w:vAlign w:val="center"/>
          </w:tcPr>
          <w:p>
            <w:pPr>
              <w:pStyle w:val="16"/>
            </w:pPr>
            <w:r>
              <w:t>13.43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9"/>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131001中国人民政治协商会议河北省成安县委员会</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pPr>
            <w:r>
              <w:t>233.24</w:t>
            </w:r>
          </w:p>
        </w:tc>
        <w:tc>
          <w:tcPr>
            <w:tcW w:w="1361" w:type="dxa"/>
            <w:vAlign w:val="center"/>
          </w:tcPr>
          <w:p>
            <w:pPr>
              <w:pStyle w:val="20"/>
            </w:pPr>
            <w:r>
              <w:t>233.24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6" w:type="dxa"/>
            <w:vAlign w:val="center"/>
          </w:tcPr>
          <w:p>
            <w:pPr>
              <w:pStyle w:val="17"/>
            </w:pPr>
            <w:r>
              <w:t>一般公共服务支出</w:t>
            </w:r>
          </w:p>
        </w:tc>
        <w:tc>
          <w:tcPr>
            <w:tcW w:w="1361" w:type="dxa"/>
            <w:vAlign w:val="center"/>
          </w:tcPr>
          <w:p>
            <w:pPr>
              <w:pStyle w:val="16"/>
            </w:pPr>
            <w:r>
              <w:t>180.99</w:t>
            </w:r>
          </w:p>
        </w:tc>
        <w:tc>
          <w:tcPr>
            <w:tcW w:w="1361" w:type="dxa"/>
            <w:vAlign w:val="center"/>
          </w:tcPr>
          <w:p>
            <w:pPr>
              <w:pStyle w:val="16"/>
            </w:pPr>
            <w:r>
              <w:t>180.99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20102</w:t>
            </w:r>
          </w:p>
        </w:tc>
        <w:tc>
          <w:tcPr>
            <w:tcW w:w="4536" w:type="dxa"/>
            <w:vAlign w:val="center"/>
          </w:tcPr>
          <w:p>
            <w:pPr>
              <w:pStyle w:val="17"/>
            </w:pPr>
            <w:r>
              <w:t>政协事务</w:t>
            </w:r>
          </w:p>
        </w:tc>
        <w:tc>
          <w:tcPr>
            <w:tcW w:w="1361" w:type="dxa"/>
            <w:vAlign w:val="center"/>
          </w:tcPr>
          <w:p>
            <w:pPr>
              <w:pStyle w:val="16"/>
            </w:pPr>
            <w:r>
              <w:t>180.99</w:t>
            </w:r>
          </w:p>
        </w:tc>
        <w:tc>
          <w:tcPr>
            <w:tcW w:w="1361" w:type="dxa"/>
            <w:vAlign w:val="center"/>
          </w:tcPr>
          <w:p>
            <w:pPr>
              <w:pStyle w:val="16"/>
            </w:pPr>
            <w:r>
              <w:t>180.99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2010201</w:t>
            </w:r>
          </w:p>
        </w:tc>
        <w:tc>
          <w:tcPr>
            <w:tcW w:w="4536" w:type="dxa"/>
            <w:vAlign w:val="center"/>
          </w:tcPr>
          <w:p>
            <w:pPr>
              <w:pStyle w:val="17"/>
            </w:pPr>
            <w:r>
              <w:t>行政运行</w:t>
            </w:r>
          </w:p>
        </w:tc>
        <w:tc>
          <w:tcPr>
            <w:tcW w:w="1361" w:type="dxa"/>
            <w:vAlign w:val="center"/>
          </w:tcPr>
          <w:p>
            <w:pPr>
              <w:pStyle w:val="16"/>
            </w:pPr>
            <w:r>
              <w:t>180.99</w:t>
            </w:r>
          </w:p>
        </w:tc>
        <w:tc>
          <w:tcPr>
            <w:tcW w:w="1361" w:type="dxa"/>
            <w:vAlign w:val="center"/>
          </w:tcPr>
          <w:p>
            <w:pPr>
              <w:pStyle w:val="16"/>
            </w:pPr>
            <w:r>
              <w:t>180.99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6" w:type="dxa"/>
            <w:vAlign w:val="center"/>
          </w:tcPr>
          <w:p>
            <w:pPr>
              <w:pStyle w:val="17"/>
            </w:pPr>
            <w:r>
              <w:t>社会保障和就业支出</w:t>
            </w:r>
          </w:p>
        </w:tc>
        <w:tc>
          <w:tcPr>
            <w:tcW w:w="1361" w:type="dxa"/>
            <w:vAlign w:val="center"/>
          </w:tcPr>
          <w:p>
            <w:pPr>
              <w:pStyle w:val="16"/>
            </w:pPr>
            <w:r>
              <w:t>29.87</w:t>
            </w:r>
          </w:p>
        </w:tc>
        <w:tc>
          <w:tcPr>
            <w:tcW w:w="1361" w:type="dxa"/>
            <w:vAlign w:val="center"/>
          </w:tcPr>
          <w:p>
            <w:pPr>
              <w:pStyle w:val="16"/>
            </w:pPr>
            <w:r>
              <w:t>29.87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6" w:type="dxa"/>
            <w:vAlign w:val="center"/>
          </w:tcPr>
          <w:p>
            <w:pPr>
              <w:pStyle w:val="17"/>
            </w:pPr>
            <w:r>
              <w:t>行政事业单位养老支出</w:t>
            </w:r>
          </w:p>
        </w:tc>
        <w:tc>
          <w:tcPr>
            <w:tcW w:w="1361" w:type="dxa"/>
            <w:vAlign w:val="center"/>
          </w:tcPr>
          <w:p>
            <w:pPr>
              <w:pStyle w:val="16"/>
            </w:pPr>
            <w:r>
              <w:t>28.53</w:t>
            </w:r>
          </w:p>
        </w:tc>
        <w:tc>
          <w:tcPr>
            <w:tcW w:w="1361" w:type="dxa"/>
            <w:vAlign w:val="center"/>
          </w:tcPr>
          <w:p>
            <w:pPr>
              <w:pStyle w:val="16"/>
            </w:pPr>
            <w:r>
              <w:t>28.53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2080505</w:t>
            </w:r>
          </w:p>
        </w:tc>
        <w:tc>
          <w:tcPr>
            <w:tcW w:w="4536" w:type="dxa"/>
            <w:vAlign w:val="center"/>
          </w:tcPr>
          <w:p>
            <w:pPr>
              <w:pStyle w:val="17"/>
            </w:pPr>
            <w:r>
              <w:t>机关事业单位基本养老保险缴费支出</w:t>
            </w:r>
          </w:p>
        </w:tc>
        <w:tc>
          <w:tcPr>
            <w:tcW w:w="1361" w:type="dxa"/>
            <w:vAlign w:val="center"/>
          </w:tcPr>
          <w:p>
            <w:pPr>
              <w:pStyle w:val="16"/>
            </w:pPr>
            <w:r>
              <w:t>19.02</w:t>
            </w:r>
          </w:p>
        </w:tc>
        <w:tc>
          <w:tcPr>
            <w:tcW w:w="1361" w:type="dxa"/>
            <w:vAlign w:val="center"/>
          </w:tcPr>
          <w:p>
            <w:pPr>
              <w:pStyle w:val="16"/>
            </w:pPr>
            <w:r>
              <w:t>19.02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2080506</w:t>
            </w:r>
          </w:p>
        </w:tc>
        <w:tc>
          <w:tcPr>
            <w:tcW w:w="4536" w:type="dxa"/>
            <w:vAlign w:val="center"/>
          </w:tcPr>
          <w:p>
            <w:pPr>
              <w:pStyle w:val="17"/>
            </w:pPr>
            <w:r>
              <w:t>机关事业单位职业年金缴费支出</w:t>
            </w:r>
          </w:p>
        </w:tc>
        <w:tc>
          <w:tcPr>
            <w:tcW w:w="1361" w:type="dxa"/>
            <w:vAlign w:val="center"/>
          </w:tcPr>
          <w:p>
            <w:pPr>
              <w:pStyle w:val="16"/>
            </w:pPr>
            <w:r>
              <w:t>9.51</w:t>
            </w:r>
          </w:p>
        </w:tc>
        <w:tc>
          <w:tcPr>
            <w:tcW w:w="1361" w:type="dxa"/>
            <w:vAlign w:val="center"/>
          </w:tcPr>
          <w:p>
            <w:pPr>
              <w:pStyle w:val="16"/>
            </w:pPr>
            <w:r>
              <w:t>9.51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20808</w:t>
            </w:r>
          </w:p>
        </w:tc>
        <w:tc>
          <w:tcPr>
            <w:tcW w:w="4536" w:type="dxa"/>
            <w:vAlign w:val="center"/>
          </w:tcPr>
          <w:p>
            <w:pPr>
              <w:pStyle w:val="17"/>
            </w:pPr>
            <w:r>
              <w:t>抚恤</w:t>
            </w:r>
          </w:p>
        </w:tc>
        <w:tc>
          <w:tcPr>
            <w:tcW w:w="1361" w:type="dxa"/>
            <w:vAlign w:val="center"/>
          </w:tcPr>
          <w:p>
            <w:pPr>
              <w:pStyle w:val="16"/>
            </w:pPr>
            <w:r>
              <w:t>1.34</w:t>
            </w:r>
          </w:p>
        </w:tc>
        <w:tc>
          <w:tcPr>
            <w:tcW w:w="1361" w:type="dxa"/>
            <w:vAlign w:val="center"/>
          </w:tcPr>
          <w:p>
            <w:pPr>
              <w:pStyle w:val="16"/>
            </w:pPr>
            <w:r>
              <w:t>1.34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2080801</w:t>
            </w:r>
          </w:p>
        </w:tc>
        <w:tc>
          <w:tcPr>
            <w:tcW w:w="4536" w:type="dxa"/>
            <w:vAlign w:val="center"/>
          </w:tcPr>
          <w:p>
            <w:pPr>
              <w:pStyle w:val="17"/>
            </w:pPr>
            <w:r>
              <w:t>死亡抚恤</w:t>
            </w:r>
          </w:p>
        </w:tc>
        <w:tc>
          <w:tcPr>
            <w:tcW w:w="1361" w:type="dxa"/>
            <w:vAlign w:val="center"/>
          </w:tcPr>
          <w:p>
            <w:pPr>
              <w:pStyle w:val="16"/>
            </w:pPr>
            <w:r>
              <w:t>1.34</w:t>
            </w:r>
          </w:p>
        </w:tc>
        <w:tc>
          <w:tcPr>
            <w:tcW w:w="1361" w:type="dxa"/>
            <w:vAlign w:val="center"/>
          </w:tcPr>
          <w:p>
            <w:pPr>
              <w:pStyle w:val="16"/>
            </w:pPr>
            <w:r>
              <w:t>1.34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6" w:type="dxa"/>
            <w:vAlign w:val="center"/>
          </w:tcPr>
          <w:p>
            <w:pPr>
              <w:pStyle w:val="17"/>
            </w:pPr>
            <w:r>
              <w:t>卫生健康支出</w:t>
            </w:r>
          </w:p>
        </w:tc>
        <w:tc>
          <w:tcPr>
            <w:tcW w:w="1361" w:type="dxa"/>
            <w:vAlign w:val="center"/>
          </w:tcPr>
          <w:p>
            <w:pPr>
              <w:pStyle w:val="16"/>
            </w:pPr>
            <w:r>
              <w:t>8.95</w:t>
            </w:r>
          </w:p>
        </w:tc>
        <w:tc>
          <w:tcPr>
            <w:tcW w:w="1361" w:type="dxa"/>
            <w:vAlign w:val="center"/>
          </w:tcPr>
          <w:p>
            <w:pPr>
              <w:pStyle w:val="16"/>
            </w:pPr>
            <w:r>
              <w:t>8.95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21012</w:t>
            </w:r>
          </w:p>
        </w:tc>
        <w:tc>
          <w:tcPr>
            <w:tcW w:w="4536" w:type="dxa"/>
            <w:vAlign w:val="center"/>
          </w:tcPr>
          <w:p>
            <w:pPr>
              <w:pStyle w:val="17"/>
            </w:pPr>
            <w:r>
              <w:t>财政对基本医疗保险基金的补助</w:t>
            </w:r>
          </w:p>
        </w:tc>
        <w:tc>
          <w:tcPr>
            <w:tcW w:w="1361" w:type="dxa"/>
            <w:vAlign w:val="center"/>
          </w:tcPr>
          <w:p>
            <w:pPr>
              <w:pStyle w:val="16"/>
            </w:pPr>
            <w:r>
              <w:t>8.95</w:t>
            </w:r>
          </w:p>
        </w:tc>
        <w:tc>
          <w:tcPr>
            <w:tcW w:w="1361" w:type="dxa"/>
            <w:vAlign w:val="center"/>
          </w:tcPr>
          <w:p>
            <w:pPr>
              <w:pStyle w:val="16"/>
            </w:pPr>
            <w:r>
              <w:t>8.95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2101201</w:t>
            </w:r>
          </w:p>
        </w:tc>
        <w:tc>
          <w:tcPr>
            <w:tcW w:w="4536" w:type="dxa"/>
            <w:vAlign w:val="center"/>
          </w:tcPr>
          <w:p>
            <w:pPr>
              <w:pStyle w:val="17"/>
            </w:pPr>
            <w:r>
              <w:t>财政对职工基本医疗保险基金的补助</w:t>
            </w:r>
          </w:p>
        </w:tc>
        <w:tc>
          <w:tcPr>
            <w:tcW w:w="1361" w:type="dxa"/>
            <w:vAlign w:val="center"/>
          </w:tcPr>
          <w:p>
            <w:pPr>
              <w:pStyle w:val="16"/>
            </w:pPr>
            <w:r>
              <w:t>8.95</w:t>
            </w:r>
          </w:p>
        </w:tc>
        <w:tc>
          <w:tcPr>
            <w:tcW w:w="1361" w:type="dxa"/>
            <w:vAlign w:val="center"/>
          </w:tcPr>
          <w:p>
            <w:pPr>
              <w:pStyle w:val="16"/>
            </w:pPr>
            <w:r>
              <w:t>8.95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6" w:type="dxa"/>
            <w:vAlign w:val="center"/>
          </w:tcPr>
          <w:p>
            <w:pPr>
              <w:pStyle w:val="17"/>
            </w:pPr>
            <w:r>
              <w:t>住房保障支出</w:t>
            </w:r>
          </w:p>
        </w:tc>
        <w:tc>
          <w:tcPr>
            <w:tcW w:w="1361" w:type="dxa"/>
            <w:vAlign w:val="center"/>
          </w:tcPr>
          <w:p>
            <w:pPr>
              <w:pStyle w:val="16"/>
            </w:pPr>
            <w:r>
              <w:t>13.43</w:t>
            </w:r>
          </w:p>
        </w:tc>
        <w:tc>
          <w:tcPr>
            <w:tcW w:w="1361" w:type="dxa"/>
            <w:vAlign w:val="center"/>
          </w:tcPr>
          <w:p>
            <w:pPr>
              <w:pStyle w:val="16"/>
            </w:pPr>
            <w:r>
              <w:t>13.43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6" w:type="dxa"/>
            <w:vAlign w:val="center"/>
          </w:tcPr>
          <w:p>
            <w:pPr>
              <w:pStyle w:val="17"/>
            </w:pPr>
            <w:r>
              <w:t>住房改革支出</w:t>
            </w:r>
          </w:p>
        </w:tc>
        <w:tc>
          <w:tcPr>
            <w:tcW w:w="1361" w:type="dxa"/>
            <w:vAlign w:val="center"/>
          </w:tcPr>
          <w:p>
            <w:pPr>
              <w:pStyle w:val="16"/>
            </w:pPr>
            <w:r>
              <w:t>13.43</w:t>
            </w:r>
          </w:p>
        </w:tc>
        <w:tc>
          <w:tcPr>
            <w:tcW w:w="1361" w:type="dxa"/>
            <w:vAlign w:val="center"/>
          </w:tcPr>
          <w:p>
            <w:pPr>
              <w:pStyle w:val="16"/>
            </w:pPr>
            <w:r>
              <w:t>13.43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6" w:type="dxa"/>
            <w:vAlign w:val="center"/>
          </w:tcPr>
          <w:p>
            <w:pPr>
              <w:pStyle w:val="17"/>
            </w:pPr>
            <w:r>
              <w:t>住房公积金</w:t>
            </w:r>
          </w:p>
        </w:tc>
        <w:tc>
          <w:tcPr>
            <w:tcW w:w="1361" w:type="dxa"/>
            <w:vAlign w:val="center"/>
          </w:tcPr>
          <w:p>
            <w:pPr>
              <w:pStyle w:val="16"/>
            </w:pPr>
            <w:r>
              <w:t>13.43</w:t>
            </w:r>
          </w:p>
        </w:tc>
        <w:tc>
          <w:tcPr>
            <w:tcW w:w="1361" w:type="dxa"/>
            <w:vAlign w:val="center"/>
          </w:tcPr>
          <w:p>
            <w:pPr>
              <w:pStyle w:val="16"/>
            </w:pPr>
            <w:r>
              <w:t>13.43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131001中国人民政治协商会议河北省成安县委员会</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233.24</w:t>
            </w:r>
          </w:p>
        </w:tc>
        <w:tc>
          <w:tcPr>
            <w:tcW w:w="3402" w:type="dxa"/>
            <w:vAlign w:val="center"/>
          </w:tcPr>
          <w:p>
            <w:pPr>
              <w:pStyle w:val="17"/>
            </w:pPr>
            <w:r>
              <w:t>一、一般公共服务支出</w:t>
            </w:r>
          </w:p>
        </w:tc>
        <w:tc>
          <w:tcPr>
            <w:tcW w:w="1474" w:type="dxa"/>
            <w:vAlign w:val="center"/>
          </w:tcPr>
          <w:p>
            <w:pPr>
              <w:pStyle w:val="16"/>
            </w:pPr>
            <w:r>
              <w:t>180.99</w:t>
            </w:r>
          </w:p>
        </w:tc>
        <w:tc>
          <w:tcPr>
            <w:tcW w:w="1474" w:type="dxa"/>
            <w:vAlign w:val="center"/>
          </w:tcPr>
          <w:p>
            <w:pPr>
              <w:pStyle w:val="16"/>
            </w:pPr>
            <w:r>
              <w:t>180.99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29.87</w:t>
            </w:r>
          </w:p>
        </w:tc>
        <w:tc>
          <w:tcPr>
            <w:tcW w:w="1474" w:type="dxa"/>
            <w:vAlign w:val="center"/>
          </w:tcPr>
          <w:p>
            <w:pPr>
              <w:pStyle w:val="16"/>
            </w:pPr>
            <w:r>
              <w:t>29.87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8.95</w:t>
            </w:r>
          </w:p>
        </w:tc>
        <w:tc>
          <w:tcPr>
            <w:tcW w:w="1474" w:type="dxa"/>
            <w:vAlign w:val="center"/>
          </w:tcPr>
          <w:p>
            <w:pPr>
              <w:pStyle w:val="16"/>
            </w:pPr>
            <w:r>
              <w:t>8.95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13.43</w:t>
            </w:r>
          </w:p>
        </w:tc>
        <w:tc>
          <w:tcPr>
            <w:tcW w:w="1474" w:type="dxa"/>
            <w:vAlign w:val="center"/>
          </w:tcPr>
          <w:p>
            <w:pPr>
              <w:pStyle w:val="16"/>
            </w:pPr>
            <w:r>
              <w:t>13.43</w:t>
            </w: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9"/>
            </w:pPr>
            <w:r>
              <w:t>本年收入合计</w:t>
            </w:r>
          </w:p>
        </w:tc>
        <w:tc>
          <w:tcPr>
            <w:tcW w:w="1474" w:type="dxa"/>
            <w:vAlign w:val="center"/>
          </w:tcPr>
          <w:p>
            <w:pPr>
              <w:pStyle w:val="20"/>
            </w:pPr>
            <w:r>
              <w:t>233.24</w:t>
            </w:r>
          </w:p>
        </w:tc>
        <w:tc>
          <w:tcPr>
            <w:tcW w:w="3402" w:type="dxa"/>
            <w:vAlign w:val="center"/>
          </w:tcPr>
          <w:p>
            <w:pPr>
              <w:pStyle w:val="19"/>
            </w:pPr>
            <w:r>
              <w:t>本年支出合计</w:t>
            </w:r>
          </w:p>
        </w:tc>
        <w:tc>
          <w:tcPr>
            <w:tcW w:w="1474" w:type="dxa"/>
            <w:vAlign w:val="center"/>
          </w:tcPr>
          <w:p>
            <w:pPr>
              <w:pStyle w:val="20"/>
            </w:pPr>
            <w:r>
              <w:t>233.24</w:t>
            </w:r>
          </w:p>
        </w:tc>
        <w:tc>
          <w:tcPr>
            <w:tcW w:w="1474" w:type="dxa"/>
            <w:vAlign w:val="center"/>
          </w:tcPr>
          <w:p>
            <w:pPr>
              <w:pStyle w:val="20"/>
            </w:pPr>
            <w:r>
              <w:t>233.24</w:t>
            </w:r>
          </w:p>
        </w:tc>
        <w:tc>
          <w:tcPr>
            <w:tcW w:w="1474" w:type="dxa"/>
            <w:vAlign w:val="center"/>
          </w:tcPr>
          <w:p>
            <w:pPr>
              <w:pStyle w:val="20"/>
            </w:pPr>
          </w:p>
        </w:tc>
        <w:tc>
          <w:tcPr>
            <w:tcW w:w="1474" w:type="dxa"/>
            <w:vAlign w:val="center"/>
          </w:tcPr>
          <w:p>
            <w:pPr>
              <w:pStyle w:val="2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9"/>
            </w:pPr>
            <w:r>
              <w:t>收入总计</w:t>
            </w:r>
          </w:p>
        </w:tc>
        <w:tc>
          <w:tcPr>
            <w:tcW w:w="1474" w:type="dxa"/>
            <w:vAlign w:val="center"/>
          </w:tcPr>
          <w:p>
            <w:pPr>
              <w:pStyle w:val="20"/>
            </w:pPr>
            <w:r>
              <w:t>233.24</w:t>
            </w:r>
          </w:p>
        </w:tc>
        <w:tc>
          <w:tcPr>
            <w:tcW w:w="3402" w:type="dxa"/>
            <w:vAlign w:val="center"/>
          </w:tcPr>
          <w:p>
            <w:pPr>
              <w:pStyle w:val="19"/>
            </w:pPr>
            <w:r>
              <w:t>支出总计</w:t>
            </w:r>
          </w:p>
        </w:tc>
        <w:tc>
          <w:tcPr>
            <w:tcW w:w="1474" w:type="dxa"/>
            <w:vAlign w:val="center"/>
          </w:tcPr>
          <w:p>
            <w:pPr>
              <w:pStyle w:val="20"/>
            </w:pPr>
            <w:r>
              <w:t>233.24</w:t>
            </w:r>
          </w:p>
        </w:tc>
        <w:tc>
          <w:tcPr>
            <w:tcW w:w="1474" w:type="dxa"/>
            <w:vAlign w:val="center"/>
          </w:tcPr>
          <w:p>
            <w:pPr>
              <w:pStyle w:val="20"/>
            </w:pPr>
            <w:r>
              <w:t>233.24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131001中国人民政治协商会议河北省成安县委员会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233.24</w:t>
            </w:r>
          </w:p>
        </w:tc>
        <w:tc>
          <w:tcPr>
            <w:tcW w:w="2551" w:type="dxa"/>
            <w:vAlign w:val="center"/>
          </w:tcPr>
          <w:p>
            <w:pPr>
              <w:pStyle w:val="20"/>
            </w:pPr>
            <w:r>
              <w:t>233.24</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180.99</w:t>
            </w:r>
          </w:p>
        </w:tc>
        <w:tc>
          <w:tcPr>
            <w:tcW w:w="2551" w:type="dxa"/>
            <w:vAlign w:val="center"/>
          </w:tcPr>
          <w:p>
            <w:pPr>
              <w:pStyle w:val="16"/>
            </w:pPr>
            <w:r>
              <w:t>180.99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20102</w:t>
            </w:r>
          </w:p>
        </w:tc>
        <w:tc>
          <w:tcPr>
            <w:tcW w:w="4535" w:type="dxa"/>
            <w:vAlign w:val="center"/>
          </w:tcPr>
          <w:p>
            <w:pPr>
              <w:pStyle w:val="17"/>
            </w:pPr>
            <w:r>
              <w:t>政协事务</w:t>
            </w:r>
          </w:p>
        </w:tc>
        <w:tc>
          <w:tcPr>
            <w:tcW w:w="2551" w:type="dxa"/>
            <w:vAlign w:val="center"/>
          </w:tcPr>
          <w:p>
            <w:pPr>
              <w:pStyle w:val="16"/>
            </w:pPr>
            <w:r>
              <w:t>180.99</w:t>
            </w:r>
          </w:p>
        </w:tc>
        <w:tc>
          <w:tcPr>
            <w:tcW w:w="2551" w:type="dxa"/>
            <w:vAlign w:val="center"/>
          </w:tcPr>
          <w:p>
            <w:pPr>
              <w:pStyle w:val="16"/>
            </w:pPr>
            <w:r>
              <w:t>180.99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2010201</w:t>
            </w:r>
          </w:p>
        </w:tc>
        <w:tc>
          <w:tcPr>
            <w:tcW w:w="4535" w:type="dxa"/>
            <w:vAlign w:val="center"/>
          </w:tcPr>
          <w:p>
            <w:pPr>
              <w:pStyle w:val="17"/>
            </w:pPr>
            <w:r>
              <w:t>行政运行</w:t>
            </w:r>
          </w:p>
        </w:tc>
        <w:tc>
          <w:tcPr>
            <w:tcW w:w="2551" w:type="dxa"/>
            <w:vAlign w:val="center"/>
          </w:tcPr>
          <w:p>
            <w:pPr>
              <w:pStyle w:val="16"/>
            </w:pPr>
            <w:r>
              <w:t>180.99</w:t>
            </w:r>
          </w:p>
        </w:tc>
        <w:tc>
          <w:tcPr>
            <w:tcW w:w="2551" w:type="dxa"/>
            <w:vAlign w:val="center"/>
          </w:tcPr>
          <w:p>
            <w:pPr>
              <w:pStyle w:val="16"/>
            </w:pPr>
            <w:r>
              <w:t>180.99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29.87</w:t>
            </w:r>
          </w:p>
        </w:tc>
        <w:tc>
          <w:tcPr>
            <w:tcW w:w="2551" w:type="dxa"/>
            <w:vAlign w:val="center"/>
          </w:tcPr>
          <w:p>
            <w:pPr>
              <w:pStyle w:val="16"/>
            </w:pPr>
            <w:r>
              <w:t>29.87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28.53</w:t>
            </w:r>
          </w:p>
        </w:tc>
        <w:tc>
          <w:tcPr>
            <w:tcW w:w="2551" w:type="dxa"/>
            <w:vAlign w:val="center"/>
          </w:tcPr>
          <w:p>
            <w:pPr>
              <w:pStyle w:val="16"/>
            </w:pPr>
            <w:r>
              <w:t>28.53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19.02</w:t>
            </w:r>
          </w:p>
        </w:tc>
        <w:tc>
          <w:tcPr>
            <w:tcW w:w="2551" w:type="dxa"/>
            <w:vAlign w:val="center"/>
          </w:tcPr>
          <w:p>
            <w:pPr>
              <w:pStyle w:val="16"/>
            </w:pPr>
            <w:r>
              <w:t>19.02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9.51</w:t>
            </w:r>
          </w:p>
        </w:tc>
        <w:tc>
          <w:tcPr>
            <w:tcW w:w="2551" w:type="dxa"/>
            <w:vAlign w:val="center"/>
          </w:tcPr>
          <w:p>
            <w:pPr>
              <w:pStyle w:val="16"/>
            </w:pPr>
            <w:r>
              <w:t>9.51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20808</w:t>
            </w:r>
          </w:p>
        </w:tc>
        <w:tc>
          <w:tcPr>
            <w:tcW w:w="4535" w:type="dxa"/>
            <w:vAlign w:val="center"/>
          </w:tcPr>
          <w:p>
            <w:pPr>
              <w:pStyle w:val="17"/>
            </w:pPr>
            <w:r>
              <w:t>抚恤</w:t>
            </w:r>
          </w:p>
        </w:tc>
        <w:tc>
          <w:tcPr>
            <w:tcW w:w="2551" w:type="dxa"/>
            <w:vAlign w:val="center"/>
          </w:tcPr>
          <w:p>
            <w:pPr>
              <w:pStyle w:val="16"/>
            </w:pPr>
            <w:r>
              <w:t>1.34</w:t>
            </w:r>
          </w:p>
        </w:tc>
        <w:tc>
          <w:tcPr>
            <w:tcW w:w="2551" w:type="dxa"/>
            <w:vAlign w:val="center"/>
          </w:tcPr>
          <w:p>
            <w:pPr>
              <w:pStyle w:val="16"/>
            </w:pPr>
            <w:r>
              <w:t>1.34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2080801</w:t>
            </w:r>
          </w:p>
        </w:tc>
        <w:tc>
          <w:tcPr>
            <w:tcW w:w="4535" w:type="dxa"/>
            <w:vAlign w:val="center"/>
          </w:tcPr>
          <w:p>
            <w:pPr>
              <w:pStyle w:val="17"/>
            </w:pPr>
            <w:r>
              <w:t>死亡抚恤</w:t>
            </w:r>
          </w:p>
        </w:tc>
        <w:tc>
          <w:tcPr>
            <w:tcW w:w="2551" w:type="dxa"/>
            <w:vAlign w:val="center"/>
          </w:tcPr>
          <w:p>
            <w:pPr>
              <w:pStyle w:val="16"/>
            </w:pPr>
            <w:r>
              <w:t>1.34</w:t>
            </w:r>
          </w:p>
        </w:tc>
        <w:tc>
          <w:tcPr>
            <w:tcW w:w="2551" w:type="dxa"/>
            <w:vAlign w:val="center"/>
          </w:tcPr>
          <w:p>
            <w:pPr>
              <w:pStyle w:val="16"/>
            </w:pPr>
            <w:r>
              <w:t>1.34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8.95</w:t>
            </w:r>
          </w:p>
        </w:tc>
        <w:tc>
          <w:tcPr>
            <w:tcW w:w="2551" w:type="dxa"/>
            <w:vAlign w:val="center"/>
          </w:tcPr>
          <w:p>
            <w:pPr>
              <w:pStyle w:val="16"/>
            </w:pPr>
            <w:r>
              <w:t>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21012</w:t>
            </w:r>
          </w:p>
        </w:tc>
        <w:tc>
          <w:tcPr>
            <w:tcW w:w="4535" w:type="dxa"/>
            <w:vAlign w:val="center"/>
          </w:tcPr>
          <w:p>
            <w:pPr>
              <w:pStyle w:val="17"/>
            </w:pPr>
            <w:r>
              <w:t>财政对基本医疗保险基金的补助</w:t>
            </w:r>
          </w:p>
        </w:tc>
        <w:tc>
          <w:tcPr>
            <w:tcW w:w="2551" w:type="dxa"/>
            <w:vAlign w:val="center"/>
          </w:tcPr>
          <w:p>
            <w:pPr>
              <w:pStyle w:val="16"/>
            </w:pPr>
            <w:r>
              <w:t>8.95</w:t>
            </w:r>
          </w:p>
        </w:tc>
        <w:tc>
          <w:tcPr>
            <w:tcW w:w="2551" w:type="dxa"/>
            <w:vAlign w:val="center"/>
          </w:tcPr>
          <w:p>
            <w:pPr>
              <w:pStyle w:val="16"/>
            </w:pPr>
            <w:r>
              <w:t>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2101201</w:t>
            </w:r>
          </w:p>
        </w:tc>
        <w:tc>
          <w:tcPr>
            <w:tcW w:w="4535" w:type="dxa"/>
            <w:vAlign w:val="center"/>
          </w:tcPr>
          <w:p>
            <w:pPr>
              <w:pStyle w:val="17"/>
            </w:pPr>
            <w:r>
              <w:t>财政对职工基本医疗保险基金的补助</w:t>
            </w:r>
          </w:p>
        </w:tc>
        <w:tc>
          <w:tcPr>
            <w:tcW w:w="2551" w:type="dxa"/>
            <w:vAlign w:val="center"/>
          </w:tcPr>
          <w:p>
            <w:pPr>
              <w:pStyle w:val="16"/>
            </w:pPr>
            <w:r>
              <w:t>8.95</w:t>
            </w:r>
          </w:p>
        </w:tc>
        <w:tc>
          <w:tcPr>
            <w:tcW w:w="2551" w:type="dxa"/>
            <w:vAlign w:val="center"/>
          </w:tcPr>
          <w:p>
            <w:pPr>
              <w:pStyle w:val="16"/>
            </w:pPr>
            <w:r>
              <w:t>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13.43</w:t>
            </w:r>
          </w:p>
        </w:tc>
        <w:tc>
          <w:tcPr>
            <w:tcW w:w="2551" w:type="dxa"/>
            <w:vAlign w:val="center"/>
          </w:tcPr>
          <w:p>
            <w:pPr>
              <w:pStyle w:val="16"/>
            </w:pPr>
            <w:r>
              <w:t>13.43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13.43</w:t>
            </w:r>
          </w:p>
        </w:tc>
        <w:tc>
          <w:tcPr>
            <w:tcW w:w="2551" w:type="dxa"/>
            <w:vAlign w:val="center"/>
          </w:tcPr>
          <w:p>
            <w:pPr>
              <w:pStyle w:val="16"/>
            </w:pPr>
            <w:r>
              <w:t>13.43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13.43</w:t>
            </w:r>
          </w:p>
        </w:tc>
        <w:tc>
          <w:tcPr>
            <w:tcW w:w="2551" w:type="dxa"/>
            <w:vAlign w:val="center"/>
          </w:tcPr>
          <w:p>
            <w:pPr>
              <w:pStyle w:val="16"/>
            </w:pPr>
            <w:r>
              <w:t>13.43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9"/>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131001中国人民政治协商会议河北省成安县委员会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233.24</w:t>
            </w:r>
          </w:p>
        </w:tc>
        <w:tc>
          <w:tcPr>
            <w:tcW w:w="2551" w:type="dxa"/>
            <w:vAlign w:val="center"/>
          </w:tcPr>
          <w:p>
            <w:pPr>
              <w:pStyle w:val="20"/>
            </w:pPr>
            <w:r>
              <w:t>183.03</w:t>
            </w:r>
          </w:p>
        </w:tc>
        <w:tc>
          <w:tcPr>
            <w:tcW w:w="2552" w:type="dxa"/>
            <w:vAlign w:val="center"/>
          </w:tcPr>
          <w:p>
            <w:pPr>
              <w:pStyle w:val="20"/>
            </w:pPr>
            <w:r>
              <w:t>50.21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181.69</w:t>
            </w:r>
          </w:p>
        </w:tc>
        <w:tc>
          <w:tcPr>
            <w:tcW w:w="2551" w:type="dxa"/>
            <w:vAlign w:val="center"/>
          </w:tcPr>
          <w:p>
            <w:pPr>
              <w:pStyle w:val="16"/>
            </w:pPr>
            <w:r>
              <w:t>181.69</w:t>
            </w:r>
          </w:p>
        </w:tc>
        <w:tc>
          <w:tcPr>
            <w:tcW w:w="2552"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113.00</w:t>
            </w:r>
          </w:p>
        </w:tc>
        <w:tc>
          <w:tcPr>
            <w:tcW w:w="2551" w:type="dxa"/>
            <w:vAlign w:val="center"/>
          </w:tcPr>
          <w:p>
            <w:pPr>
              <w:pStyle w:val="16"/>
            </w:pPr>
            <w:r>
              <w:t>113.00</w:t>
            </w:r>
          </w:p>
        </w:tc>
        <w:tc>
          <w:tcPr>
            <w:tcW w:w="2552"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9.24</w:t>
            </w:r>
          </w:p>
        </w:tc>
        <w:tc>
          <w:tcPr>
            <w:tcW w:w="2551" w:type="dxa"/>
            <w:vAlign w:val="center"/>
          </w:tcPr>
          <w:p>
            <w:pPr>
              <w:pStyle w:val="16"/>
            </w:pPr>
            <w:r>
              <w:t>9.24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6.33</w:t>
            </w:r>
          </w:p>
        </w:tc>
        <w:tc>
          <w:tcPr>
            <w:tcW w:w="2551" w:type="dxa"/>
            <w:vAlign w:val="center"/>
          </w:tcPr>
          <w:p>
            <w:pPr>
              <w:pStyle w:val="16"/>
            </w:pPr>
            <w:r>
              <w:t>6.33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1.65</w:t>
            </w:r>
          </w:p>
        </w:tc>
        <w:tc>
          <w:tcPr>
            <w:tcW w:w="2551" w:type="dxa"/>
            <w:vAlign w:val="center"/>
          </w:tcPr>
          <w:p>
            <w:pPr>
              <w:pStyle w:val="16"/>
            </w:pPr>
            <w:r>
              <w:t>1.65</w:t>
            </w:r>
          </w:p>
        </w:tc>
        <w:tc>
          <w:tcPr>
            <w:tcW w:w="2552"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19.02</w:t>
            </w:r>
          </w:p>
        </w:tc>
        <w:tc>
          <w:tcPr>
            <w:tcW w:w="2551" w:type="dxa"/>
            <w:vAlign w:val="center"/>
          </w:tcPr>
          <w:p>
            <w:pPr>
              <w:pStyle w:val="16"/>
            </w:pPr>
            <w:r>
              <w:t>19.02</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9.51</w:t>
            </w:r>
          </w:p>
        </w:tc>
        <w:tc>
          <w:tcPr>
            <w:tcW w:w="2551" w:type="dxa"/>
            <w:vAlign w:val="center"/>
          </w:tcPr>
          <w:p>
            <w:pPr>
              <w:pStyle w:val="16"/>
            </w:pPr>
            <w:r>
              <w:t>9.51</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城镇职工基本医疗保险缴费</w:t>
            </w:r>
          </w:p>
        </w:tc>
        <w:tc>
          <w:tcPr>
            <w:tcW w:w="2551" w:type="dxa"/>
            <w:vAlign w:val="center"/>
          </w:tcPr>
          <w:p>
            <w:pPr>
              <w:pStyle w:val="16"/>
            </w:pPr>
            <w:r>
              <w:t>8.95</w:t>
            </w:r>
          </w:p>
        </w:tc>
        <w:tc>
          <w:tcPr>
            <w:tcW w:w="2551" w:type="dxa"/>
            <w:vAlign w:val="center"/>
          </w:tcPr>
          <w:p>
            <w:pPr>
              <w:pStyle w:val="16"/>
            </w:pPr>
            <w:r>
              <w:t>8.95</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0.56</w:t>
            </w:r>
          </w:p>
        </w:tc>
        <w:tc>
          <w:tcPr>
            <w:tcW w:w="2551" w:type="dxa"/>
            <w:vAlign w:val="center"/>
          </w:tcPr>
          <w:p>
            <w:pPr>
              <w:pStyle w:val="16"/>
            </w:pPr>
            <w:r>
              <w:t>0.56</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13.43</w:t>
            </w:r>
          </w:p>
        </w:tc>
        <w:tc>
          <w:tcPr>
            <w:tcW w:w="2551" w:type="dxa"/>
            <w:vAlign w:val="center"/>
          </w:tcPr>
          <w:p>
            <w:pPr>
              <w:pStyle w:val="16"/>
            </w:pPr>
            <w:r>
              <w:t>13.43</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50.21</w:t>
            </w:r>
          </w:p>
        </w:tc>
        <w:tc>
          <w:tcPr>
            <w:tcW w:w="2551" w:type="dxa"/>
            <w:vAlign w:val="center"/>
          </w:tcPr>
          <w:p>
            <w:pPr>
              <w:pStyle w:val="16"/>
            </w:pPr>
          </w:p>
        </w:tc>
        <w:tc>
          <w:tcPr>
            <w:tcW w:w="2552" w:type="dxa"/>
            <w:vAlign w:val="center"/>
          </w:tcPr>
          <w:p>
            <w:pPr>
              <w:pStyle w:val="16"/>
            </w:pPr>
            <w:r>
              <w:t>50.21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21.00</w:t>
            </w:r>
          </w:p>
        </w:tc>
        <w:tc>
          <w:tcPr>
            <w:tcW w:w="2551" w:type="dxa"/>
            <w:vAlign w:val="center"/>
          </w:tcPr>
          <w:p>
            <w:pPr>
              <w:pStyle w:val="16"/>
            </w:pPr>
          </w:p>
        </w:tc>
        <w:tc>
          <w:tcPr>
            <w:tcW w:w="2552" w:type="dxa"/>
            <w:vAlign w:val="center"/>
          </w:tcPr>
          <w:p>
            <w:pPr>
              <w:pStyle w:val="16"/>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5.00</w:t>
            </w:r>
          </w:p>
        </w:tc>
        <w:tc>
          <w:tcPr>
            <w:tcW w:w="2551" w:type="dxa"/>
            <w:vAlign w:val="center"/>
          </w:tcPr>
          <w:p>
            <w:pPr>
              <w:pStyle w:val="16"/>
            </w:pPr>
          </w:p>
        </w:tc>
        <w:tc>
          <w:tcPr>
            <w:tcW w:w="2552"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3.00</w:t>
            </w:r>
          </w:p>
        </w:tc>
        <w:tc>
          <w:tcPr>
            <w:tcW w:w="2551" w:type="dxa"/>
            <w:vAlign w:val="center"/>
          </w:tcPr>
          <w:p>
            <w:pPr>
              <w:pStyle w:val="16"/>
            </w:pPr>
          </w:p>
        </w:tc>
        <w:tc>
          <w:tcPr>
            <w:tcW w:w="2552"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30215</w:t>
            </w:r>
          </w:p>
        </w:tc>
        <w:tc>
          <w:tcPr>
            <w:tcW w:w="4535" w:type="dxa"/>
            <w:vAlign w:val="center"/>
          </w:tcPr>
          <w:p>
            <w:pPr>
              <w:pStyle w:val="17"/>
            </w:pPr>
            <w:r>
              <w:t>会议费</w:t>
            </w:r>
          </w:p>
        </w:tc>
        <w:tc>
          <w:tcPr>
            <w:tcW w:w="2551" w:type="dxa"/>
            <w:vAlign w:val="center"/>
          </w:tcPr>
          <w:p>
            <w:pPr>
              <w:pStyle w:val="16"/>
            </w:pPr>
            <w:r>
              <w:t>2.00</w:t>
            </w:r>
          </w:p>
        </w:tc>
        <w:tc>
          <w:tcPr>
            <w:tcW w:w="2551" w:type="dxa"/>
            <w:vAlign w:val="center"/>
          </w:tcPr>
          <w:p>
            <w:pPr>
              <w:pStyle w:val="16"/>
            </w:pPr>
          </w:p>
        </w:tc>
        <w:tc>
          <w:tcPr>
            <w:tcW w:w="2552"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2.50</w:t>
            </w:r>
          </w:p>
        </w:tc>
        <w:tc>
          <w:tcPr>
            <w:tcW w:w="2551" w:type="dxa"/>
            <w:vAlign w:val="center"/>
          </w:tcPr>
          <w:p>
            <w:pPr>
              <w:pStyle w:val="16"/>
            </w:pPr>
          </w:p>
        </w:tc>
        <w:tc>
          <w:tcPr>
            <w:tcW w:w="2552" w:type="dxa"/>
            <w:vAlign w:val="center"/>
          </w:tcPr>
          <w:p>
            <w:pPr>
              <w:pStyle w:val="16"/>
            </w:pPr>
            <w:r>
              <w:t>2.50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4.00</w:t>
            </w:r>
          </w:p>
        </w:tc>
        <w:tc>
          <w:tcPr>
            <w:tcW w:w="2551" w:type="dxa"/>
            <w:vAlign w:val="center"/>
          </w:tcPr>
          <w:p>
            <w:pPr>
              <w:pStyle w:val="16"/>
            </w:pPr>
          </w:p>
        </w:tc>
        <w:tc>
          <w:tcPr>
            <w:tcW w:w="2552"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12.71</w:t>
            </w:r>
          </w:p>
        </w:tc>
        <w:tc>
          <w:tcPr>
            <w:tcW w:w="2551" w:type="dxa"/>
            <w:vAlign w:val="center"/>
          </w:tcPr>
          <w:p>
            <w:pPr>
              <w:pStyle w:val="16"/>
            </w:pPr>
          </w:p>
        </w:tc>
        <w:tc>
          <w:tcPr>
            <w:tcW w:w="2552" w:type="dxa"/>
            <w:vAlign w:val="center"/>
          </w:tcPr>
          <w:p>
            <w:pPr>
              <w:pStyle w:val="16"/>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1.34</w:t>
            </w:r>
          </w:p>
        </w:tc>
        <w:tc>
          <w:tcPr>
            <w:tcW w:w="2551" w:type="dxa"/>
            <w:vAlign w:val="center"/>
          </w:tcPr>
          <w:p>
            <w:pPr>
              <w:pStyle w:val="16"/>
            </w:pPr>
            <w:r>
              <w:t>1.34</w:t>
            </w:r>
          </w:p>
        </w:tc>
        <w:tc>
          <w:tcPr>
            <w:tcW w:w="255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1.34</w:t>
            </w:r>
          </w:p>
        </w:tc>
        <w:tc>
          <w:tcPr>
            <w:tcW w:w="2551" w:type="dxa"/>
            <w:vAlign w:val="center"/>
          </w:tcPr>
          <w:p>
            <w:pPr>
              <w:pStyle w:val="16"/>
            </w:pPr>
            <w:r>
              <w:t>1.34</w:t>
            </w:r>
          </w:p>
        </w:tc>
        <w:tc>
          <w:tcPr>
            <w:tcW w:w="2552"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131001中国人民政治协商会议河北省成安县委员会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9"/>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131001中国人民政治协商会议河北省成安县委员会</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9"/>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131001中国人民政治协商会议河北省成安县委员会</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5"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2"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2" w:type="dxa"/>
            <w:vAlign w:val="center"/>
          </w:tcPr>
          <w:p>
            <w:pPr>
              <w:pStyle w:val="20"/>
              <w:rPr>
                <w:rFonts w:eastAsiaTheme="minorEastAsia"/>
              </w:rPr>
            </w:pPr>
            <w:r>
              <w:rPr>
                <w:rFonts w:hint="eastAsia" w:eastAsiaTheme="minorEastAsia"/>
                <w:lang w:eastAsia="zh-CN"/>
              </w:rPr>
              <w:t>4</w:t>
            </w:r>
          </w:p>
        </w:tc>
        <w:tc>
          <w:tcPr>
            <w:tcW w:w="2381" w:type="dxa"/>
            <w:vAlign w:val="center"/>
          </w:tcPr>
          <w:p>
            <w:pPr>
              <w:pStyle w:val="20"/>
              <w:rPr>
                <w:rFonts w:eastAsiaTheme="minorEastAsia"/>
                <w:lang w:eastAsia="zh-CN"/>
              </w:rPr>
            </w:pPr>
            <w:r>
              <w:rPr>
                <w:rFonts w:hint="eastAsia" w:eastAsiaTheme="minorEastAsia"/>
                <w:lang w:eastAsia="zh-CN"/>
              </w:rPr>
              <w:t>4</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“三公”经费小计</w:t>
            </w:r>
          </w:p>
        </w:tc>
        <w:tc>
          <w:tcPr>
            <w:tcW w:w="2382" w:type="dxa"/>
            <w:vAlign w:val="center"/>
          </w:tcPr>
          <w:p>
            <w:pPr>
              <w:pStyle w:val="16"/>
            </w:pPr>
            <w:r>
              <w:rPr>
                <w:rFonts w:hint="eastAsia"/>
                <w:lang w:eastAsia="zh-CN"/>
              </w:rPr>
              <w:t>4.00</w:t>
            </w:r>
          </w:p>
        </w:tc>
        <w:tc>
          <w:tcPr>
            <w:tcW w:w="2381" w:type="dxa"/>
            <w:vAlign w:val="center"/>
          </w:tcPr>
          <w:p>
            <w:pPr>
              <w:pStyle w:val="16"/>
            </w:pPr>
            <w:r>
              <w:rPr>
                <w:rFonts w:hint="eastAsia"/>
                <w:lang w:eastAsia="zh-CN"/>
              </w:rP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一、因公出国（境）费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其中：教学科研人员因公出国（境）费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其他因公出国（境）费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二、公务用车购置及运维费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7</w:t>
            </w:r>
          </w:p>
        </w:tc>
        <w:tc>
          <w:tcPr>
            <w:tcW w:w="3798" w:type="dxa"/>
            <w:vAlign w:val="center"/>
          </w:tcPr>
          <w:p>
            <w:pPr>
              <w:pStyle w:val="17"/>
            </w:pPr>
            <w:r>
              <w:t xml:space="preserve">    其中：公务用车购置费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8</w:t>
            </w:r>
          </w:p>
        </w:tc>
        <w:tc>
          <w:tcPr>
            <w:tcW w:w="3798" w:type="dxa"/>
            <w:vAlign w:val="center"/>
          </w:tcPr>
          <w:p>
            <w:pPr>
              <w:pStyle w:val="17"/>
            </w:pPr>
            <w:r>
              <w:t xml:space="preserve">          公务用车运行维护费</w:t>
            </w:r>
          </w:p>
        </w:tc>
        <w:tc>
          <w:tcPr>
            <w:tcW w:w="2382" w:type="dxa"/>
            <w:vAlign w:val="center"/>
          </w:tcPr>
          <w:p>
            <w:pPr>
              <w:pStyle w:val="16"/>
            </w:pPr>
            <w:r>
              <w:t>4.00</w:t>
            </w:r>
          </w:p>
        </w:tc>
        <w:tc>
          <w:tcPr>
            <w:tcW w:w="2381" w:type="dxa"/>
            <w:vAlign w:val="center"/>
          </w:tcPr>
          <w:p>
            <w:pPr>
              <w:pStyle w:val="16"/>
            </w:pPr>
            <w:r>
              <w:t>4.00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9</w:t>
            </w:r>
          </w:p>
        </w:tc>
        <w:tc>
          <w:tcPr>
            <w:tcW w:w="3798" w:type="dxa"/>
            <w:vAlign w:val="center"/>
          </w:tcPr>
          <w:p>
            <w:pPr>
              <w:pStyle w:val="17"/>
            </w:pPr>
            <w:r>
              <w:t>三、公务接待费</w:t>
            </w:r>
          </w:p>
        </w:tc>
        <w:tc>
          <w:tcPr>
            <w:tcW w:w="2382"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中国人民政治协商会议河北省成安县委员会2022年单位预算信息公开情况说明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按照《预算法》、《地方预决算公开操作规程》和《关于进一步推进预算公开工作的实施意见》规定，现将中国人民政治协商会议河北省成安县委员会2022年单位预算公开如下：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政协成安县委员会认真执行《中国人民政治协商会议章程》主要职能：政治协商、民主监督，组织各党派、团体和社会各界人士参政议政，巩固和发展我县爱国统一战线，推进社会主义民主政治建设，坚持为改革开放，经济建设和精神文明建设服务，促进我县重大决策的民主化、科学化。</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2.组织委员和有关人员进行视察、调研、参观、咨询，就我县大政方针实施、重要人事安排及群众生活中的重大问题，向县委、县政府和其他有关机关、部门提出意见和建议，进行政治协商、参政议政。</w:t>
      </w:r>
    </w:p>
    <w:p>
      <w:pPr>
        <w:spacing w:line="560" w:lineRule="exact"/>
        <w:ind w:firstLine="640" w:firstLineChars="200"/>
        <w:rPr>
          <w:rFonts w:ascii="仿宋_GB2312" w:hAnsi="仿宋" w:eastAsia="仿宋_GB2312"/>
          <w:color w:val="000000"/>
          <w:spacing w:val="-6"/>
          <w:sz w:val="32"/>
          <w:szCs w:val="32"/>
        </w:rPr>
      </w:pPr>
      <w:r>
        <w:rPr>
          <w:rFonts w:hint="eastAsia" w:ascii="仿宋_GB2312" w:hAnsi="仿宋" w:eastAsia="仿宋_GB2312"/>
          <w:color w:val="000000"/>
          <w:sz w:val="32"/>
          <w:szCs w:val="32"/>
        </w:rPr>
        <w:t>3.坚持以经济建设为中心，动员委员和社会各界人士为改革开放、经济发展多办实事。向县委、县政府</w:t>
      </w:r>
      <w:bookmarkStart w:id="1" w:name="_GoBack"/>
      <w:bookmarkEnd w:id="1"/>
      <w:r>
        <w:rPr>
          <w:rFonts w:hint="eastAsia" w:ascii="仿宋_GB2312" w:hAnsi="仿宋" w:eastAsia="仿宋_GB2312"/>
          <w:color w:val="000000"/>
          <w:sz w:val="32"/>
          <w:szCs w:val="32"/>
        </w:rPr>
        <w:t>机关及其工作人员通过建议和批评，实行民主监督，协助其改革工作，提高工作效率，克服官僚主义，加强廉政建设</w:t>
      </w:r>
      <w:r>
        <w:rPr>
          <w:rFonts w:hint="eastAsia" w:ascii="仿宋_GB2312" w:hAnsi="仿宋" w:eastAsia="仿宋_GB2312"/>
          <w:color w:val="000000"/>
          <w:spacing w:val="-6"/>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4.发挥政协的独特优势和作用，高举爱国主义和社会主义两面旗帜，团结各界人士，为维护政治安定、社会稳定服务。</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5.积极宣传贯彻国家宪法、法律和各项方针政策，特别是关于祖国统一的方针、政策，推进社会力量积极参与两个文明建设，积极开展同台胞和社会各界的联系，促进祖国统一大业的实现。</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6.组织委员和有关方面提出提案，并协助有关机关、部门做好提案的交办、办理和答复工作。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7．组织委员学政治、学业务、学科技，提高参政议政水平。</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8.根据县情特点，进行关于近代、现代文史资料的征集、研究、出版工作。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9.组织驻成市政协委员开展各项活动，做好驻成市政协委员的联系工作。</w:t>
      </w:r>
    </w:p>
    <w:p>
      <w:pPr>
        <w:spacing w:line="560"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10.负责其他应有政协承办的事项。</w:t>
      </w:r>
    </w:p>
    <w:p>
      <w:pPr>
        <w:spacing w:line="560" w:lineRule="exact"/>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spacing w:line="560" w:lineRule="exact"/>
        <w:ind w:firstLine="640" w:firstLineChars="200"/>
        <w:rPr>
          <w:rFonts w:ascii="仿宋_GB2312" w:hAnsi="仿宋" w:eastAsia="仿宋_GB2312"/>
          <w:color w:val="000000"/>
          <w:sz w:val="32"/>
          <w:szCs w:val="32"/>
        </w:rPr>
      </w:pPr>
      <w:r>
        <w:rPr>
          <w:rFonts w:hint="eastAsia" w:ascii="仿宋" w:hAnsi="仿宋" w:eastAsia="仿宋" w:cs="仿宋"/>
          <w:bCs/>
          <w:sz w:val="32"/>
          <w:szCs w:val="32"/>
        </w:rPr>
        <w:t>人员编制17名，其中领导职数5个。</w:t>
      </w:r>
    </w:p>
    <w:p>
      <w:pPr>
        <w:spacing w:line="560" w:lineRule="exact"/>
        <w:ind w:firstLine="630" w:firstLineChars="196"/>
        <w:rPr>
          <w:rFonts w:ascii="楷体" w:hAnsi="楷体" w:eastAsia="楷体" w:cs="宋体"/>
          <w:b/>
          <w:bCs/>
          <w:sz w:val="32"/>
          <w:szCs w:val="32"/>
        </w:rPr>
      </w:pPr>
      <w:r>
        <w:rPr>
          <w:rFonts w:hint="eastAsia" w:ascii="楷体" w:hAnsi="楷体" w:eastAsia="楷体" w:cs="宋体"/>
          <w:b/>
          <w:bCs/>
          <w:sz w:val="32"/>
          <w:szCs w:val="32"/>
        </w:rPr>
        <w:t>机构设置：</w:t>
      </w:r>
    </w:p>
    <w:p>
      <w:pPr>
        <w:spacing w:line="580" w:lineRule="exact"/>
        <w:jc w:val="center"/>
        <w:outlineLvl w:val="0"/>
        <w:rPr>
          <w:rFonts w:ascii="方正小标宋_GBK" w:hAnsi="方正小标宋_GBK"/>
          <w:sz w:val="32"/>
          <w:szCs w:val="32"/>
        </w:rPr>
      </w:pPr>
      <w:r>
        <w:rPr>
          <w:rFonts w:ascii="方正小标宋_GBK" w:hAnsi="方正小标宋_GBK"/>
          <w:sz w:val="32"/>
          <w:szCs w:val="32"/>
        </w:rPr>
        <w:t>部门</w:t>
      </w:r>
      <w:r>
        <w:rPr>
          <w:rFonts w:hint="eastAsia" w:ascii="方正小标宋_GBK" w:hAnsi="方正小标宋_GBK"/>
          <w:sz w:val="32"/>
          <w:szCs w:val="32"/>
        </w:rPr>
        <w:t>机构设置情况</w:t>
      </w:r>
    </w:p>
    <w:tbl>
      <w:tblPr>
        <w:tblStyle w:val="9"/>
        <w:tblW w:w="8590" w:type="dxa"/>
        <w:jc w:val="center"/>
        <w:tblLayout w:type="fixed"/>
        <w:tblCellMar>
          <w:top w:w="0" w:type="dxa"/>
          <w:left w:w="108" w:type="dxa"/>
          <w:bottom w:w="0" w:type="dxa"/>
          <w:right w:w="108" w:type="dxa"/>
        </w:tblCellMar>
      </w:tblPr>
      <w:tblGrid>
        <w:gridCol w:w="3827"/>
        <w:gridCol w:w="1134"/>
        <w:gridCol w:w="1276"/>
        <w:gridCol w:w="2353"/>
      </w:tblGrid>
      <w:tr>
        <w:tblPrEx>
          <w:tblCellMar>
            <w:top w:w="0" w:type="dxa"/>
            <w:left w:w="108" w:type="dxa"/>
            <w:bottom w:w="0" w:type="dxa"/>
            <w:right w:w="108" w:type="dxa"/>
          </w:tblCellMar>
        </w:tblPrEx>
        <w:trPr>
          <w:trHeight w:val="580" w:hRule="atLeast"/>
          <w:jc w:val="center"/>
        </w:trPr>
        <w:tc>
          <w:tcPr>
            <w:tcW w:w="3827" w:type="dxa"/>
            <w:vMerge w:val="restart"/>
            <w:tcBorders>
              <w:top w:val="single" w:color="000000" w:sz="6" w:space="0"/>
              <w:left w:val="single" w:color="000000" w:sz="6" w:space="0"/>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单位名称</w:t>
            </w:r>
          </w:p>
        </w:tc>
        <w:tc>
          <w:tcPr>
            <w:tcW w:w="1134"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单位性质</w:t>
            </w:r>
          </w:p>
        </w:tc>
        <w:tc>
          <w:tcPr>
            <w:tcW w:w="1276"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单位规格</w:t>
            </w:r>
          </w:p>
        </w:tc>
        <w:tc>
          <w:tcPr>
            <w:tcW w:w="2353" w:type="dxa"/>
            <w:vMerge w:val="restart"/>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b/>
                <w:bCs/>
              </w:rPr>
            </w:pPr>
            <w:r>
              <w:rPr>
                <w:rFonts w:ascii="方正书宋_GBK" w:hAnsi="方正书宋_GBK"/>
                <w:b/>
                <w:bCs/>
              </w:rPr>
              <w:t>经费保障形式</w:t>
            </w:r>
          </w:p>
        </w:tc>
      </w:tr>
      <w:tr>
        <w:tblPrEx>
          <w:tblCellMar>
            <w:top w:w="0" w:type="dxa"/>
            <w:left w:w="108" w:type="dxa"/>
            <w:bottom w:w="0" w:type="dxa"/>
            <w:right w:w="108" w:type="dxa"/>
          </w:tblCellMar>
        </w:tblPrEx>
        <w:trPr>
          <w:trHeight w:val="580" w:hRule="atLeast"/>
          <w:jc w:val="center"/>
        </w:trPr>
        <w:tc>
          <w:tcPr>
            <w:tcW w:w="3827" w:type="dxa"/>
            <w:vMerge w:val="continue"/>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b/>
                <w:bCs/>
              </w:rPr>
            </w:pPr>
          </w:p>
        </w:tc>
        <w:tc>
          <w:tcPr>
            <w:tcW w:w="1134" w:type="dxa"/>
            <w:vMerge w:val="continue"/>
            <w:tcBorders>
              <w:top w:val="single" w:color="000000" w:sz="6" w:space="0"/>
              <w:left w:val="nil"/>
              <w:bottom w:val="single" w:color="000000" w:sz="6" w:space="0"/>
              <w:right w:val="single" w:color="000000" w:sz="6" w:space="0"/>
            </w:tcBorders>
            <w:vAlign w:val="center"/>
          </w:tcPr>
          <w:p>
            <w:pPr>
              <w:spacing w:line="580" w:lineRule="exact"/>
              <w:rPr>
                <w:rFonts w:ascii="方正书宋_GBK" w:hAnsi="方正书宋_GBK"/>
                <w:b/>
                <w:bCs/>
              </w:rPr>
            </w:pPr>
          </w:p>
        </w:tc>
        <w:tc>
          <w:tcPr>
            <w:tcW w:w="1276" w:type="dxa"/>
            <w:vMerge w:val="continue"/>
            <w:tcBorders>
              <w:top w:val="single" w:color="000000" w:sz="6" w:space="0"/>
              <w:left w:val="nil"/>
              <w:bottom w:val="single" w:color="000000" w:sz="6" w:space="0"/>
              <w:right w:val="single" w:color="000000" w:sz="6" w:space="0"/>
            </w:tcBorders>
            <w:vAlign w:val="center"/>
          </w:tcPr>
          <w:p>
            <w:pPr>
              <w:spacing w:line="580" w:lineRule="exact"/>
              <w:rPr>
                <w:rFonts w:ascii="方正书宋_GBK" w:hAnsi="方正书宋_GBK"/>
                <w:b/>
                <w:bCs/>
              </w:rPr>
            </w:pPr>
          </w:p>
        </w:tc>
        <w:tc>
          <w:tcPr>
            <w:tcW w:w="2353" w:type="dxa"/>
            <w:vMerge w:val="continue"/>
            <w:tcBorders>
              <w:top w:val="single" w:color="000000" w:sz="6" w:space="0"/>
              <w:left w:val="nil"/>
              <w:bottom w:val="single" w:color="000000" w:sz="6" w:space="0"/>
              <w:right w:val="single" w:color="000000" w:sz="6" w:space="0"/>
            </w:tcBorders>
            <w:vAlign w:val="center"/>
          </w:tcPr>
          <w:p>
            <w:pPr>
              <w:spacing w:line="580" w:lineRule="exact"/>
              <w:rPr>
                <w:rFonts w:ascii="方正书宋_GBK" w:hAnsi="方正书宋_GBK"/>
                <w:b/>
                <w:bCs/>
              </w:rPr>
            </w:pP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政协成安县委员会办公室</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提案委员会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学习宣传委员会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经济委员会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r>
        <w:tblPrEx>
          <w:tblCellMar>
            <w:top w:w="0" w:type="dxa"/>
            <w:left w:w="108" w:type="dxa"/>
            <w:bottom w:w="0" w:type="dxa"/>
            <w:right w:w="108" w:type="dxa"/>
          </w:tblCellMar>
        </w:tblPrEx>
        <w:trPr>
          <w:trHeight w:val="227" w:hRule="atLeast"/>
          <w:jc w:val="center"/>
        </w:trPr>
        <w:tc>
          <w:tcPr>
            <w:tcW w:w="3827" w:type="dxa"/>
            <w:tcBorders>
              <w:top w:val="single" w:color="000000" w:sz="6" w:space="0"/>
              <w:left w:val="single" w:color="000000" w:sz="6" w:space="0"/>
              <w:bottom w:val="single" w:color="000000" w:sz="6" w:space="0"/>
              <w:right w:val="single" w:color="000000" w:sz="6" w:space="0"/>
            </w:tcBorders>
            <w:vAlign w:val="center"/>
          </w:tcPr>
          <w:p>
            <w:pPr>
              <w:spacing w:line="580" w:lineRule="exact"/>
              <w:rPr>
                <w:rFonts w:ascii="方正书宋_GBK" w:hAnsi="方正书宋_GBK"/>
              </w:rPr>
            </w:pPr>
            <w:r>
              <w:rPr>
                <w:rFonts w:hint="eastAsia" w:ascii="方正书宋_GBK" w:hAnsi="方正书宋_GBK"/>
              </w:rPr>
              <w:t>农业和农村委员会</w:t>
            </w:r>
          </w:p>
        </w:tc>
        <w:tc>
          <w:tcPr>
            <w:tcW w:w="1134"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行政</w:t>
            </w:r>
          </w:p>
        </w:tc>
        <w:tc>
          <w:tcPr>
            <w:tcW w:w="1276"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正科级</w:t>
            </w:r>
          </w:p>
        </w:tc>
        <w:tc>
          <w:tcPr>
            <w:tcW w:w="2353" w:type="dxa"/>
            <w:tcBorders>
              <w:top w:val="single" w:color="000000" w:sz="6" w:space="0"/>
              <w:left w:val="nil"/>
              <w:bottom w:val="single" w:color="000000" w:sz="6" w:space="0"/>
              <w:right w:val="single" w:color="000000" w:sz="6" w:space="0"/>
            </w:tcBorders>
            <w:vAlign w:val="center"/>
          </w:tcPr>
          <w:p>
            <w:pPr>
              <w:spacing w:line="580" w:lineRule="exact"/>
              <w:jc w:val="center"/>
              <w:rPr>
                <w:rFonts w:ascii="方正书宋_GBK" w:hAnsi="方正书宋_GBK"/>
              </w:rPr>
            </w:pPr>
            <w:r>
              <w:rPr>
                <w:rFonts w:hint="eastAsia" w:ascii="方正书宋_GBK" w:hAnsi="方正书宋_GBK"/>
              </w:rPr>
              <w:t>财政拨款</w:t>
            </w:r>
          </w:p>
        </w:tc>
      </w:tr>
    </w:tbl>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办公室：</w:t>
      </w:r>
      <w:r>
        <w:rPr>
          <w:rFonts w:hint="eastAsia" w:ascii="仿宋" w:hAnsi="仿宋" w:eastAsia="仿宋"/>
          <w:sz w:val="32"/>
          <w:szCs w:val="32"/>
        </w:rPr>
        <w:t>主要负责文件的接收和发放工作。完善各项会议制度，规范会议程序，提高会议质量，提高政治协商水平。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提案委员会：</w:t>
      </w:r>
      <w:r>
        <w:rPr>
          <w:rFonts w:hint="eastAsia" w:ascii="仿宋" w:hAnsi="仿宋" w:eastAsia="仿宋"/>
          <w:sz w:val="32"/>
          <w:szCs w:val="32"/>
        </w:rPr>
        <w:t>主要负责发挥政协作为扩大社会各界有序参与的重要渠道作用，探索开展活动的新方法途径，充分调动委员参政议政积极，向县委、县政府提出高质量的建议案。</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学习宣传委员会：</w:t>
      </w:r>
      <w:r>
        <w:rPr>
          <w:rFonts w:hint="eastAsia" w:ascii="仿宋" w:hAnsi="仿宋" w:eastAsia="仿宋"/>
          <w:sz w:val="32"/>
          <w:szCs w:val="32"/>
        </w:rPr>
        <w:t>主要负责组织委员学习党和国家的路线、方针和政策；负责征订、编印、发放有关学习资料；加强与宣传部门的联系；搜集和反馈各地政协的好做法。</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经济委员会</w:t>
      </w:r>
      <w:r>
        <w:rPr>
          <w:rFonts w:hint="eastAsia" w:ascii="仿宋" w:hAnsi="仿宋" w:eastAsia="仿宋"/>
          <w:sz w:val="32"/>
          <w:szCs w:val="32"/>
        </w:rPr>
        <w:t>：负责组织委员会和各界人士就我县项目建设和经济发展等方面，通过专题调查、视察、考察、报告会、咨询服务会等活动，为我县经济发展献计出力。</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农业和农村委员会：</w:t>
      </w:r>
      <w:r>
        <w:rPr>
          <w:rFonts w:hint="eastAsia" w:ascii="仿宋" w:hAnsi="仿宋" w:eastAsia="仿宋" w:cs="仿宋"/>
          <w:sz w:val="32"/>
          <w:szCs w:val="32"/>
        </w:rPr>
        <w:t>组织委员学习宣传党和国家农业农村方面的方针政策和法律法规，就“三农”问题开展调查研究，提出意见、建议和提案，团结和联系农业农村界委员反映社情民意。</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9"/>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中国人民政治协商会议河北省成安县委员会</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按照预算管理有关规定，目前我省部门预算的编制实行综合预算管理，即全部收入和支出都反映在预算中。中国人民政治协商会议河北省成安县委员会机关及所属事业单位的收支包含在部门预算中。</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1、收入说明</w:t>
      </w:r>
    </w:p>
    <w:p>
      <w:pPr>
        <w:spacing w:line="56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cs="方正仿宋_GBK"/>
          <w:sz w:val="32"/>
          <w:szCs w:val="32"/>
        </w:rPr>
        <w:t>年预算收入</w:t>
      </w:r>
      <w:r>
        <w:rPr>
          <w:rFonts w:ascii="仿宋" w:hAnsi="仿宋" w:eastAsia="仿宋" w:cs="方正仿宋_GBK"/>
          <w:sz w:val="32"/>
          <w:szCs w:val="32"/>
        </w:rPr>
        <w:t>233.24</w:t>
      </w:r>
      <w:r>
        <w:rPr>
          <w:rFonts w:hint="eastAsia" w:ascii="仿宋" w:hAnsi="仿宋" w:eastAsia="仿宋" w:cs="方正仿宋_GBK"/>
          <w:sz w:val="32"/>
          <w:szCs w:val="32"/>
        </w:rPr>
        <w:t>万元，其中：一般公共预算收入</w:t>
      </w:r>
      <w:r>
        <w:rPr>
          <w:rFonts w:ascii="仿宋" w:hAnsi="仿宋" w:eastAsia="仿宋" w:cs="方正仿宋_GBK"/>
          <w:sz w:val="32"/>
          <w:szCs w:val="32"/>
        </w:rPr>
        <w:t>233.24</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2、支出说明</w:t>
      </w:r>
    </w:p>
    <w:p>
      <w:pPr>
        <w:spacing w:line="560" w:lineRule="exact"/>
        <w:ind w:firstLine="640"/>
        <w:rPr>
          <w:rFonts w:ascii="楷体" w:hAnsi="楷体" w:eastAsia="楷体"/>
          <w:b/>
          <w:sz w:val="32"/>
          <w:szCs w:val="32"/>
        </w:rPr>
      </w:pPr>
      <w:r>
        <w:rPr>
          <w:rFonts w:hint="eastAsia" w:ascii="仿宋" w:hAnsi="仿宋" w:eastAsia="仿宋"/>
          <w:sz w:val="32"/>
          <w:szCs w:val="32"/>
        </w:rPr>
        <w:t>2022年支出预算</w:t>
      </w:r>
      <w:r>
        <w:rPr>
          <w:rFonts w:ascii="仿宋" w:hAnsi="仿宋" w:eastAsia="仿宋"/>
          <w:sz w:val="32"/>
          <w:szCs w:val="32"/>
        </w:rPr>
        <w:t>233.24</w:t>
      </w:r>
      <w:r>
        <w:rPr>
          <w:rFonts w:hint="eastAsia" w:ascii="仿宋" w:hAnsi="仿宋" w:eastAsia="仿宋"/>
          <w:sz w:val="32"/>
          <w:szCs w:val="32"/>
        </w:rPr>
        <w:t>万元，其中基本支出</w:t>
      </w:r>
      <w:r>
        <w:rPr>
          <w:rFonts w:ascii="仿宋" w:hAnsi="仿宋" w:eastAsia="仿宋"/>
          <w:sz w:val="32"/>
          <w:szCs w:val="32"/>
        </w:rPr>
        <w:t>233.24</w:t>
      </w:r>
      <w:r>
        <w:rPr>
          <w:rFonts w:hint="eastAsia" w:ascii="仿宋" w:hAnsi="仿宋" w:eastAsia="仿宋"/>
          <w:sz w:val="32"/>
          <w:szCs w:val="32"/>
        </w:rPr>
        <w:t>万元，主要是人员经费支出</w:t>
      </w:r>
      <w:r>
        <w:rPr>
          <w:rFonts w:ascii="仿宋" w:hAnsi="仿宋" w:eastAsia="仿宋"/>
          <w:sz w:val="32"/>
          <w:szCs w:val="32"/>
        </w:rPr>
        <w:t>183.03</w:t>
      </w:r>
      <w:r>
        <w:rPr>
          <w:rFonts w:hint="eastAsia" w:ascii="仿宋" w:hAnsi="仿宋" w:eastAsia="仿宋"/>
          <w:sz w:val="32"/>
          <w:szCs w:val="32"/>
        </w:rPr>
        <w:t>万元，日常公用经费支出</w:t>
      </w:r>
      <w:r>
        <w:rPr>
          <w:rFonts w:ascii="仿宋" w:hAnsi="仿宋" w:eastAsia="仿宋"/>
          <w:sz w:val="32"/>
          <w:szCs w:val="32"/>
        </w:rPr>
        <w:t>50.21</w:t>
      </w:r>
      <w:r>
        <w:rPr>
          <w:rFonts w:hint="eastAsia" w:ascii="仿宋" w:hAnsi="仿宋" w:eastAsia="仿宋"/>
          <w:sz w:val="32"/>
          <w:szCs w:val="32"/>
        </w:rPr>
        <w:t>万元</w:t>
      </w:r>
      <w:r>
        <w:rPr>
          <w:rFonts w:hint="eastAsia" w:ascii="仿宋" w:hAnsi="仿宋" w:eastAsia="仿宋" w:cs="方正仿宋_GBK"/>
          <w:sz w:val="32"/>
          <w:szCs w:val="32"/>
        </w:rPr>
        <w:t>。</w:t>
      </w:r>
    </w:p>
    <w:p>
      <w:pPr>
        <w:spacing w:line="560" w:lineRule="exact"/>
        <w:ind w:firstLine="643" w:firstLineChars="200"/>
        <w:rPr>
          <w:rFonts w:ascii="楷体" w:hAnsi="楷体" w:eastAsia="楷体"/>
          <w:b/>
          <w:sz w:val="32"/>
          <w:szCs w:val="32"/>
        </w:rPr>
      </w:pPr>
      <w:r>
        <w:rPr>
          <w:rFonts w:hint="eastAsia" w:ascii="楷体" w:hAnsi="楷体" w:eastAsia="楷体"/>
          <w:b/>
          <w:sz w:val="32"/>
          <w:szCs w:val="32"/>
        </w:rPr>
        <w:t>3、比去年增减变化情况</w:t>
      </w:r>
    </w:p>
    <w:p>
      <w:pPr>
        <w:pStyle w:val="23"/>
      </w:pPr>
      <w:r>
        <w:rPr>
          <w:rFonts w:ascii="仿宋" w:hAnsi="仿宋" w:eastAsia="仿宋"/>
          <w:sz w:val="32"/>
          <w:szCs w:val="32"/>
        </w:rPr>
        <w:t>2022</w:t>
      </w:r>
      <w:r>
        <w:rPr>
          <w:rFonts w:hint="eastAsia" w:ascii="仿宋" w:hAnsi="仿宋" w:eastAsia="仿宋" w:cs="方正仿宋_GBK"/>
          <w:sz w:val="32"/>
          <w:szCs w:val="32"/>
        </w:rPr>
        <w:t>年预算收支安排</w:t>
      </w:r>
      <w:r>
        <w:rPr>
          <w:rFonts w:ascii="仿宋" w:hAnsi="仿宋" w:eastAsia="仿宋" w:cs="方正仿宋_GBK"/>
          <w:sz w:val="32"/>
          <w:szCs w:val="32"/>
        </w:rPr>
        <w:t>233.24</w:t>
      </w:r>
      <w:r>
        <w:rPr>
          <w:rFonts w:hint="eastAsia" w:ascii="仿宋" w:hAnsi="仿宋" w:eastAsia="仿宋" w:cs="方正仿宋_GBK"/>
          <w:sz w:val="32"/>
          <w:szCs w:val="32"/>
        </w:rPr>
        <w:t>万元，</w:t>
      </w:r>
      <w:r>
        <w:rPr>
          <w:rFonts w:ascii="仿宋" w:hAnsi="仿宋" w:eastAsia="仿宋" w:cs="仿宋_GB2312"/>
          <w:sz w:val="32"/>
          <w:szCs w:val="32"/>
        </w:rPr>
        <w:t>2021年财政拨款收入277.58万元。</w:t>
      </w:r>
      <w:r>
        <w:rPr>
          <w:rFonts w:hint="eastAsia" w:ascii="仿宋" w:hAnsi="仿宋" w:eastAsia="仿宋" w:cs="仿宋_GB2312"/>
          <w:sz w:val="32"/>
          <w:szCs w:val="32"/>
        </w:rPr>
        <w:t>与去年相比减少4</w:t>
      </w:r>
      <w:r>
        <w:rPr>
          <w:rFonts w:ascii="仿宋" w:hAnsi="仿宋" w:eastAsia="仿宋" w:cs="仿宋_GB2312"/>
          <w:sz w:val="32"/>
          <w:szCs w:val="32"/>
        </w:rPr>
        <w:t>4.34</w:t>
      </w:r>
      <w:r>
        <w:rPr>
          <w:rFonts w:hint="eastAsia" w:ascii="仿宋" w:hAnsi="仿宋" w:eastAsia="仿宋" w:cs="仿宋_GB2312"/>
          <w:sz w:val="32"/>
          <w:szCs w:val="32"/>
        </w:rPr>
        <w:t>万元，主要是项目支出减少</w:t>
      </w:r>
      <w:r>
        <w:rPr>
          <w:rFonts w:ascii="仿宋" w:hAnsi="仿宋" w:eastAsia="仿宋" w:cs="Calibri"/>
          <w:sz w:val="32"/>
          <w:szCs w:val="32"/>
        </w:rPr>
        <w:t>。</w:t>
      </w:r>
    </w:p>
    <w:p>
      <w:pPr>
        <w:spacing w:before="10" w:after="10" w:line="360" w:lineRule="auto"/>
        <w:ind w:firstLine="640"/>
        <w:outlineLvl w:val="2"/>
      </w:pPr>
      <w:r>
        <w:rPr>
          <w:rFonts w:ascii="黑体" w:hAnsi="黑体" w:eastAsia="黑体" w:cs="黑体"/>
          <w:color w:val="000000"/>
          <w:sz w:val="32"/>
        </w:rPr>
        <w:t>三、机关运行经费安排情况</w:t>
      </w:r>
    </w:p>
    <w:p>
      <w:pPr>
        <w:autoSpaceDE w:val="0"/>
        <w:autoSpaceDN w:val="0"/>
        <w:adjustRightInd w:val="0"/>
        <w:spacing w:line="560" w:lineRule="exact"/>
        <w:ind w:left="198" w:firstLine="640" w:firstLineChars="200"/>
        <w:rPr>
          <w:rFonts w:ascii="仿宋" w:hAnsi="仿宋" w:eastAsia="仿宋"/>
          <w:sz w:val="32"/>
          <w:szCs w:val="32"/>
        </w:rPr>
      </w:pPr>
      <w:r>
        <w:rPr>
          <w:rFonts w:hint="eastAsia" w:ascii="仿宋" w:hAnsi="仿宋" w:eastAsia="仿宋"/>
          <w:sz w:val="32"/>
          <w:szCs w:val="32"/>
        </w:rPr>
        <w:t>日常公用经费支出总计50.</w:t>
      </w:r>
      <w:r>
        <w:rPr>
          <w:rFonts w:ascii="仿宋" w:hAnsi="仿宋" w:eastAsia="仿宋"/>
          <w:sz w:val="32"/>
          <w:szCs w:val="32"/>
        </w:rPr>
        <w:t>2</w:t>
      </w:r>
      <w:r>
        <w:rPr>
          <w:rFonts w:hint="eastAsia" w:ascii="仿宋" w:hAnsi="仿宋" w:eastAsia="仿宋"/>
          <w:sz w:val="32"/>
          <w:szCs w:val="32"/>
        </w:rPr>
        <w:t>1万元，</w:t>
      </w:r>
      <w:r>
        <w:rPr>
          <w:rFonts w:hint="eastAsia" w:ascii="仿宋_GB2312" w:eastAsia="仿宋_GB2312"/>
          <w:sz w:val="32"/>
          <w:szCs w:val="32"/>
        </w:rPr>
        <w:t>主要用于办公及印刷费、邮电费、差旅费、会议费、日常维修费、公务用车运行维护费等日常运行支出。</w:t>
      </w:r>
    </w:p>
    <w:p>
      <w:pPr>
        <w:pStyle w:val="24"/>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napToGrid w:val="0"/>
        <w:spacing w:line="560" w:lineRule="exac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rPr>
        <w:t>2022年度“三公”预算支出</w:t>
      </w:r>
      <w:r>
        <w:rPr>
          <w:rFonts w:hint="eastAsia" w:ascii="仿宋" w:hAnsi="仿宋" w:eastAsia="仿宋" w:cs="仿宋_GB2312"/>
          <w:sz w:val="32"/>
          <w:szCs w:val="32"/>
          <w:lang w:eastAsia="zh-CN"/>
        </w:rPr>
        <w:t>4</w:t>
      </w:r>
      <w:r>
        <w:rPr>
          <w:rFonts w:hint="eastAsia" w:ascii="仿宋" w:hAnsi="仿宋" w:eastAsia="仿宋" w:cs="仿宋_GB2312"/>
          <w:sz w:val="32"/>
          <w:szCs w:val="32"/>
        </w:rPr>
        <w:t>万元，其中，因公出国（境）费0元，与去年持平。安排公务用车维护费</w:t>
      </w:r>
      <w:r>
        <w:rPr>
          <w:rFonts w:ascii="仿宋" w:hAnsi="仿宋" w:eastAsia="仿宋" w:cs="仿宋_GB2312"/>
          <w:sz w:val="32"/>
          <w:szCs w:val="32"/>
        </w:rPr>
        <w:t>4</w:t>
      </w:r>
      <w:r>
        <w:rPr>
          <w:rFonts w:hint="eastAsia" w:ascii="仿宋" w:hAnsi="仿宋" w:eastAsia="仿宋" w:cs="仿宋_GB2312"/>
          <w:sz w:val="32"/>
          <w:szCs w:val="32"/>
        </w:rPr>
        <w:t>万元，（其中:公务用车购置费0万元，公务用车运行维护费</w:t>
      </w:r>
      <w:r>
        <w:rPr>
          <w:rFonts w:ascii="仿宋" w:hAnsi="仿宋" w:eastAsia="仿宋" w:cs="仿宋_GB2312"/>
          <w:sz w:val="32"/>
          <w:szCs w:val="32"/>
        </w:rPr>
        <w:t>4</w:t>
      </w:r>
      <w:r>
        <w:rPr>
          <w:rFonts w:hint="eastAsia" w:ascii="仿宋" w:hAnsi="仿宋" w:eastAsia="仿宋" w:cs="仿宋_GB2312"/>
          <w:sz w:val="32"/>
          <w:szCs w:val="32"/>
        </w:rPr>
        <w:t>万元，与去年持平），公务接待费0万元，与去年持平。</w:t>
      </w:r>
    </w:p>
    <w:p>
      <w:pPr>
        <w:pStyle w:val="25"/>
      </w:pP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完善各项会议制度，规范会议程序，提高会议质量，提高政治协商水平。增强开展政治协商的自觉性和主动性，规范协商内容，丰富协商形式和层次，把政治协商纳入决策程序。对外交往工作成效显著。</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完善民主监督机制，畅通民主监督渠道，建立健全知情、沟通制度，将民主监督寓于委员提案、进行视察、参与工作检查等活动中，提高民主监督质量和成效。完善提案审查、办理和反馈机制，做到提案程序更加规范，制度更加完善，提案质量和办理质量不断提高，政协履职作用更加突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发挥政协作为扩大社会各界有序参与的重要渠道作用，探索开展活动的新方法淅途径，充分调动委员参政议政积极，向县委、县政府提出高质量的建议案。通过调研课题就县委和政府关注的问题，提出客观、有价值、有分量、有影响的意见建议，促进决策民主化和科学化。通过界别渠道密切联系群众，反映社情民意，努力做到协调关系、化解矛盾、理顺情绪，增进社会各阶层不同利益群体的和谐和稳定。</w:t>
      </w:r>
    </w:p>
    <w:p>
      <w:pPr>
        <w:pStyle w:val="8"/>
        <w:widowControl/>
        <w:spacing w:beforeAutospacing="0" w:afterAutospacing="0"/>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机关自身建设、服务保障能力进一步提升。政协自身建设质量更加扎实，工作科学化水平进一步提升。文史资料的社会功能增强，理论研究成果服务履职作用明显。机关基本设施设备正常运转、信息化保障、老干部服务保障能力进一步提高。</w:t>
      </w:r>
    </w:p>
    <w:p>
      <w:pPr>
        <w:pStyle w:val="26"/>
      </w:pPr>
    </w:p>
    <w:p>
      <w:pPr>
        <w:spacing w:line="500" w:lineRule="exact"/>
        <w:ind w:firstLine="560"/>
      </w:pPr>
      <w:r>
        <w:rPr>
          <w:rFonts w:eastAsia="方正仿宋_GBK"/>
          <w:color w:val="000000"/>
          <w:sz w:val="28"/>
        </w:rPr>
        <w:t>（二）分项绩效目标</w:t>
      </w:r>
    </w:p>
    <w:p>
      <w:pPr>
        <w:pStyle w:val="8"/>
        <w:widowControl/>
        <w:spacing w:beforeAutospacing="0" w:afterAutospacing="0"/>
        <w:ind w:firstLine="640" w:firstLineChars="20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完善各项会议制度，规范会议程序，提高会议质量，提高政治协商水平。就我县大政方针以及政治、经济、文化、社会和生态文明中的重要问题在决策之前进行协商和就决策执行过程中的重要问题进行协商。根据年度形势、任务和县委县政府统一部署，安排协商活动，召开专题协商会、协商民主会、专题座谈会、情况通报会、意见听取会、工作研讨会和学习座谈会等。 </w:t>
      </w:r>
    </w:p>
    <w:p>
      <w:pPr>
        <w:pStyle w:val="8"/>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完善民主监督机制，畅通民主监督渠道，建立健全知情、沟通制度，将民主监督寓于委员提案、进行视察、参与工作检查等活动中，提高民主监督质量和成效。有效履行民主监督职责，发挥好协调关系、汇聚力量、建言献策、服务大局的作用。通过意见、建议、批评的方式对法律法规的实施、我县重大方针政策的贯彻执行、党和政府的工作进行政治监督。 </w:t>
      </w:r>
    </w:p>
    <w:p>
      <w:pPr>
        <w:pStyle w:val="8"/>
        <w:widowControl/>
        <w:spacing w:beforeAutospacing="0" w:afterAutospacing="0"/>
        <w:jc w:val="both"/>
        <w:rPr>
          <w:rFonts w:ascii="仿宋" w:hAnsi="仿宋" w:eastAsia="仿宋" w:cs="仿宋"/>
          <w:sz w:val="32"/>
          <w:szCs w:val="32"/>
        </w:rPr>
      </w:pPr>
      <w:r>
        <w:rPr>
          <w:rFonts w:hint="eastAsia" w:ascii="仿宋" w:hAnsi="仿宋" w:eastAsia="仿宋" w:cs="仿宋"/>
          <w:color w:val="333333"/>
          <w:sz w:val="32"/>
          <w:szCs w:val="32"/>
          <w:shd w:val="clear" w:color="auto" w:fill="FFFFFF"/>
        </w:rPr>
        <w:t>　　发挥政协作为扩大社会各界有序参与的重要渠道作用，探索开展活动的新方法淅途径，充分调动委员参政议政积极，县委县政府提出高质量的建议案。组织、鼓励和引导委员深入实际、走向基层、贴近群众开展视察考察，通过建议案、提案等形式进行监督。通过参加党委政府组织的调查和检查活动实施监督。 </w:t>
      </w:r>
    </w:p>
    <w:p>
      <w:pPr>
        <w:pStyle w:val="27"/>
      </w:pPr>
      <w:r>
        <w:rPr>
          <w:rFonts w:hint="eastAsia" w:ascii="仿宋" w:hAnsi="仿宋" w:eastAsia="仿宋" w:cs="仿宋"/>
          <w:color w:val="333333"/>
          <w:sz w:val="32"/>
          <w:szCs w:val="32"/>
          <w:shd w:val="clear" w:color="auto" w:fill="FFFFFF"/>
        </w:rPr>
        <w:t>　　机关自身建设、服务保障能力进一步提升。加强县政协自身建设、理论研究以及宣传工作，与县内外有关单位的联系协调；进一步完善机关工作制度，高标准完成机构编制、人事任免、人员培训、考核奖惩、工资福利，后勤保障、经费资产管理、接待、离退休人员服务任务，承办县政协主席、副主席、秘书长交办的其他事项。</w:t>
      </w:r>
    </w:p>
    <w:p>
      <w:pPr>
        <w:spacing w:line="500" w:lineRule="exact"/>
        <w:ind w:firstLine="560"/>
      </w:pPr>
      <w:r>
        <w:rPr>
          <w:rFonts w:eastAsia="方正仿宋_GBK"/>
          <w:color w:val="000000"/>
          <w:sz w:val="28"/>
        </w:rPr>
        <w:t>（三）工作保障措施</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完善财务制度建设。为保证支出规范、资金安全，坚持制度先行。及时梳理部门内控制度，修订完善资金管理办法，建立健全预算绩效管理工作机制。严格执行项目管理规定，履行相关程序，落实各方责任，规范管理行为，堵塞管理漏洞，防范化解风险隐患。</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切实加强项目管理。充分发挥业务处室、项目技术专家和社会中介组织的力量，全面参与项目事前论证评审、事中督导评估和事后评价总结的全过程监管，形成多环节全过程的监督管理格局，尽早发现问题解决问题。依托网上报销审批系统，守牢资金支出最后一道防线，杜绝不合规支出，避免和减少损失。</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加强绩效运行监控。对项目申报、初审、论证、评审、审批、实施、验收等全过程进行实时动态监管，及时跟踪目标实现程度和预算执行情况，并对全年绩效目标预期完成情况进行综合判断，发现问题及时纠偏，确保绩效目标如期保质实现。同时，将项目评价结果应用于当年的预算动态调整和第二年度的预算编制，形成滚动闭环预算管理。</w:t>
      </w:r>
    </w:p>
    <w:p>
      <w:pPr>
        <w:ind w:firstLine="640" w:firstLineChars="200"/>
        <w:rPr>
          <w:rFonts w:eastAsia="仿宋" w:cs="仿宋" w:asciiTheme="minorHAnsi" w:hAnsiTheme="minorHAnsi"/>
          <w:color w:val="000000"/>
          <w:sz w:val="32"/>
          <w:szCs w:val="32"/>
          <w:lang w:val="uk-UA"/>
        </w:rPr>
      </w:pPr>
      <w:r>
        <w:rPr>
          <w:rFonts w:hint="eastAsia" w:ascii="仿宋" w:hAnsi="仿宋" w:eastAsia="仿宋" w:cs="仿宋"/>
          <w:color w:val="000000"/>
          <w:sz w:val="32"/>
          <w:szCs w:val="32"/>
        </w:rPr>
        <w:t>4.加强宣传培训调研。结合巡视巡察、审计、财务检查等发现的问题，对相关人员进行培训，提高业务素质；加强调研，提出优化预算资金配置、提高资金使用效益的意见；加大宣传力度，强化预算绩效管理意识，促进预算绩效管理水平进一步提升。</w:t>
      </w:r>
    </w:p>
    <w:p>
      <w:pPr>
        <w:snapToGrid w:val="0"/>
        <w:spacing w:line="580" w:lineRule="exact"/>
        <w:jc w:val="center"/>
        <w:rPr>
          <w:rFonts w:ascii="方正书宋_GBK" w:eastAsia="方正书宋_GBK"/>
        </w:rPr>
      </w:pPr>
      <w:r>
        <w:rPr>
          <w:rFonts w:hint="eastAsia" w:ascii="楷体_GB2312" w:hAnsi="黑体" w:eastAsia="楷体_GB2312"/>
          <w:b/>
          <w:sz w:val="32"/>
          <w:szCs w:val="32"/>
        </w:rPr>
        <w:t>部门职责及工作活动绩效目标指标：</w:t>
      </w:r>
    </w:p>
    <w:p>
      <w:pPr>
        <w:snapToGrid w:val="0"/>
        <w:spacing w:line="580" w:lineRule="exact"/>
        <w:ind w:left="5770" w:leftChars="304" w:hanging="5040" w:hangingChars="2100"/>
        <w:rPr>
          <w:rFonts w:ascii="仿宋" w:hAnsi="仿宋" w:eastAsia="仿宋"/>
        </w:rPr>
      </w:pPr>
      <w:r>
        <w:rPr>
          <w:rFonts w:hint="eastAsia" w:ascii="方正书宋_GBK" w:eastAsia="方正书宋_GBK"/>
        </w:rPr>
        <w:t>单位：元</w:t>
      </w:r>
    </w:p>
    <w:tbl>
      <w:tblPr>
        <w:tblStyle w:val="9"/>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outlineLvl w:val="0"/>
            </w:pPr>
          </w:p>
        </w:tc>
        <w:tc>
          <w:tcPr>
            <w:tcW w:w="854" w:type="dxa"/>
            <w:vMerge w:val="continue"/>
            <w:vAlign w:val="center"/>
          </w:tcPr>
          <w:p>
            <w:pPr>
              <w:spacing w:line="580" w:lineRule="exact"/>
              <w:outlineLvl w:val="0"/>
            </w:pPr>
          </w:p>
        </w:tc>
        <w:tc>
          <w:tcPr>
            <w:tcW w:w="1879" w:type="dxa"/>
            <w:vMerge w:val="continue"/>
            <w:vAlign w:val="center"/>
          </w:tcPr>
          <w:p>
            <w:pPr>
              <w:spacing w:line="580" w:lineRule="exact"/>
              <w:outlineLvl w:val="0"/>
            </w:pPr>
          </w:p>
        </w:tc>
        <w:tc>
          <w:tcPr>
            <w:tcW w:w="1880" w:type="dxa"/>
            <w:vMerge w:val="continue"/>
            <w:vAlign w:val="center"/>
          </w:tcPr>
          <w:p>
            <w:pPr>
              <w:spacing w:line="580" w:lineRule="exact"/>
              <w:outlineLvl w:val="0"/>
            </w:pPr>
          </w:p>
        </w:tc>
        <w:tc>
          <w:tcPr>
            <w:tcW w:w="768" w:type="dxa"/>
            <w:vMerge w:val="continue"/>
            <w:vAlign w:val="center"/>
          </w:tcPr>
          <w:p>
            <w:pPr>
              <w:spacing w:line="580" w:lineRule="exac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rPr>
                <w:rFonts w:ascii="方正书宋_GBK" w:eastAsia="方正书宋_GBK"/>
              </w:rPr>
            </w:pPr>
            <w:r>
              <w:rPr>
                <w:rFonts w:hint="eastAsia" w:ascii="方正书宋_GBK" w:eastAsia="方正书宋_GBK"/>
              </w:rPr>
              <w:t>5</w:t>
            </w:r>
          </w:p>
        </w:tc>
        <w:tc>
          <w:tcPr>
            <w:tcW w:w="1879" w:type="dxa"/>
          </w:tcPr>
          <w:p>
            <w:pPr>
              <w:spacing w:line="320" w:lineRule="exac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p>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ind w:firstLine="640" w:firstLineChars="200"/>
        <w:rPr>
          <w:rFonts w:eastAsia="仿宋" w:cs="仿宋" w:asciiTheme="minorHAnsi" w:hAnsiTheme="minorHAnsi"/>
          <w:color w:val="000000"/>
          <w:sz w:val="32"/>
          <w:szCs w:val="32"/>
          <w:lang w:val="uk-UA"/>
        </w:r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p>
      <w:pPr>
        <w:snapToGrid w:val="0"/>
        <w:spacing w:line="580" w:lineRule="exact"/>
        <w:jc w:val="center"/>
        <w:rPr>
          <w:rFonts w:ascii="方正书宋_GBK" w:eastAsia="方正书宋_GBK"/>
        </w:rPr>
      </w:pPr>
      <w:r>
        <w:rPr>
          <w:rFonts w:hint="eastAsia" w:ascii="楷体_GB2312" w:hAnsi="黑体" w:eastAsia="楷体_GB2312"/>
          <w:b/>
          <w:sz w:val="32"/>
          <w:szCs w:val="32"/>
        </w:rPr>
        <w:t>部门职责及工作活动绩效目标指标：</w:t>
      </w:r>
    </w:p>
    <w:p>
      <w:pPr>
        <w:snapToGrid w:val="0"/>
        <w:spacing w:line="580" w:lineRule="exact"/>
        <w:ind w:left="5770" w:leftChars="304" w:hanging="5040" w:hangingChars="2100"/>
        <w:rPr>
          <w:rFonts w:ascii="仿宋" w:hAnsi="仿宋" w:eastAsia="仿宋"/>
        </w:rPr>
      </w:pPr>
      <w:r>
        <w:rPr>
          <w:rFonts w:hint="eastAsia" w:ascii="方正书宋_GBK" w:eastAsia="方正书宋_GBK"/>
        </w:rPr>
        <w:t>单位：元</w:t>
      </w:r>
    </w:p>
    <w:tbl>
      <w:tblPr>
        <w:tblStyle w:val="9"/>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outlineLvl w:val="0"/>
            </w:pPr>
          </w:p>
        </w:tc>
        <w:tc>
          <w:tcPr>
            <w:tcW w:w="854" w:type="dxa"/>
            <w:vMerge w:val="continue"/>
            <w:vAlign w:val="center"/>
          </w:tcPr>
          <w:p>
            <w:pPr>
              <w:spacing w:line="580" w:lineRule="exact"/>
              <w:outlineLvl w:val="0"/>
            </w:pPr>
          </w:p>
        </w:tc>
        <w:tc>
          <w:tcPr>
            <w:tcW w:w="1879" w:type="dxa"/>
            <w:vMerge w:val="continue"/>
            <w:vAlign w:val="center"/>
          </w:tcPr>
          <w:p>
            <w:pPr>
              <w:spacing w:line="580" w:lineRule="exact"/>
              <w:outlineLvl w:val="0"/>
            </w:pPr>
          </w:p>
        </w:tc>
        <w:tc>
          <w:tcPr>
            <w:tcW w:w="1880" w:type="dxa"/>
            <w:vMerge w:val="continue"/>
            <w:vAlign w:val="center"/>
          </w:tcPr>
          <w:p>
            <w:pPr>
              <w:spacing w:line="580" w:lineRule="exact"/>
              <w:outlineLvl w:val="0"/>
            </w:pPr>
          </w:p>
        </w:tc>
        <w:tc>
          <w:tcPr>
            <w:tcW w:w="768" w:type="dxa"/>
            <w:vMerge w:val="continue"/>
            <w:vAlign w:val="center"/>
          </w:tcPr>
          <w:p>
            <w:pPr>
              <w:spacing w:line="580" w:lineRule="exac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rPr>
                <w:rFonts w:ascii="方正书宋_GBK" w:eastAsia="方正书宋_GBK"/>
              </w:rPr>
            </w:pPr>
            <w:r>
              <w:rPr>
                <w:rFonts w:hint="eastAsia" w:ascii="方正书宋_GBK" w:eastAsia="方正书宋_GBK"/>
              </w:rPr>
              <w:t>5</w:t>
            </w:r>
          </w:p>
        </w:tc>
        <w:tc>
          <w:tcPr>
            <w:tcW w:w="1879" w:type="dxa"/>
          </w:tcPr>
          <w:p>
            <w:pPr>
              <w:spacing w:line="320" w:lineRule="exac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p>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ind w:firstLine="640"/>
        <w:rPr>
          <w:rFonts w:asciiTheme="minorHAnsi" w:hAnsiTheme="minorHAnsi"/>
          <w:lang w:val="uk-UA"/>
        </w:rPr>
        <w:sectPr>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snapToGrid w:val="0"/>
        <w:spacing w:line="580" w:lineRule="exact"/>
        <w:jc w:val="center"/>
        <w:rPr>
          <w:rFonts w:ascii="方正书宋_GBK" w:eastAsia="方正书宋_GBK"/>
        </w:rPr>
      </w:pPr>
      <w:r>
        <w:rPr>
          <w:rFonts w:hint="eastAsia" w:ascii="楷体_GB2312" w:hAnsi="黑体" w:eastAsia="楷体_GB2312"/>
          <w:b/>
          <w:sz w:val="32"/>
          <w:szCs w:val="32"/>
        </w:rPr>
        <w:t>部门职责及工作活动绩效目标指标：</w:t>
      </w:r>
    </w:p>
    <w:p>
      <w:pPr>
        <w:snapToGrid w:val="0"/>
        <w:spacing w:line="580" w:lineRule="exact"/>
        <w:ind w:left="5770" w:leftChars="304" w:hanging="5040" w:hangingChars="2100"/>
        <w:rPr>
          <w:rFonts w:ascii="仿宋" w:hAnsi="仿宋" w:eastAsia="仿宋"/>
        </w:rPr>
      </w:pPr>
      <w:r>
        <w:rPr>
          <w:rFonts w:hint="eastAsia" w:ascii="方正书宋_GBK" w:eastAsia="方正书宋_GBK"/>
        </w:rPr>
        <w:t>单位：元</w:t>
      </w:r>
    </w:p>
    <w:tbl>
      <w:tblPr>
        <w:tblStyle w:val="9"/>
        <w:tblW w:w="86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8"/>
        <w:gridCol w:w="854"/>
        <w:gridCol w:w="1879"/>
        <w:gridCol w:w="1880"/>
        <w:gridCol w:w="768"/>
        <w:gridCol w:w="703"/>
        <w:gridCol w:w="456"/>
        <w:gridCol w:w="457"/>
        <w:gridCol w:w="4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blHeader/>
          <w:jc w:val="center"/>
        </w:trPr>
        <w:tc>
          <w:tcPr>
            <w:tcW w:w="1168" w:type="dxa"/>
            <w:vMerge w:val="restart"/>
            <w:vAlign w:val="center"/>
          </w:tcPr>
          <w:p>
            <w:pPr>
              <w:spacing w:line="580" w:lineRule="exact"/>
              <w:jc w:val="center"/>
              <w:rPr>
                <w:rFonts w:ascii="方正书宋_GBK" w:eastAsia="方正书宋_GBK"/>
                <w:b/>
              </w:rPr>
            </w:pPr>
            <w:r>
              <w:rPr>
                <w:rFonts w:hint="eastAsia" w:ascii="方正书宋_GBK" w:eastAsia="方正书宋_GBK"/>
                <w:b/>
              </w:rPr>
              <w:t>职责活动</w:t>
            </w:r>
          </w:p>
        </w:tc>
        <w:tc>
          <w:tcPr>
            <w:tcW w:w="854" w:type="dxa"/>
            <w:vMerge w:val="restart"/>
            <w:vAlign w:val="center"/>
          </w:tcPr>
          <w:p>
            <w:pPr>
              <w:spacing w:line="580" w:lineRule="exact"/>
              <w:jc w:val="center"/>
              <w:rPr>
                <w:rFonts w:ascii="方正书宋_GBK" w:eastAsia="方正书宋_GBK"/>
                <w:b/>
              </w:rPr>
            </w:pPr>
            <w:r>
              <w:rPr>
                <w:rFonts w:hint="eastAsia" w:ascii="方正书宋_GBK" w:eastAsia="方正书宋_GBK"/>
                <w:b/>
              </w:rPr>
              <w:t>年度预算数</w:t>
            </w:r>
          </w:p>
        </w:tc>
        <w:tc>
          <w:tcPr>
            <w:tcW w:w="1879" w:type="dxa"/>
            <w:vMerge w:val="restart"/>
            <w:vAlign w:val="center"/>
          </w:tcPr>
          <w:p>
            <w:pPr>
              <w:spacing w:line="580" w:lineRule="exact"/>
              <w:jc w:val="center"/>
              <w:rPr>
                <w:rFonts w:ascii="方正书宋_GBK" w:eastAsia="方正书宋_GBK"/>
                <w:b/>
              </w:rPr>
            </w:pPr>
            <w:r>
              <w:rPr>
                <w:rFonts w:hint="eastAsia" w:ascii="方正书宋_GBK" w:eastAsia="方正书宋_GBK"/>
                <w:b/>
              </w:rPr>
              <w:t>内容描述</w:t>
            </w:r>
          </w:p>
        </w:tc>
        <w:tc>
          <w:tcPr>
            <w:tcW w:w="1880"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绩效目标</w:t>
            </w:r>
          </w:p>
        </w:tc>
        <w:tc>
          <w:tcPr>
            <w:tcW w:w="768" w:type="dxa"/>
            <w:vMerge w:val="restart"/>
            <w:vAlign w:val="center"/>
          </w:tcPr>
          <w:p>
            <w:pPr>
              <w:spacing w:line="580" w:lineRule="exact"/>
              <w:jc w:val="center"/>
              <w:rPr>
                <w:rFonts w:ascii="方正书宋_GBK" w:eastAsia="方正书宋_GBK"/>
                <w:b/>
              </w:rPr>
            </w:pPr>
            <w:r>
              <w:rPr>
                <w:rFonts w:hint="eastAsia" w:ascii="方正书宋_GBK" w:eastAsia="方正书宋_GBK"/>
                <w:b/>
              </w:rPr>
              <w:t>绩效指标</w:t>
            </w:r>
          </w:p>
        </w:tc>
        <w:tc>
          <w:tcPr>
            <w:tcW w:w="2071" w:type="dxa"/>
            <w:gridSpan w:val="4"/>
            <w:vAlign w:val="center"/>
          </w:tcPr>
          <w:p>
            <w:pPr>
              <w:spacing w:line="58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68" w:type="dxa"/>
            <w:vMerge w:val="continue"/>
            <w:vAlign w:val="center"/>
          </w:tcPr>
          <w:p>
            <w:pPr>
              <w:spacing w:line="580" w:lineRule="exact"/>
              <w:outlineLvl w:val="0"/>
            </w:pPr>
          </w:p>
        </w:tc>
        <w:tc>
          <w:tcPr>
            <w:tcW w:w="854" w:type="dxa"/>
            <w:vMerge w:val="continue"/>
            <w:vAlign w:val="center"/>
          </w:tcPr>
          <w:p>
            <w:pPr>
              <w:spacing w:line="580" w:lineRule="exact"/>
              <w:outlineLvl w:val="0"/>
            </w:pPr>
          </w:p>
        </w:tc>
        <w:tc>
          <w:tcPr>
            <w:tcW w:w="1879" w:type="dxa"/>
            <w:vMerge w:val="continue"/>
            <w:vAlign w:val="center"/>
          </w:tcPr>
          <w:p>
            <w:pPr>
              <w:spacing w:line="580" w:lineRule="exact"/>
              <w:outlineLvl w:val="0"/>
            </w:pPr>
          </w:p>
        </w:tc>
        <w:tc>
          <w:tcPr>
            <w:tcW w:w="1880" w:type="dxa"/>
            <w:vMerge w:val="continue"/>
            <w:vAlign w:val="center"/>
          </w:tcPr>
          <w:p>
            <w:pPr>
              <w:spacing w:line="580" w:lineRule="exact"/>
              <w:outlineLvl w:val="0"/>
            </w:pPr>
          </w:p>
        </w:tc>
        <w:tc>
          <w:tcPr>
            <w:tcW w:w="768" w:type="dxa"/>
            <w:vMerge w:val="continue"/>
            <w:vAlign w:val="center"/>
          </w:tcPr>
          <w:p>
            <w:pPr>
              <w:spacing w:line="580" w:lineRule="exact"/>
              <w:outlineLvl w:val="0"/>
            </w:pPr>
          </w:p>
        </w:tc>
        <w:tc>
          <w:tcPr>
            <w:tcW w:w="703" w:type="dxa"/>
            <w:vAlign w:val="center"/>
          </w:tcPr>
          <w:p>
            <w:pPr>
              <w:spacing w:line="580" w:lineRule="exact"/>
              <w:jc w:val="center"/>
              <w:rPr>
                <w:rFonts w:ascii="方正书宋_GBK" w:eastAsia="方正书宋_GBK"/>
                <w:b/>
              </w:rPr>
            </w:pPr>
            <w:r>
              <w:rPr>
                <w:rFonts w:hint="eastAsia" w:ascii="方正书宋_GBK" w:eastAsia="方正书宋_GBK"/>
                <w:b/>
              </w:rPr>
              <w:t>优</w:t>
            </w:r>
          </w:p>
        </w:tc>
        <w:tc>
          <w:tcPr>
            <w:tcW w:w="456" w:type="dxa"/>
            <w:vAlign w:val="center"/>
          </w:tcPr>
          <w:p>
            <w:pPr>
              <w:spacing w:line="580" w:lineRule="exact"/>
              <w:jc w:val="center"/>
              <w:rPr>
                <w:rFonts w:ascii="方正书宋_GBK" w:eastAsia="方正书宋_GBK"/>
                <w:b/>
              </w:rPr>
            </w:pPr>
            <w:r>
              <w:rPr>
                <w:rFonts w:hint="eastAsia" w:ascii="方正书宋_GBK" w:eastAsia="方正书宋_GBK"/>
                <w:b/>
              </w:rPr>
              <w:t>良</w:t>
            </w:r>
          </w:p>
        </w:tc>
        <w:tc>
          <w:tcPr>
            <w:tcW w:w="457" w:type="dxa"/>
            <w:vAlign w:val="center"/>
          </w:tcPr>
          <w:p>
            <w:pPr>
              <w:spacing w:line="580" w:lineRule="exact"/>
              <w:jc w:val="center"/>
              <w:rPr>
                <w:rFonts w:ascii="方正书宋_GBK" w:eastAsia="方正书宋_GBK"/>
                <w:b/>
              </w:rPr>
            </w:pPr>
            <w:r>
              <w:rPr>
                <w:rFonts w:hint="eastAsia" w:ascii="方正书宋_GBK" w:eastAsia="方正书宋_GBK"/>
                <w:b/>
              </w:rPr>
              <w:t>中</w:t>
            </w:r>
          </w:p>
        </w:tc>
        <w:tc>
          <w:tcPr>
            <w:tcW w:w="455" w:type="dxa"/>
            <w:vAlign w:val="center"/>
          </w:tcPr>
          <w:p>
            <w:pPr>
              <w:spacing w:line="58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5" w:hRule="atLeast"/>
          <w:jc w:val="center"/>
        </w:trPr>
        <w:tc>
          <w:tcPr>
            <w:tcW w:w="1168" w:type="dxa"/>
            <w:vAlign w:val="center"/>
          </w:tcPr>
          <w:p>
            <w:pPr>
              <w:spacing w:line="580" w:lineRule="exact"/>
              <w:jc w:val="center"/>
              <w:rPr>
                <w:rFonts w:ascii="方正书宋_GBK" w:eastAsia="方正书宋_GBK"/>
                <w:b/>
              </w:rPr>
            </w:pPr>
            <w:r>
              <w:rPr>
                <w:rFonts w:hint="eastAsia" w:ascii="方正书宋_GBK" w:eastAsia="方正书宋_GBK"/>
                <w:b/>
              </w:rPr>
              <w:t>综合业务管理</w:t>
            </w:r>
          </w:p>
        </w:tc>
        <w:tc>
          <w:tcPr>
            <w:tcW w:w="854" w:type="dxa"/>
            <w:vAlign w:val="center"/>
          </w:tcPr>
          <w:p>
            <w:pPr>
              <w:spacing w:line="580" w:lineRule="exact"/>
              <w:rPr>
                <w:rFonts w:ascii="方正书宋_GBK" w:eastAsia="方正书宋_GBK"/>
              </w:rPr>
            </w:pPr>
            <w:r>
              <w:rPr>
                <w:rFonts w:hint="eastAsia" w:ascii="方正书宋_GBK" w:eastAsia="方正书宋_GBK"/>
              </w:rPr>
              <w:t>5</w:t>
            </w:r>
          </w:p>
        </w:tc>
        <w:tc>
          <w:tcPr>
            <w:tcW w:w="1879" w:type="dxa"/>
          </w:tcPr>
          <w:p>
            <w:pPr>
              <w:spacing w:line="320" w:lineRule="exact"/>
              <w:rPr>
                <w:rFonts w:ascii="方正书宋_GBK" w:eastAsia="方正书宋_GBK"/>
              </w:rPr>
            </w:pPr>
            <w:r>
              <w:rPr>
                <w:rFonts w:hint="eastAsia" w:ascii="方正书宋_GBK" w:eastAsia="方正书宋_GBK"/>
              </w:rPr>
              <w:t>就成安大政方针以及政治、经济、文化、社会和生态文明中的重要问题在决策之前进行协商和就决策执行过程中的重要问题进行协商。会议是人民政协履行职能的主要形式，是开展工作的主体，是委员履行自身职责的主要途径。包括全体会议、常委会议、主席会议、秘书长会议、各专委会会议等。专题协商会、协商民主会、专题座谈会、情况通报会、意见听取会、工作研讨会和学习座谈会等。</w:t>
            </w:r>
          </w:p>
        </w:tc>
        <w:tc>
          <w:tcPr>
            <w:tcW w:w="1880" w:type="dxa"/>
          </w:tcPr>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p>
          <w:p>
            <w:pPr>
              <w:spacing w:line="320" w:lineRule="exact"/>
              <w:rPr>
                <w:rFonts w:ascii="方正书宋_GBK" w:eastAsia="方正书宋_GBK"/>
              </w:rPr>
            </w:pPr>
            <w:r>
              <w:rPr>
                <w:rFonts w:hint="eastAsia" w:ascii="方正书宋_GBK" w:eastAsia="方正书宋_GBK"/>
              </w:rPr>
              <w:t>完善各项会议制度，规范会议程序，提高会议质量，提高政治协商水平。</w:t>
            </w:r>
          </w:p>
          <w:p>
            <w:pPr>
              <w:spacing w:line="320" w:lineRule="exact"/>
              <w:rPr>
                <w:rFonts w:ascii="方正书宋_GBK" w:eastAsia="方正书宋_GBK"/>
              </w:rPr>
            </w:pPr>
            <w:r>
              <w:rPr>
                <w:rFonts w:hint="eastAsia" w:ascii="方正书宋_GBK" w:eastAsia="方正书宋_GBK"/>
              </w:rPr>
              <w:t>增强开展政治协商的自觉性和主动性，规范协商内容，丰富协商形式和层次，把政治协商纳入决策程序。</w:t>
            </w:r>
          </w:p>
        </w:tc>
        <w:tc>
          <w:tcPr>
            <w:tcW w:w="768" w:type="dxa"/>
            <w:vAlign w:val="center"/>
          </w:tcPr>
          <w:p>
            <w:pPr>
              <w:spacing w:line="580" w:lineRule="exact"/>
              <w:jc w:val="center"/>
              <w:rPr>
                <w:rFonts w:ascii="方正书宋_GBK" w:eastAsia="方正书宋_GBK"/>
              </w:rPr>
            </w:pPr>
            <w:r>
              <w:rPr>
                <w:rFonts w:hint="eastAsia" w:ascii="方正书宋_GBK" w:eastAsia="方正书宋_GBK"/>
              </w:rPr>
              <w:t>综合任务完成数占年度计划的比例</w:t>
            </w:r>
          </w:p>
        </w:tc>
        <w:tc>
          <w:tcPr>
            <w:tcW w:w="703" w:type="dxa"/>
            <w:vAlign w:val="center"/>
          </w:tcPr>
          <w:p>
            <w:pPr>
              <w:spacing w:line="580" w:lineRule="exact"/>
              <w:jc w:val="center"/>
              <w:rPr>
                <w:rFonts w:ascii="方正书宋_GBK" w:eastAsia="方正书宋_GBK"/>
              </w:rPr>
            </w:pPr>
            <w:r>
              <w:rPr>
                <w:rFonts w:ascii="方正书宋_GBK" w:eastAsia="方正书宋_GBK"/>
              </w:rPr>
              <w:t>100%</w:t>
            </w:r>
          </w:p>
        </w:tc>
        <w:tc>
          <w:tcPr>
            <w:tcW w:w="456" w:type="dxa"/>
            <w:vAlign w:val="center"/>
          </w:tcPr>
          <w:p>
            <w:pPr>
              <w:spacing w:line="58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457" w:type="dxa"/>
            <w:vAlign w:val="center"/>
          </w:tcPr>
          <w:p>
            <w:pPr>
              <w:spacing w:line="580" w:lineRule="exact"/>
              <w:jc w:val="center"/>
              <w:rPr>
                <w:rFonts w:ascii="方正书宋_GBK" w:eastAsia="方正书宋_GBK"/>
              </w:rPr>
            </w:pPr>
            <w:r>
              <w:rPr>
                <w:rFonts w:hint="eastAsia" w:ascii="方正书宋_GBK" w:eastAsia="方正书宋_GBK"/>
              </w:rPr>
              <w:t>≥7</w:t>
            </w:r>
            <w:r>
              <w:rPr>
                <w:rFonts w:ascii="方正书宋_GBK" w:eastAsia="方正书宋_GBK"/>
              </w:rPr>
              <w:t>0%</w:t>
            </w:r>
          </w:p>
        </w:tc>
        <w:tc>
          <w:tcPr>
            <w:tcW w:w="455" w:type="dxa"/>
            <w:vAlign w:val="center"/>
          </w:tcPr>
          <w:p>
            <w:pPr>
              <w:spacing w:line="580" w:lineRule="exact"/>
              <w:jc w:val="center"/>
              <w:rPr>
                <w:rFonts w:ascii="方正书宋_GBK" w:eastAsia="方正书宋_GBK"/>
              </w:rPr>
            </w:pPr>
            <w:r>
              <w:rPr>
                <w:rFonts w:hint="eastAsia" w:ascii="仿宋" w:hAnsi="仿宋" w:eastAsia="仿宋"/>
              </w:rPr>
              <w:t>＜</w:t>
            </w:r>
            <w:r>
              <w:rPr>
                <w:rFonts w:ascii="方正书宋_GBK" w:eastAsia="方正书宋_GBK"/>
              </w:rPr>
              <w:t>70%</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2022年，中国人民政治协商会议河北省成安县委员会安排政府采购预算0.00万元。具体内容见下表。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9"/>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131中国人民政治协商会议河北省成安县委员会</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中国人民政治协商会议河北省成安县委员会（含所属单位）上年末固定资产金额为19万元（详见下表）。本年度拟购置固定资产总额为0.00万元，已按要求列入政府采购预算，详见政府采购预算表。</w:t>
      </w:r>
    </w:p>
    <w:p>
      <w:pPr>
        <w:snapToGrid w:val="0"/>
        <w:spacing w:line="580" w:lineRule="exact"/>
        <w:jc w:val="center"/>
        <w:rPr>
          <w:rFonts w:ascii="华文楷体" w:hAnsi="华文楷体" w:eastAsia="华文楷体"/>
          <w:b/>
          <w:sz w:val="32"/>
          <w:szCs w:val="32"/>
        </w:rPr>
      </w:pPr>
      <w:r>
        <w:rPr>
          <w:rFonts w:hint="eastAsia" w:ascii="华文楷体" w:hAnsi="华文楷体" w:eastAsia="华文楷体"/>
          <w:b/>
          <w:sz w:val="32"/>
          <w:szCs w:val="32"/>
        </w:rPr>
        <w:t>部门固定资产占用情况表</w:t>
      </w:r>
    </w:p>
    <w:p>
      <w:pPr>
        <w:spacing w:line="580" w:lineRule="exact"/>
        <w:rPr>
          <w:rFonts w:ascii="宋体" w:hAnsi="宋体" w:cs="宋体"/>
          <w:sz w:val="22"/>
        </w:rPr>
      </w:pPr>
      <w:r>
        <w:rPr>
          <w:rFonts w:hint="eastAsia" w:ascii="宋体" w:hAnsi="宋体" w:cs="宋体"/>
          <w:sz w:val="22"/>
        </w:rPr>
        <w:t>编制部门：成安县政协截止时间：2021年12月31日</w:t>
      </w:r>
    </w:p>
    <w:tbl>
      <w:tblPr>
        <w:tblStyle w:val="10"/>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2171"/>
        <w:gridCol w:w="3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Pr>
          <w:p>
            <w:pPr>
              <w:spacing w:line="580" w:lineRule="exact"/>
              <w:jc w:val="center"/>
              <w:rPr>
                <w:rFonts w:ascii="宋体" w:hAnsi="宋体" w:cs="宋体"/>
                <w:b/>
                <w:sz w:val="22"/>
              </w:rPr>
            </w:pPr>
            <w:r>
              <w:rPr>
                <w:rFonts w:hint="eastAsia" w:ascii="宋体" w:hAnsi="宋体" w:cs="宋体"/>
                <w:b/>
                <w:sz w:val="22"/>
              </w:rPr>
              <w:t>项目</w:t>
            </w:r>
          </w:p>
        </w:tc>
        <w:tc>
          <w:tcPr>
            <w:tcW w:w="2171" w:type="dxa"/>
          </w:tcPr>
          <w:p>
            <w:pPr>
              <w:spacing w:line="580" w:lineRule="exact"/>
              <w:jc w:val="center"/>
              <w:rPr>
                <w:rFonts w:ascii="宋体" w:hAnsi="宋体" w:cs="宋体"/>
                <w:b/>
                <w:sz w:val="22"/>
              </w:rPr>
            </w:pPr>
            <w:r>
              <w:rPr>
                <w:rFonts w:hint="eastAsia" w:ascii="宋体" w:hAnsi="宋体" w:cs="宋体"/>
                <w:b/>
                <w:sz w:val="22"/>
              </w:rPr>
              <w:t>数量</w:t>
            </w:r>
          </w:p>
        </w:tc>
        <w:tc>
          <w:tcPr>
            <w:tcW w:w="3074" w:type="dxa"/>
          </w:tcPr>
          <w:p>
            <w:pPr>
              <w:spacing w:line="580" w:lineRule="exact"/>
              <w:rPr>
                <w:rFonts w:ascii="宋体" w:hAnsi="宋体" w:cs="宋体"/>
                <w:b/>
                <w:sz w:val="22"/>
              </w:rPr>
            </w:pPr>
            <w:r>
              <w:rPr>
                <w:rFonts w:hint="eastAsia" w:ascii="宋体" w:hAnsi="宋体" w:cs="宋体"/>
                <w:b/>
                <w:sz w:val="22"/>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Pr>
          <w:p>
            <w:pPr>
              <w:spacing w:line="580" w:lineRule="exact"/>
              <w:rPr>
                <w:rFonts w:ascii="宋体" w:hAnsi="宋体" w:cs="宋体"/>
                <w:sz w:val="22"/>
              </w:rPr>
            </w:pPr>
            <w:r>
              <w:rPr>
                <w:rFonts w:hint="eastAsia" w:ascii="宋体" w:hAnsi="宋体" w:cs="宋体"/>
                <w:sz w:val="22"/>
              </w:rPr>
              <w:t>资产总额</w:t>
            </w:r>
          </w:p>
        </w:tc>
        <w:tc>
          <w:tcPr>
            <w:tcW w:w="2171" w:type="dxa"/>
          </w:tcPr>
          <w:p>
            <w:pPr>
              <w:spacing w:line="580" w:lineRule="exact"/>
              <w:jc w:val="center"/>
              <w:rPr>
                <w:rFonts w:ascii="宋体" w:hAnsi="宋体" w:cs="宋体"/>
                <w:sz w:val="22"/>
              </w:rPr>
            </w:pPr>
          </w:p>
        </w:tc>
        <w:tc>
          <w:tcPr>
            <w:tcW w:w="3074" w:type="dxa"/>
          </w:tcPr>
          <w:p>
            <w:pPr>
              <w:spacing w:line="580" w:lineRule="exact"/>
              <w:jc w:val="center"/>
              <w:rPr>
                <w:rFonts w:ascii="宋体" w:hAnsi="宋体" w:cs="宋体"/>
                <w:sz w:val="22"/>
              </w:rPr>
            </w:pPr>
            <w:r>
              <w:rPr>
                <w:rFonts w:hint="eastAsia" w:ascii="宋体" w:hAnsi="宋体" w:cs="宋体"/>
                <w:sz w:val="22"/>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1、房屋（平方米）</w:t>
            </w:r>
          </w:p>
        </w:tc>
        <w:tc>
          <w:tcPr>
            <w:tcW w:w="2171" w:type="dxa"/>
          </w:tcPr>
          <w:p>
            <w:pPr>
              <w:spacing w:line="580" w:lineRule="exact"/>
              <w:jc w:val="center"/>
              <w:rPr>
                <w:rFonts w:ascii="宋体" w:hAnsi="宋体" w:cs="宋体"/>
                <w:sz w:val="22"/>
              </w:rPr>
            </w:pPr>
            <w:r>
              <w:rPr>
                <w:rFonts w:hint="eastAsia" w:ascii="宋体" w:hAnsi="宋体" w:cs="宋体"/>
                <w:sz w:val="22"/>
              </w:rPr>
              <w:t>395</w:t>
            </w:r>
          </w:p>
        </w:tc>
        <w:tc>
          <w:tcPr>
            <w:tcW w:w="3074"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其中：办公用房（平方米）</w:t>
            </w:r>
          </w:p>
        </w:tc>
        <w:tc>
          <w:tcPr>
            <w:tcW w:w="2171" w:type="dxa"/>
          </w:tcPr>
          <w:p>
            <w:pPr>
              <w:spacing w:line="580" w:lineRule="exact"/>
              <w:jc w:val="center"/>
              <w:rPr>
                <w:rFonts w:ascii="宋体" w:hAnsi="宋体" w:cs="宋体"/>
                <w:sz w:val="22"/>
              </w:rPr>
            </w:pPr>
            <w:r>
              <w:rPr>
                <w:rFonts w:hint="eastAsia" w:ascii="宋体" w:hAnsi="宋体" w:cs="宋体"/>
                <w:sz w:val="22"/>
              </w:rPr>
              <w:t>395</w:t>
            </w:r>
          </w:p>
        </w:tc>
        <w:tc>
          <w:tcPr>
            <w:tcW w:w="3074" w:type="dxa"/>
          </w:tcPr>
          <w:p>
            <w:pPr>
              <w:spacing w:line="580" w:lineRule="exact"/>
              <w:jc w:val="center"/>
              <w:rPr>
                <w:rFonts w:ascii="宋体" w:hAnsi="宋体" w:cs="宋体"/>
                <w:sz w:val="22"/>
              </w:rPr>
            </w:pPr>
            <w:r>
              <w:rPr>
                <w:rFonts w:hint="eastAsia" w:ascii="宋体" w:hAnsi="宋体" w:cs="宋体"/>
                <w:sz w:val="22"/>
              </w:rPr>
              <w:t>在政府集中办公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2、车辆（台、辆）</w:t>
            </w:r>
          </w:p>
        </w:tc>
        <w:tc>
          <w:tcPr>
            <w:tcW w:w="2171" w:type="dxa"/>
          </w:tcPr>
          <w:p>
            <w:pPr>
              <w:spacing w:line="580" w:lineRule="exact"/>
              <w:jc w:val="center"/>
              <w:rPr>
                <w:rFonts w:ascii="宋体" w:hAnsi="宋体" w:cs="宋体"/>
                <w:sz w:val="22"/>
              </w:rPr>
            </w:pPr>
            <w:r>
              <w:rPr>
                <w:rFonts w:hint="eastAsia" w:ascii="宋体" w:hAnsi="宋体" w:cs="宋体"/>
                <w:sz w:val="22"/>
              </w:rPr>
              <w:t>4</w:t>
            </w:r>
          </w:p>
        </w:tc>
        <w:tc>
          <w:tcPr>
            <w:tcW w:w="3074" w:type="dxa"/>
          </w:tcPr>
          <w:p>
            <w:pPr>
              <w:spacing w:line="580" w:lineRule="exact"/>
              <w:jc w:val="center"/>
              <w:rPr>
                <w:rFonts w:ascii="宋体" w:hAnsi="宋体" w:cs="宋体"/>
                <w:sz w:val="22"/>
              </w:rPr>
            </w:pPr>
            <w:r>
              <w:rPr>
                <w:rFonts w:hint="eastAsia" w:ascii="宋体" w:hAnsi="宋体" w:cs="宋体"/>
                <w:sz w:val="22"/>
              </w:rPr>
              <w:t>14.5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vAlign w:val="center"/>
          </w:tcPr>
          <w:p>
            <w:pPr>
              <w:spacing w:line="580" w:lineRule="exact"/>
              <w:rPr>
                <w:rFonts w:ascii="宋体" w:hAnsi="宋体" w:cs="宋体"/>
                <w:sz w:val="22"/>
              </w:rPr>
            </w:pPr>
            <w:r>
              <w:rPr>
                <w:rFonts w:hint="eastAsia" w:ascii="宋体" w:hAnsi="宋体" w:cs="宋体"/>
                <w:sz w:val="22"/>
              </w:rPr>
              <w:t>3、单价在</w:t>
            </w:r>
            <w:r>
              <w:rPr>
                <w:rFonts w:ascii="宋体" w:hAnsi="宋体" w:cs="宋体"/>
                <w:sz w:val="22"/>
              </w:rPr>
              <w:t>50</w:t>
            </w:r>
            <w:r>
              <w:rPr>
                <w:rFonts w:hint="eastAsia" w:ascii="宋体" w:hAnsi="宋体" w:cs="宋体"/>
                <w:sz w:val="22"/>
              </w:rPr>
              <w:t>万元以上的设备</w:t>
            </w:r>
          </w:p>
        </w:tc>
        <w:tc>
          <w:tcPr>
            <w:tcW w:w="2171" w:type="dxa"/>
          </w:tcPr>
          <w:p>
            <w:pPr>
              <w:spacing w:line="580" w:lineRule="exact"/>
              <w:jc w:val="center"/>
              <w:rPr>
                <w:rFonts w:ascii="宋体" w:hAnsi="宋体" w:cs="宋体"/>
                <w:sz w:val="22"/>
              </w:rPr>
            </w:pPr>
          </w:p>
        </w:tc>
        <w:tc>
          <w:tcPr>
            <w:tcW w:w="3074" w:type="dxa"/>
          </w:tcPr>
          <w:p>
            <w:pPr>
              <w:spacing w:line="580" w:lineRule="exact"/>
              <w:jc w:val="center"/>
              <w:rPr>
                <w:rFonts w:ascii="宋体" w:hAnsi="宋体" w:cs="宋体"/>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Pr>
          <w:p>
            <w:pPr>
              <w:spacing w:line="580" w:lineRule="exact"/>
              <w:rPr>
                <w:rFonts w:ascii="宋体" w:hAnsi="宋体" w:cs="宋体"/>
                <w:sz w:val="22"/>
              </w:rPr>
            </w:pPr>
            <w:r>
              <w:rPr>
                <w:rFonts w:hint="eastAsia" w:ascii="宋体" w:hAnsi="宋体" w:cs="宋体"/>
                <w:sz w:val="22"/>
              </w:rPr>
              <w:t>其他固定资产</w:t>
            </w:r>
          </w:p>
        </w:tc>
        <w:tc>
          <w:tcPr>
            <w:tcW w:w="2171" w:type="dxa"/>
          </w:tcPr>
          <w:p>
            <w:pPr>
              <w:spacing w:line="580" w:lineRule="exact"/>
              <w:jc w:val="center"/>
              <w:rPr>
                <w:rFonts w:ascii="宋体" w:hAnsi="宋体" w:cs="宋体"/>
                <w:sz w:val="22"/>
              </w:rPr>
            </w:pPr>
            <w:r>
              <w:rPr>
                <w:rFonts w:hint="eastAsia" w:ascii="宋体" w:hAnsi="宋体" w:cs="宋体"/>
                <w:sz w:val="22"/>
              </w:rPr>
              <w:t>7</w:t>
            </w:r>
          </w:p>
        </w:tc>
        <w:tc>
          <w:tcPr>
            <w:tcW w:w="3074" w:type="dxa"/>
          </w:tcPr>
          <w:p>
            <w:pPr>
              <w:spacing w:line="580" w:lineRule="exact"/>
              <w:jc w:val="center"/>
              <w:rPr>
                <w:rFonts w:ascii="宋体" w:hAnsi="宋体" w:cs="宋体"/>
                <w:sz w:val="22"/>
              </w:rPr>
            </w:pPr>
            <w:r>
              <w:rPr>
                <w:rFonts w:hint="eastAsia" w:ascii="宋体" w:hAnsi="宋体" w:cs="宋体"/>
                <w:sz w:val="22"/>
              </w:rPr>
              <w:t>4.5</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EE3986"/>
    <w:rsid w:val="008D0EB7"/>
    <w:rsid w:val="00B57CCC"/>
    <w:rsid w:val="00C84CD6"/>
    <w:rsid w:val="00CC063F"/>
    <w:rsid w:val="00EE3986"/>
    <w:rsid w:val="00F50F31"/>
    <w:rsid w:val="0D612A61"/>
    <w:rsid w:val="14D64C58"/>
    <w:rsid w:val="1A967DFB"/>
    <w:rsid w:val="205A5786"/>
    <w:rsid w:val="3E954BA3"/>
    <w:rsid w:val="57C7661B"/>
    <w:rsid w:val="5B105A60"/>
    <w:rsid w:val="7BE21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paragraph" w:styleId="8">
    <w:name w:val="Normal (Web)"/>
    <w:basedOn w:val="1"/>
    <w:qFormat/>
    <w:uiPriority w:val="0"/>
    <w:pPr>
      <w:widowControl w:val="0"/>
      <w:spacing w:beforeAutospacing="1" w:afterAutospacing="1"/>
    </w:pPr>
    <w:rPr>
      <w:rFonts w:eastAsia="宋体"/>
      <w:lang w:eastAsia="zh-CN"/>
    </w:rPr>
  </w:style>
  <w:style w:type="table" w:styleId="10">
    <w:name w:val="Table Grid"/>
    <w:basedOn w:val="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3">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4">
    <w:name w:val="单元格样式20"/>
    <w:basedOn w:val="1"/>
    <w:autoRedefine/>
    <w:qFormat/>
    <w:uiPriority w:val="0"/>
    <w:rPr>
      <w:rFonts w:ascii="方正小标宋_GBK" w:hAnsi="方正小标宋_GBK" w:eastAsia="方正小标宋_GBK" w:cs="方正小标宋_GBK"/>
    </w:rPr>
  </w:style>
  <w:style w:type="paragraph" w:customStyle="1" w:styleId="15">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9">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0">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1">
    <w:name w:val="单元格样式5"/>
    <w:basedOn w:val="1"/>
    <w:autoRedefine/>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9">
    <w:name w:val="单元格样式23"/>
    <w:basedOn w:val="1"/>
    <w:autoRedefine/>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autoRedefine/>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2022-03-18T12:44:32Z</dcterms:created>
  <dcterms:modified xsi:type="dcterms:W3CDTF">2022-03-18T04:44:31Z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2022-03-18T12:44:28Z</dcterms:created>
  <dcterms:modified xsi:type="dcterms:W3CDTF">2022-03-18T04:44:28Z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2022-03-18T12:44:32Z</dcterms:created>
  <dcterms:modified xsi:type="dcterms:W3CDTF">2022-03-18T04:44:32Z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2022-03-18T12:44:29Z</dcterms:created>
  <dcterms:modified xsi:type="dcterms:W3CDTF">2022-03-18T04:44:29Z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2022-03-18T12:44:28Z</dcterms:created>
  <dcterms:modified xsi:type="dcterms:W3CDTF">2022-03-18T04:44:28Z</dcterms:modified>
</cp:coreProperties>
</file>

<file path=customXml/itemProps1.xml><?xml version="1.0" encoding="utf-8"?>
<ds:datastoreItem xmlns:ds="http://schemas.openxmlformats.org/officeDocument/2006/customXml" ds:itemID="{49AF1D30-ABFA-4DAF-9C0C-5D46EB66754B}">
  <ds:schemaRefs/>
</ds:datastoreItem>
</file>

<file path=customXml/itemProps10.xml><?xml version="1.0" encoding="utf-8"?>
<ds:datastoreItem xmlns:ds="http://schemas.openxmlformats.org/officeDocument/2006/customXml" ds:itemID="{E4EC5232-E65A-49EC-9C34-9148AF436FEA}">
  <ds:schemaRefs/>
</ds:datastoreItem>
</file>

<file path=customXml/itemProps2.xml><?xml version="1.0" encoding="utf-8"?>
<ds:datastoreItem xmlns:ds="http://schemas.openxmlformats.org/officeDocument/2006/customXml" ds:itemID="{9D5660B3-DF14-4215-A375-B08AD4B7B41A}">
  <ds:schemaRefs/>
</ds:datastoreItem>
</file>

<file path=customXml/itemProps3.xml><?xml version="1.0" encoding="utf-8"?>
<ds:datastoreItem xmlns:ds="http://schemas.openxmlformats.org/officeDocument/2006/customXml" ds:itemID="{BC956C33-A29C-4B98-8686-9DDC85759A9C}">
  <ds:schemaRefs/>
</ds:datastoreItem>
</file>

<file path=customXml/itemProps4.xml><?xml version="1.0" encoding="utf-8"?>
<ds:datastoreItem xmlns:ds="http://schemas.openxmlformats.org/officeDocument/2006/customXml" ds:itemID="{1EE4A472-B068-4C9D-BC4A-91F66CA7F661}">
  <ds:schemaRefs/>
</ds:datastoreItem>
</file>

<file path=customXml/itemProps5.xml><?xml version="1.0" encoding="utf-8"?>
<ds:datastoreItem xmlns:ds="http://schemas.openxmlformats.org/officeDocument/2006/customXml" ds:itemID="{6F65DF88-A827-43D3-98DE-2ABE921E1709}">
  <ds:schemaRefs/>
</ds:datastoreItem>
</file>

<file path=customXml/itemProps6.xml><?xml version="1.0" encoding="utf-8"?>
<ds:datastoreItem xmlns:ds="http://schemas.openxmlformats.org/officeDocument/2006/customXml" ds:itemID="{8D44F95C-9348-4B5E-B1A2-D1B940FC83C7}">
  <ds:schemaRefs/>
</ds:datastoreItem>
</file>

<file path=customXml/itemProps7.xml><?xml version="1.0" encoding="utf-8"?>
<ds:datastoreItem xmlns:ds="http://schemas.openxmlformats.org/officeDocument/2006/customXml" ds:itemID="{8BDF59C8-A1C8-4EC6-B31A-40C8F9DD9103}">
  <ds:schemaRefs/>
</ds:datastoreItem>
</file>

<file path=customXml/itemProps8.xml><?xml version="1.0" encoding="utf-8"?>
<ds:datastoreItem xmlns:ds="http://schemas.openxmlformats.org/officeDocument/2006/customXml" ds:itemID="{B05E3379-C962-4A9E-81E3-F0C94AF2F001}">
  <ds:schemaRefs/>
</ds:datastoreItem>
</file>

<file path=customXml/itemProps9.xml><?xml version="1.0" encoding="utf-8"?>
<ds:datastoreItem xmlns:ds="http://schemas.openxmlformats.org/officeDocument/2006/customXml" ds:itemID="{06187CF7-D903-4EA9-97E2-CD1D844C844E}">
  <ds:schemaRefs/>
</ds:datastoreItem>
</file>

<file path=docProps/app.xml><?xml version="1.0" encoding="utf-8"?>
<Properties xmlns="http://schemas.openxmlformats.org/officeDocument/2006/extended-properties" xmlns:vt="http://schemas.openxmlformats.org/officeDocument/2006/docPropsVTypes">
  <Template>Normal</Template>
  <Pages>31</Pages>
  <Words>1918</Words>
  <Characters>10937</Characters>
  <Lines>91</Lines>
  <Paragraphs>25</Paragraphs>
  <TotalTime>3</TotalTime>
  <ScaleCrop>false</ScaleCrop>
  <LinksUpToDate>false</LinksUpToDate>
  <CharactersWithSpaces>12830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2022-03-18T12:44:00Z</dcterms:created>
  <dc:creator>Administrator</dc:creator>
  <cp:lastModifiedBy>WPS_1657181579</cp:lastModifiedBy>
  <dcterms:modified xsi:type="dcterms:W3CDTF">2024-02-21T04:34:20Z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FB15DB6024654D73AB6807E9B7A609E2</vt:lpwstr>
  </property>
</Properties>
</file>