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成安县工商业联合会所属部门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547成安县工商业联合会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43.18</w:t>
            </w:r>
          </w:p>
        </w:tc>
        <w:tc>
          <w:tcPr>
            <w:tcW w:w="4535" w:type="dxa"/>
            <w:vAlign w:val="center"/>
          </w:tcPr>
          <w:p>
            <w:pPr>
              <w:pStyle w:val="16"/>
            </w:pPr>
            <w:r>
              <w:t>一、一般公共服务支出</w:t>
            </w:r>
          </w:p>
        </w:tc>
        <w:tc>
          <w:tcPr>
            <w:tcW w:w="2126" w:type="dxa"/>
            <w:vAlign w:val="center"/>
          </w:tcPr>
          <w:p>
            <w:pPr>
              <w:pStyle w:val="15"/>
            </w:pPr>
            <w:r>
              <w:t>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43.18</w:t>
            </w:r>
          </w:p>
        </w:tc>
        <w:tc>
          <w:tcPr>
            <w:tcW w:w="4535" w:type="dxa"/>
            <w:vAlign w:val="center"/>
          </w:tcPr>
          <w:p>
            <w:pPr>
              <w:pStyle w:val="18"/>
            </w:pPr>
            <w:r>
              <w:t>本年支出合计</w:t>
            </w:r>
          </w:p>
        </w:tc>
        <w:tc>
          <w:tcPr>
            <w:tcW w:w="2126" w:type="dxa"/>
            <w:vAlign w:val="center"/>
          </w:tcPr>
          <w:p>
            <w:pPr>
              <w:pStyle w:val="19"/>
            </w:pPr>
            <w:r>
              <w:t>43.18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43.18</w:t>
            </w:r>
          </w:p>
        </w:tc>
        <w:tc>
          <w:tcPr>
            <w:tcW w:w="4535" w:type="dxa"/>
            <w:vAlign w:val="center"/>
          </w:tcPr>
          <w:p>
            <w:pPr>
              <w:pStyle w:val="18"/>
            </w:pPr>
            <w:r>
              <w:t>支出总计</w:t>
            </w:r>
          </w:p>
        </w:tc>
        <w:tc>
          <w:tcPr>
            <w:tcW w:w="2126" w:type="dxa"/>
            <w:vAlign w:val="center"/>
          </w:tcPr>
          <w:p>
            <w:pPr>
              <w:pStyle w:val="19"/>
            </w:pPr>
            <w:r>
              <w:t>43.18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43.18</w:t>
            </w:r>
          </w:p>
        </w:tc>
        <w:tc>
          <w:tcPr>
            <w:tcW w:w="1134" w:type="dxa"/>
            <w:vAlign w:val="center"/>
          </w:tcPr>
          <w:p>
            <w:pPr>
              <w:pStyle w:val="19"/>
            </w:pPr>
            <w:r>
              <w:t>43.18</w:t>
            </w:r>
          </w:p>
        </w:tc>
        <w:tc>
          <w:tcPr>
            <w:tcW w:w="1134" w:type="dxa"/>
            <w:vAlign w:val="center"/>
          </w:tcPr>
          <w:p>
            <w:pPr>
              <w:pStyle w:val="19"/>
            </w:pPr>
            <w:r>
              <w:t>43.18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20128</w:t>
            </w:r>
          </w:p>
        </w:tc>
        <w:tc>
          <w:tcPr>
            <w:tcW w:w="1559" w:type="dxa"/>
            <w:vAlign w:val="center"/>
          </w:tcPr>
          <w:p>
            <w:pPr>
              <w:pStyle w:val="16"/>
            </w:pPr>
            <w:r>
              <w:t>民主党派及工商联事务</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2012801</w:t>
            </w:r>
          </w:p>
        </w:tc>
        <w:tc>
          <w:tcPr>
            <w:tcW w:w="1559" w:type="dxa"/>
            <w:vAlign w:val="center"/>
          </w:tcPr>
          <w:p>
            <w:pPr>
              <w:pStyle w:val="16"/>
            </w:pPr>
            <w:r>
              <w:t>行政运行</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r>
              <w:t>32.95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5.77</w:t>
            </w:r>
          </w:p>
        </w:tc>
        <w:tc>
          <w:tcPr>
            <w:tcW w:w="1134" w:type="dxa"/>
            <w:vAlign w:val="center"/>
          </w:tcPr>
          <w:p>
            <w:pPr>
              <w:pStyle w:val="15"/>
            </w:pPr>
            <w:r>
              <w:t>5.77</w:t>
            </w:r>
          </w:p>
        </w:tc>
        <w:tc>
          <w:tcPr>
            <w:tcW w:w="1134" w:type="dxa"/>
            <w:vAlign w:val="center"/>
          </w:tcPr>
          <w:p>
            <w:pPr>
              <w:pStyle w:val="15"/>
            </w:pPr>
            <w:r>
              <w:t>5.77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5.44</w:t>
            </w:r>
          </w:p>
        </w:tc>
        <w:tc>
          <w:tcPr>
            <w:tcW w:w="1134" w:type="dxa"/>
            <w:vAlign w:val="center"/>
          </w:tcPr>
          <w:p>
            <w:pPr>
              <w:pStyle w:val="15"/>
            </w:pPr>
            <w:r>
              <w:t>5.44</w:t>
            </w:r>
          </w:p>
        </w:tc>
        <w:tc>
          <w:tcPr>
            <w:tcW w:w="1134" w:type="dxa"/>
            <w:vAlign w:val="center"/>
          </w:tcPr>
          <w:p>
            <w:pPr>
              <w:pStyle w:val="15"/>
            </w:pPr>
            <w:r>
              <w:t>5.44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3.65</w:t>
            </w:r>
          </w:p>
        </w:tc>
        <w:tc>
          <w:tcPr>
            <w:tcW w:w="1134" w:type="dxa"/>
            <w:vAlign w:val="center"/>
          </w:tcPr>
          <w:p>
            <w:pPr>
              <w:pStyle w:val="15"/>
            </w:pPr>
            <w:r>
              <w:t>3.65</w:t>
            </w:r>
          </w:p>
        </w:tc>
        <w:tc>
          <w:tcPr>
            <w:tcW w:w="1134" w:type="dxa"/>
            <w:vAlign w:val="center"/>
          </w:tcPr>
          <w:p>
            <w:pPr>
              <w:pStyle w:val="15"/>
            </w:pPr>
            <w:r>
              <w:t>3.65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0.34</w:t>
            </w:r>
          </w:p>
        </w:tc>
        <w:tc>
          <w:tcPr>
            <w:tcW w:w="1134" w:type="dxa"/>
            <w:vAlign w:val="center"/>
          </w:tcPr>
          <w:p>
            <w:pPr>
              <w:pStyle w:val="15"/>
            </w:pPr>
            <w:r>
              <w:t>0.34</w:t>
            </w:r>
          </w:p>
        </w:tc>
        <w:tc>
          <w:tcPr>
            <w:tcW w:w="1134" w:type="dxa"/>
            <w:vAlign w:val="center"/>
          </w:tcPr>
          <w:p>
            <w:pPr>
              <w:pStyle w:val="15"/>
            </w:pPr>
            <w: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0.34</w:t>
            </w:r>
          </w:p>
        </w:tc>
        <w:tc>
          <w:tcPr>
            <w:tcW w:w="1134" w:type="dxa"/>
            <w:vAlign w:val="center"/>
          </w:tcPr>
          <w:p>
            <w:pPr>
              <w:pStyle w:val="15"/>
            </w:pPr>
            <w:r>
              <w:t>0.34</w:t>
            </w:r>
          </w:p>
        </w:tc>
        <w:tc>
          <w:tcPr>
            <w:tcW w:w="1134" w:type="dxa"/>
            <w:vAlign w:val="center"/>
          </w:tcPr>
          <w:p>
            <w:pPr>
              <w:pStyle w:val="15"/>
            </w:pPr>
            <w: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r>
              <w:t>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43.18</w:t>
            </w:r>
          </w:p>
        </w:tc>
        <w:tc>
          <w:tcPr>
            <w:tcW w:w="1361" w:type="dxa"/>
            <w:vAlign w:val="center"/>
          </w:tcPr>
          <w:p>
            <w:pPr>
              <w:pStyle w:val="19"/>
            </w:pPr>
            <w:r>
              <w:t>43.18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32.95</w:t>
            </w:r>
          </w:p>
        </w:tc>
        <w:tc>
          <w:tcPr>
            <w:tcW w:w="1361" w:type="dxa"/>
            <w:vAlign w:val="center"/>
          </w:tcPr>
          <w:p>
            <w:pPr>
              <w:pStyle w:val="15"/>
            </w:pPr>
            <w:r>
              <w:t>32.95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20128</w:t>
            </w:r>
          </w:p>
        </w:tc>
        <w:tc>
          <w:tcPr>
            <w:tcW w:w="4535" w:type="dxa"/>
            <w:vAlign w:val="center"/>
          </w:tcPr>
          <w:p>
            <w:pPr>
              <w:pStyle w:val="16"/>
            </w:pPr>
            <w:r>
              <w:t>民主党派及工商联事务</w:t>
            </w:r>
          </w:p>
        </w:tc>
        <w:tc>
          <w:tcPr>
            <w:tcW w:w="1361" w:type="dxa"/>
            <w:vAlign w:val="center"/>
          </w:tcPr>
          <w:p>
            <w:pPr>
              <w:pStyle w:val="15"/>
            </w:pPr>
            <w:r>
              <w:t>32.95</w:t>
            </w:r>
          </w:p>
        </w:tc>
        <w:tc>
          <w:tcPr>
            <w:tcW w:w="1361" w:type="dxa"/>
            <w:vAlign w:val="center"/>
          </w:tcPr>
          <w:p>
            <w:pPr>
              <w:pStyle w:val="15"/>
            </w:pPr>
            <w:r>
              <w:t>32.95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2012801</w:t>
            </w:r>
          </w:p>
        </w:tc>
        <w:tc>
          <w:tcPr>
            <w:tcW w:w="4535" w:type="dxa"/>
            <w:vAlign w:val="center"/>
          </w:tcPr>
          <w:p>
            <w:pPr>
              <w:pStyle w:val="16"/>
            </w:pPr>
            <w:r>
              <w:t>行政运行</w:t>
            </w:r>
          </w:p>
        </w:tc>
        <w:tc>
          <w:tcPr>
            <w:tcW w:w="1361" w:type="dxa"/>
            <w:vAlign w:val="center"/>
          </w:tcPr>
          <w:p>
            <w:pPr>
              <w:pStyle w:val="15"/>
            </w:pPr>
            <w:r>
              <w:t>32.95</w:t>
            </w:r>
          </w:p>
        </w:tc>
        <w:tc>
          <w:tcPr>
            <w:tcW w:w="1361" w:type="dxa"/>
            <w:vAlign w:val="center"/>
          </w:tcPr>
          <w:p>
            <w:pPr>
              <w:pStyle w:val="15"/>
            </w:pPr>
            <w:r>
              <w:t>32.95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5.77</w:t>
            </w:r>
          </w:p>
        </w:tc>
        <w:tc>
          <w:tcPr>
            <w:tcW w:w="1361" w:type="dxa"/>
            <w:vAlign w:val="center"/>
          </w:tcPr>
          <w:p>
            <w:pPr>
              <w:pStyle w:val="15"/>
            </w:pPr>
            <w:r>
              <w:t>5.77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5.44</w:t>
            </w:r>
          </w:p>
        </w:tc>
        <w:tc>
          <w:tcPr>
            <w:tcW w:w="1361" w:type="dxa"/>
            <w:vAlign w:val="center"/>
          </w:tcPr>
          <w:p>
            <w:pPr>
              <w:pStyle w:val="15"/>
            </w:pPr>
            <w:r>
              <w:t>5.44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3.65</w:t>
            </w:r>
          </w:p>
        </w:tc>
        <w:tc>
          <w:tcPr>
            <w:tcW w:w="1361" w:type="dxa"/>
            <w:vAlign w:val="center"/>
          </w:tcPr>
          <w:p>
            <w:pPr>
              <w:pStyle w:val="15"/>
            </w:pPr>
            <w:r>
              <w:t>3.65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1.78</w:t>
            </w:r>
          </w:p>
        </w:tc>
        <w:tc>
          <w:tcPr>
            <w:tcW w:w="1361" w:type="dxa"/>
            <w:vAlign w:val="center"/>
          </w:tcPr>
          <w:p>
            <w:pPr>
              <w:pStyle w:val="15"/>
            </w:pPr>
            <w:r>
              <w:t>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0.34</w:t>
            </w:r>
          </w:p>
        </w:tc>
        <w:tc>
          <w:tcPr>
            <w:tcW w:w="1361" w:type="dxa"/>
            <w:vAlign w:val="center"/>
          </w:tcPr>
          <w:p>
            <w:pPr>
              <w:pStyle w:val="15"/>
            </w:pPr>
            <w: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0.34</w:t>
            </w:r>
          </w:p>
        </w:tc>
        <w:tc>
          <w:tcPr>
            <w:tcW w:w="1361" w:type="dxa"/>
            <w:vAlign w:val="center"/>
          </w:tcPr>
          <w:p>
            <w:pPr>
              <w:pStyle w:val="15"/>
            </w:pPr>
            <w: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1.78</w:t>
            </w:r>
          </w:p>
        </w:tc>
        <w:tc>
          <w:tcPr>
            <w:tcW w:w="1361" w:type="dxa"/>
            <w:vAlign w:val="center"/>
          </w:tcPr>
          <w:p>
            <w:pPr>
              <w:pStyle w:val="15"/>
            </w:pPr>
            <w:r>
              <w:t>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1.78</w:t>
            </w:r>
          </w:p>
        </w:tc>
        <w:tc>
          <w:tcPr>
            <w:tcW w:w="1361" w:type="dxa"/>
            <w:vAlign w:val="center"/>
          </w:tcPr>
          <w:p>
            <w:pPr>
              <w:pStyle w:val="15"/>
            </w:pPr>
            <w:r>
              <w:t>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1.78</w:t>
            </w:r>
          </w:p>
        </w:tc>
        <w:tc>
          <w:tcPr>
            <w:tcW w:w="1361" w:type="dxa"/>
            <w:vAlign w:val="center"/>
          </w:tcPr>
          <w:p>
            <w:pPr>
              <w:pStyle w:val="15"/>
            </w:pPr>
            <w:r>
              <w:t>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2.67</w:t>
            </w:r>
          </w:p>
        </w:tc>
        <w:tc>
          <w:tcPr>
            <w:tcW w:w="1361" w:type="dxa"/>
            <w:vAlign w:val="center"/>
          </w:tcPr>
          <w:p>
            <w:pPr>
              <w:pStyle w:val="15"/>
            </w:pPr>
            <w:r>
              <w:t>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2.67</w:t>
            </w:r>
          </w:p>
        </w:tc>
        <w:tc>
          <w:tcPr>
            <w:tcW w:w="1361" w:type="dxa"/>
            <w:vAlign w:val="center"/>
          </w:tcPr>
          <w:p>
            <w:pPr>
              <w:pStyle w:val="15"/>
            </w:pPr>
            <w:r>
              <w:t>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2.67</w:t>
            </w:r>
          </w:p>
        </w:tc>
        <w:tc>
          <w:tcPr>
            <w:tcW w:w="1361" w:type="dxa"/>
            <w:vAlign w:val="center"/>
          </w:tcPr>
          <w:p>
            <w:pPr>
              <w:pStyle w:val="15"/>
            </w:pPr>
            <w:r>
              <w:t>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43.18</w:t>
            </w:r>
          </w:p>
        </w:tc>
        <w:tc>
          <w:tcPr>
            <w:tcW w:w="3402" w:type="dxa"/>
            <w:vAlign w:val="center"/>
          </w:tcPr>
          <w:p>
            <w:pPr>
              <w:pStyle w:val="16"/>
            </w:pPr>
            <w:r>
              <w:t>一、一般公共服务支出</w:t>
            </w:r>
          </w:p>
        </w:tc>
        <w:tc>
          <w:tcPr>
            <w:tcW w:w="1474" w:type="dxa"/>
            <w:vAlign w:val="center"/>
          </w:tcPr>
          <w:p>
            <w:pPr>
              <w:pStyle w:val="15"/>
            </w:pPr>
            <w:r>
              <w:t>32.95</w:t>
            </w:r>
          </w:p>
        </w:tc>
        <w:tc>
          <w:tcPr>
            <w:tcW w:w="1474" w:type="dxa"/>
            <w:vAlign w:val="center"/>
          </w:tcPr>
          <w:p>
            <w:pPr>
              <w:pStyle w:val="15"/>
            </w:pPr>
            <w:r>
              <w:t>32.95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5.77</w:t>
            </w:r>
          </w:p>
        </w:tc>
        <w:tc>
          <w:tcPr>
            <w:tcW w:w="1474" w:type="dxa"/>
            <w:vAlign w:val="center"/>
          </w:tcPr>
          <w:p>
            <w:pPr>
              <w:pStyle w:val="15"/>
            </w:pPr>
            <w:r>
              <w:t>5.77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1.78</w:t>
            </w:r>
          </w:p>
        </w:tc>
        <w:tc>
          <w:tcPr>
            <w:tcW w:w="1474" w:type="dxa"/>
            <w:vAlign w:val="center"/>
          </w:tcPr>
          <w:p>
            <w:pPr>
              <w:pStyle w:val="15"/>
            </w:pPr>
            <w:r>
              <w:t>1.78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2.67</w:t>
            </w:r>
          </w:p>
        </w:tc>
        <w:tc>
          <w:tcPr>
            <w:tcW w:w="1474" w:type="dxa"/>
            <w:vAlign w:val="center"/>
          </w:tcPr>
          <w:p>
            <w:pPr>
              <w:pStyle w:val="15"/>
            </w:pPr>
            <w:r>
              <w:t>2.67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43.18</w:t>
            </w:r>
          </w:p>
        </w:tc>
        <w:tc>
          <w:tcPr>
            <w:tcW w:w="3402" w:type="dxa"/>
            <w:vAlign w:val="center"/>
          </w:tcPr>
          <w:p>
            <w:pPr>
              <w:pStyle w:val="18"/>
            </w:pPr>
            <w:r>
              <w:t>本年支出合计</w:t>
            </w:r>
          </w:p>
        </w:tc>
        <w:tc>
          <w:tcPr>
            <w:tcW w:w="1474" w:type="dxa"/>
            <w:vAlign w:val="center"/>
          </w:tcPr>
          <w:p>
            <w:pPr>
              <w:pStyle w:val="19"/>
            </w:pPr>
            <w:r>
              <w:t>43.18</w:t>
            </w:r>
          </w:p>
        </w:tc>
        <w:tc>
          <w:tcPr>
            <w:tcW w:w="1474" w:type="dxa"/>
            <w:vAlign w:val="center"/>
          </w:tcPr>
          <w:p>
            <w:pPr>
              <w:pStyle w:val="19"/>
            </w:pPr>
            <w:r>
              <w:t>43.18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43.18</w:t>
            </w:r>
          </w:p>
        </w:tc>
        <w:tc>
          <w:tcPr>
            <w:tcW w:w="3402" w:type="dxa"/>
            <w:vAlign w:val="center"/>
          </w:tcPr>
          <w:p>
            <w:pPr>
              <w:pStyle w:val="18"/>
            </w:pPr>
            <w:r>
              <w:t>支出总计</w:t>
            </w:r>
          </w:p>
        </w:tc>
        <w:tc>
          <w:tcPr>
            <w:tcW w:w="1474" w:type="dxa"/>
            <w:vAlign w:val="center"/>
          </w:tcPr>
          <w:p>
            <w:pPr>
              <w:pStyle w:val="19"/>
            </w:pPr>
            <w:r>
              <w:t>43.18</w:t>
            </w:r>
          </w:p>
        </w:tc>
        <w:tc>
          <w:tcPr>
            <w:tcW w:w="1474" w:type="dxa"/>
            <w:vAlign w:val="center"/>
          </w:tcPr>
          <w:p>
            <w:pPr>
              <w:pStyle w:val="19"/>
            </w:pPr>
            <w:r>
              <w:t>43.18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43.18</w:t>
            </w:r>
          </w:p>
        </w:tc>
        <w:tc>
          <w:tcPr>
            <w:tcW w:w="2551" w:type="dxa"/>
            <w:vAlign w:val="center"/>
          </w:tcPr>
          <w:p>
            <w:pPr>
              <w:pStyle w:val="19"/>
            </w:pPr>
            <w:r>
              <w:t>43.18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32.95</w:t>
            </w:r>
          </w:p>
        </w:tc>
        <w:tc>
          <w:tcPr>
            <w:tcW w:w="2551" w:type="dxa"/>
            <w:vAlign w:val="center"/>
          </w:tcPr>
          <w:p>
            <w:pPr>
              <w:pStyle w:val="15"/>
            </w:pPr>
            <w:r>
              <w:t>32.95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20128</w:t>
            </w:r>
          </w:p>
        </w:tc>
        <w:tc>
          <w:tcPr>
            <w:tcW w:w="4535" w:type="dxa"/>
            <w:vAlign w:val="center"/>
          </w:tcPr>
          <w:p>
            <w:pPr>
              <w:pStyle w:val="16"/>
            </w:pPr>
            <w:r>
              <w:t>民主党派及工商联事务</w:t>
            </w:r>
          </w:p>
        </w:tc>
        <w:tc>
          <w:tcPr>
            <w:tcW w:w="2551" w:type="dxa"/>
            <w:vAlign w:val="center"/>
          </w:tcPr>
          <w:p>
            <w:pPr>
              <w:pStyle w:val="15"/>
            </w:pPr>
            <w:r>
              <w:t>32.95</w:t>
            </w:r>
          </w:p>
        </w:tc>
        <w:tc>
          <w:tcPr>
            <w:tcW w:w="2551" w:type="dxa"/>
            <w:vAlign w:val="center"/>
          </w:tcPr>
          <w:p>
            <w:pPr>
              <w:pStyle w:val="15"/>
            </w:pPr>
            <w:r>
              <w:t>32.95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2012801</w:t>
            </w:r>
          </w:p>
        </w:tc>
        <w:tc>
          <w:tcPr>
            <w:tcW w:w="4535" w:type="dxa"/>
            <w:vAlign w:val="center"/>
          </w:tcPr>
          <w:p>
            <w:pPr>
              <w:pStyle w:val="16"/>
            </w:pPr>
            <w:r>
              <w:t>行政运行</w:t>
            </w:r>
          </w:p>
        </w:tc>
        <w:tc>
          <w:tcPr>
            <w:tcW w:w="2551" w:type="dxa"/>
            <w:vAlign w:val="center"/>
          </w:tcPr>
          <w:p>
            <w:pPr>
              <w:pStyle w:val="15"/>
            </w:pPr>
            <w:r>
              <w:t>32.95</w:t>
            </w:r>
          </w:p>
        </w:tc>
        <w:tc>
          <w:tcPr>
            <w:tcW w:w="2551" w:type="dxa"/>
            <w:vAlign w:val="center"/>
          </w:tcPr>
          <w:p>
            <w:pPr>
              <w:pStyle w:val="15"/>
            </w:pPr>
            <w:r>
              <w:t>32.95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5.77</w:t>
            </w:r>
          </w:p>
        </w:tc>
        <w:tc>
          <w:tcPr>
            <w:tcW w:w="2551" w:type="dxa"/>
            <w:vAlign w:val="center"/>
          </w:tcPr>
          <w:p>
            <w:pPr>
              <w:pStyle w:val="15"/>
            </w:pPr>
            <w:r>
              <w:t>5.77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5.44</w:t>
            </w:r>
          </w:p>
        </w:tc>
        <w:tc>
          <w:tcPr>
            <w:tcW w:w="2551" w:type="dxa"/>
            <w:vAlign w:val="center"/>
          </w:tcPr>
          <w:p>
            <w:pPr>
              <w:pStyle w:val="15"/>
            </w:pPr>
            <w:r>
              <w:t>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3.65</w:t>
            </w:r>
          </w:p>
        </w:tc>
        <w:tc>
          <w:tcPr>
            <w:tcW w:w="2551" w:type="dxa"/>
            <w:vAlign w:val="center"/>
          </w:tcPr>
          <w:p>
            <w:pPr>
              <w:pStyle w:val="15"/>
            </w:pPr>
            <w:r>
              <w:t>3.65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0.34</w:t>
            </w:r>
          </w:p>
        </w:tc>
        <w:tc>
          <w:tcPr>
            <w:tcW w:w="2551" w:type="dxa"/>
            <w:vAlign w:val="center"/>
          </w:tcPr>
          <w:p>
            <w:pPr>
              <w:pStyle w:val="15"/>
            </w:pPr>
            <w: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0.34</w:t>
            </w:r>
          </w:p>
        </w:tc>
        <w:tc>
          <w:tcPr>
            <w:tcW w:w="2551" w:type="dxa"/>
            <w:vAlign w:val="center"/>
          </w:tcPr>
          <w:p>
            <w:pPr>
              <w:pStyle w:val="15"/>
            </w:pPr>
            <w: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2.67</w:t>
            </w:r>
          </w:p>
        </w:tc>
        <w:tc>
          <w:tcPr>
            <w:tcW w:w="2551" w:type="dxa"/>
            <w:vAlign w:val="center"/>
          </w:tcPr>
          <w:p>
            <w:pPr>
              <w:pStyle w:val="15"/>
            </w:pPr>
            <w:r>
              <w:t>2.67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2.67</w:t>
            </w:r>
          </w:p>
        </w:tc>
        <w:tc>
          <w:tcPr>
            <w:tcW w:w="2551" w:type="dxa"/>
            <w:vAlign w:val="center"/>
          </w:tcPr>
          <w:p>
            <w:pPr>
              <w:pStyle w:val="15"/>
            </w:pPr>
            <w:r>
              <w:t>2.67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2.67</w:t>
            </w:r>
          </w:p>
        </w:tc>
        <w:tc>
          <w:tcPr>
            <w:tcW w:w="2551" w:type="dxa"/>
            <w:vAlign w:val="center"/>
          </w:tcPr>
          <w:p>
            <w:pPr>
              <w:pStyle w:val="15"/>
            </w:pPr>
            <w:r>
              <w:t>2.67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43.18</w:t>
            </w:r>
          </w:p>
        </w:tc>
        <w:tc>
          <w:tcPr>
            <w:tcW w:w="2551" w:type="dxa"/>
            <w:vAlign w:val="center"/>
          </w:tcPr>
          <w:p>
            <w:pPr>
              <w:pStyle w:val="19"/>
            </w:pPr>
            <w:r>
              <w:t>36.50</w:t>
            </w:r>
          </w:p>
        </w:tc>
        <w:tc>
          <w:tcPr>
            <w:tcW w:w="2551" w:type="dxa"/>
            <w:vAlign w:val="center"/>
          </w:tcPr>
          <w:p>
            <w:pPr>
              <w:pStyle w:val="19"/>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36.17</w:t>
            </w:r>
          </w:p>
        </w:tc>
        <w:tc>
          <w:tcPr>
            <w:tcW w:w="2551" w:type="dxa"/>
            <w:vAlign w:val="center"/>
          </w:tcPr>
          <w:p>
            <w:pPr>
              <w:pStyle w:val="15"/>
            </w:pPr>
            <w:r>
              <w:t>36.17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22.50</w:t>
            </w:r>
          </w:p>
        </w:tc>
        <w:tc>
          <w:tcPr>
            <w:tcW w:w="2551" w:type="dxa"/>
            <w:vAlign w:val="center"/>
          </w:tcPr>
          <w:p>
            <w:pPr>
              <w:pStyle w:val="15"/>
            </w:pPr>
            <w:r>
              <w:t>22.50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1.94</w:t>
            </w:r>
          </w:p>
        </w:tc>
        <w:tc>
          <w:tcPr>
            <w:tcW w:w="2551" w:type="dxa"/>
            <w:vAlign w:val="center"/>
          </w:tcPr>
          <w:p>
            <w:pPr>
              <w:pStyle w:val="15"/>
            </w:pPr>
            <w:r>
              <w:t>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1.19</w:t>
            </w:r>
          </w:p>
        </w:tc>
        <w:tc>
          <w:tcPr>
            <w:tcW w:w="2551" w:type="dxa"/>
            <w:vAlign w:val="center"/>
          </w:tcPr>
          <w:p>
            <w:pPr>
              <w:pStyle w:val="15"/>
            </w:pPr>
            <w:r>
              <w:t>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0.54</w:t>
            </w:r>
          </w:p>
        </w:tc>
        <w:tc>
          <w:tcPr>
            <w:tcW w:w="2551" w:type="dxa"/>
            <w:vAlign w:val="center"/>
          </w:tcPr>
          <w:p>
            <w:pPr>
              <w:pStyle w:val="15"/>
            </w:pPr>
            <w:r>
              <w:t>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3.65</w:t>
            </w:r>
          </w:p>
        </w:tc>
        <w:tc>
          <w:tcPr>
            <w:tcW w:w="2551" w:type="dxa"/>
            <w:vAlign w:val="center"/>
          </w:tcPr>
          <w:p>
            <w:pPr>
              <w:pStyle w:val="15"/>
            </w:pPr>
            <w:r>
              <w:t>3.65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2.67</w:t>
            </w:r>
          </w:p>
        </w:tc>
        <w:tc>
          <w:tcPr>
            <w:tcW w:w="2551" w:type="dxa"/>
            <w:vAlign w:val="center"/>
          </w:tcPr>
          <w:p>
            <w:pPr>
              <w:pStyle w:val="15"/>
            </w:pPr>
            <w:r>
              <w:t>2.67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6.68</w:t>
            </w:r>
          </w:p>
        </w:tc>
        <w:tc>
          <w:tcPr>
            <w:tcW w:w="2551" w:type="dxa"/>
            <w:vAlign w:val="center"/>
          </w:tcPr>
          <w:p>
            <w:pPr>
              <w:pStyle w:val="15"/>
            </w:pPr>
          </w:p>
        </w:tc>
        <w:tc>
          <w:tcPr>
            <w:tcW w:w="2551" w:type="dxa"/>
            <w:vAlign w:val="center"/>
          </w:tcPr>
          <w:p>
            <w:pPr>
              <w:pStyle w:val="15"/>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1.68</w:t>
            </w:r>
          </w:p>
        </w:tc>
        <w:tc>
          <w:tcPr>
            <w:tcW w:w="2551" w:type="dxa"/>
            <w:vAlign w:val="center"/>
          </w:tcPr>
          <w:p>
            <w:pPr>
              <w:pStyle w:val="15"/>
            </w:pPr>
          </w:p>
        </w:tc>
        <w:tc>
          <w:tcPr>
            <w:tcW w:w="2551"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0.34</w:t>
            </w:r>
          </w:p>
        </w:tc>
        <w:tc>
          <w:tcPr>
            <w:tcW w:w="2551" w:type="dxa"/>
            <w:vAlign w:val="center"/>
          </w:tcPr>
          <w:p>
            <w:pPr>
              <w:pStyle w:val="15"/>
            </w:pPr>
            <w: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0.34</w:t>
            </w:r>
          </w:p>
        </w:tc>
        <w:tc>
          <w:tcPr>
            <w:tcW w:w="2551" w:type="dxa"/>
            <w:vAlign w:val="center"/>
          </w:tcPr>
          <w:p>
            <w:pPr>
              <w:pStyle w:val="15"/>
            </w:pPr>
            <w:r>
              <w:t>0.34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成安县工商业联合会2022年部门预算信息公开情况说明</w:t>
      </w:r>
    </w:p>
    <w:p>
      <w:pPr>
        <w:jc w:val="center"/>
      </w:pPr>
      <w:r>
        <w:rPr>
          <w:rFonts w:ascii="方正小标宋_GBK" w:hAnsi="方正小标宋_GBK" w:eastAsia="方正小标宋_GBK" w:cs="方正小标宋_GBK"/>
          <w:color w:val="000000"/>
          <w:sz w:val="44"/>
        </w:rPr>
        <w:t>成安县工商业联合会2022年部门预算信息公开情况说明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、《地方预决算公开操作规程》和《关于进一步推进预算公开工作的实施意见》规定，现将成安县工商业联合会2022年部门预算公开如下：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（一）加强和改进非公有制经济人士思想政治工作。</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（二）参与政治协商，发挥民主监督作用，积极参政议政。</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（三）协助政府管理和服务非公有制经济。</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（四）促进行业协会商会改革发展。</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（五）参与协调劳动关系，促进社会和谐稳定。</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（六）代表并维护会员的合法权益，反映会员的意见、要求和建议，参与经济纠纷的调解、仲裁。</w:t>
      </w:r>
    </w:p>
    <w:p>
      <w:pPr>
        <w:pStyle w:val="35"/>
        <w:widowControl/>
        <w:numPr>
          <w:ilvl w:val="0"/>
          <w:numId w:val="1"/>
        </w:numPr>
        <w:spacing w:line="360" w:lineRule="auto"/>
        <w:ind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承办县委、县政府交办的其他事项。</w:t>
      </w:r>
    </w:p>
    <w:p>
      <w:pPr>
        <w:spacing w:line="360" w:lineRule="auto"/>
        <w:ind w:left="640"/>
        <w:rPr>
          <w:rFonts w:ascii="仿宋_GB2312" w:eastAsia="仿宋_GB2312" w:cs="仿宋_GB2312"/>
          <w:b/>
          <w:sz w:val="32"/>
          <w:szCs w:val="32"/>
        </w:rPr>
      </w:pPr>
      <w:r>
        <w:rPr>
          <w:rFonts w:hint="eastAsia" w:ascii="仿宋_GB2312" w:eastAsia="仿宋_GB2312" w:cs="Calibri"/>
          <w:b/>
          <w:sz w:val="32"/>
          <w:szCs w:val="32"/>
        </w:rPr>
        <w:t>内设机构及职责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成安县工商联，预算编码是547，</w:t>
      </w:r>
      <w:r>
        <w:rPr>
          <w:rFonts w:hint="eastAsia" w:ascii="仿宋_GB2312" w:eastAsia="仿宋_GB2312" w:cs="仿宋_GB2312"/>
          <w:sz w:val="32"/>
          <w:szCs w:val="32"/>
        </w:rPr>
        <w:t>包含一个二级预算单位：547002成安县工商联机关。</w:t>
      </w:r>
      <w:r>
        <w:rPr>
          <w:rFonts w:hint="eastAsia" w:ascii="仿宋_GB2312" w:hAnsi="仿宋" w:eastAsia="仿宋_GB2312" w:cs="仿宋"/>
          <w:bCs/>
          <w:sz w:val="32"/>
          <w:szCs w:val="32"/>
        </w:rPr>
        <w:t>内设1个内部机构，办公室，负责接收发放通知，工商联工作。</w:t>
      </w:r>
    </w:p>
    <w:p>
      <w:pPr>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人员编制和领导职数</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成安县工商联，人员编制2名，其中领导职数1个。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按照预算管理有关规定，目前我省部门预算的编制实行综合预算管理，即全部收入和支出都反映在预算中。成安县工商业联合会机关及所属事业单位的收支包含在部门预算中。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cs="方正仿宋_GBK"/>
          <w:sz w:val="32"/>
          <w:szCs w:val="32"/>
        </w:rPr>
        <w:t>年预算收入</w:t>
      </w:r>
      <w:r>
        <w:rPr>
          <w:rFonts w:ascii="仿宋" w:hAnsi="仿宋" w:eastAsia="仿宋" w:cs="方正仿宋_GBK"/>
          <w:sz w:val="32"/>
          <w:szCs w:val="32"/>
        </w:rPr>
        <w:t>43.18</w:t>
      </w:r>
      <w:r>
        <w:rPr>
          <w:rFonts w:hint="eastAsia" w:ascii="仿宋" w:hAnsi="仿宋" w:eastAsia="仿宋" w:cs="方正仿宋_GBK"/>
          <w:sz w:val="32"/>
          <w:szCs w:val="32"/>
        </w:rPr>
        <w:t>万元，其中：一般公共预算收入</w:t>
      </w:r>
      <w:r>
        <w:rPr>
          <w:rFonts w:ascii="仿宋" w:hAnsi="仿宋" w:eastAsia="仿宋" w:cs="方正仿宋_GBK"/>
          <w:sz w:val="32"/>
          <w:szCs w:val="32"/>
        </w:rPr>
        <w:t>43.18</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cs="方正仿宋_GBK"/>
          <w:sz w:val="32"/>
          <w:szCs w:val="32"/>
        </w:rPr>
        <w:t>年支出预算</w:t>
      </w:r>
      <w:r>
        <w:rPr>
          <w:rFonts w:ascii="仿宋" w:hAnsi="仿宋" w:eastAsia="仿宋" w:cs="方正仿宋_GBK"/>
          <w:sz w:val="32"/>
          <w:szCs w:val="32"/>
        </w:rPr>
        <w:t>43.18</w:t>
      </w:r>
      <w:r>
        <w:rPr>
          <w:rFonts w:hint="eastAsia" w:ascii="仿宋" w:hAnsi="仿宋" w:eastAsia="仿宋" w:cs="方正仿宋_GBK"/>
          <w:sz w:val="32"/>
          <w:szCs w:val="32"/>
        </w:rPr>
        <w:t>万元，其中基本支出</w:t>
      </w:r>
      <w:r>
        <w:rPr>
          <w:rFonts w:ascii="仿宋" w:hAnsi="仿宋" w:eastAsia="仿宋" w:cs="方正仿宋_GBK"/>
          <w:sz w:val="32"/>
          <w:szCs w:val="32"/>
        </w:rPr>
        <w:t>43.18</w:t>
      </w:r>
      <w:r>
        <w:rPr>
          <w:rFonts w:hint="eastAsia" w:ascii="仿宋" w:hAnsi="仿宋" w:eastAsia="仿宋" w:cs="方正仿宋_GBK"/>
          <w:sz w:val="32"/>
          <w:szCs w:val="32"/>
        </w:rPr>
        <w:t>万元，包括人员经费3</w:t>
      </w:r>
      <w:r>
        <w:rPr>
          <w:rFonts w:ascii="仿宋" w:hAnsi="仿宋" w:eastAsia="仿宋" w:cs="方正仿宋_GBK"/>
          <w:sz w:val="32"/>
          <w:szCs w:val="32"/>
        </w:rPr>
        <w:t>6.5</w:t>
      </w:r>
      <w:r>
        <w:rPr>
          <w:rFonts w:hint="eastAsia" w:ascii="仿宋" w:hAnsi="仿宋" w:eastAsia="仿宋" w:cs="方正仿宋_GBK"/>
          <w:sz w:val="32"/>
          <w:szCs w:val="32"/>
        </w:rPr>
        <w:t>万元和日常公用经费6</w:t>
      </w:r>
      <w:r>
        <w:rPr>
          <w:rFonts w:ascii="仿宋" w:hAnsi="仿宋" w:eastAsia="仿宋" w:cs="方正仿宋_GBK"/>
          <w:sz w:val="32"/>
          <w:szCs w:val="32"/>
        </w:rPr>
        <w:t>.68</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
          <w:bCs/>
          <w:sz w:val="32"/>
          <w:szCs w:val="32"/>
        </w:rPr>
      </w:pPr>
      <w:r>
        <w:rPr>
          <w:rFonts w:ascii="仿宋" w:hAnsi="仿宋" w:eastAsia="仿宋"/>
          <w:sz w:val="32"/>
          <w:szCs w:val="32"/>
        </w:rPr>
        <w:t>2022</w:t>
      </w:r>
      <w:r>
        <w:rPr>
          <w:rFonts w:hint="eastAsia" w:ascii="仿宋" w:hAnsi="仿宋" w:eastAsia="仿宋" w:cs="方正仿宋_GBK"/>
          <w:sz w:val="32"/>
          <w:szCs w:val="32"/>
        </w:rPr>
        <w:t>年预算收支安排</w:t>
      </w:r>
      <w:r>
        <w:rPr>
          <w:rFonts w:ascii="仿宋" w:hAnsi="仿宋" w:eastAsia="仿宋" w:cs="方正仿宋_GBK"/>
          <w:sz w:val="32"/>
          <w:szCs w:val="32"/>
        </w:rPr>
        <w:t>43.18</w:t>
      </w:r>
      <w:r>
        <w:rPr>
          <w:rFonts w:hint="eastAsia" w:ascii="仿宋" w:hAnsi="仿宋" w:eastAsia="仿宋" w:cs="方正仿宋_GBK"/>
          <w:sz w:val="32"/>
          <w:szCs w:val="32"/>
        </w:rPr>
        <w:t>万元，较</w:t>
      </w:r>
      <w:r>
        <w:rPr>
          <w:rFonts w:ascii="仿宋" w:hAnsi="仿宋" w:eastAsia="仿宋"/>
          <w:sz w:val="32"/>
          <w:szCs w:val="32"/>
        </w:rPr>
        <w:t>2021</w:t>
      </w:r>
      <w:r>
        <w:rPr>
          <w:rFonts w:hint="eastAsia" w:ascii="仿宋" w:hAnsi="仿宋" w:eastAsia="仿宋" w:cs="方正仿宋_GBK"/>
          <w:sz w:val="32"/>
          <w:szCs w:val="32"/>
        </w:rPr>
        <w:t>年预算增加1</w:t>
      </w:r>
      <w:r>
        <w:rPr>
          <w:rFonts w:ascii="仿宋" w:hAnsi="仿宋" w:eastAsia="仿宋" w:cs="方正仿宋_GBK"/>
          <w:sz w:val="32"/>
          <w:szCs w:val="32"/>
        </w:rPr>
        <w:t>.12</w:t>
      </w:r>
      <w:r>
        <w:rPr>
          <w:rFonts w:hint="eastAsia" w:ascii="仿宋" w:hAnsi="仿宋" w:eastAsia="仿宋" w:cs="方正仿宋_GBK"/>
          <w:sz w:val="32"/>
          <w:szCs w:val="32"/>
        </w:rPr>
        <w:t>万元</w:t>
      </w:r>
      <w:r>
        <w:rPr>
          <w:rFonts w:hint="eastAsia" w:ascii="仿宋" w:hAnsi="仿宋" w:eastAsia="仿宋" w:cs="仿宋_GB2312"/>
          <w:sz w:val="32"/>
          <w:szCs w:val="32"/>
        </w:rPr>
        <w:t>，原因：正常调资所致。</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firstLineChars="200"/>
        <w:rPr>
          <w:rFonts w:ascii="仿宋" w:hAnsi="仿宋" w:eastAsia="仿宋"/>
          <w:bCs/>
          <w:sz w:val="32"/>
          <w:szCs w:val="32"/>
        </w:rPr>
      </w:pPr>
      <w:r>
        <w:rPr>
          <w:rFonts w:hint="eastAsia" w:ascii="仿宋_GB2312" w:eastAsia="仿宋_GB2312" w:cs="仿宋_GB2312"/>
          <w:sz w:val="32"/>
          <w:szCs w:val="32"/>
        </w:rPr>
        <w:t>日常公用经费安排</w:t>
      </w:r>
      <w:r>
        <w:rPr>
          <w:rFonts w:ascii="仿宋_GB2312" w:eastAsia="仿宋_GB2312" w:cs="仿宋_GB2312"/>
          <w:sz w:val="32"/>
          <w:szCs w:val="32"/>
        </w:rPr>
        <w:t>6.68</w:t>
      </w:r>
      <w:r>
        <w:rPr>
          <w:rFonts w:hint="eastAsia" w:ascii="仿宋_GB2312" w:eastAsia="仿宋_GB2312" w:cs="仿宋_GB2312"/>
          <w:sz w:val="32"/>
          <w:szCs w:val="32"/>
        </w:rPr>
        <w:t>万元万元，包括：办公费、差旅费、会议费、</w:t>
      </w:r>
      <w:r>
        <w:rPr>
          <w:rFonts w:hint="eastAsia" w:ascii="仿宋" w:hAnsi="仿宋" w:eastAsia="仿宋"/>
          <w:bCs/>
          <w:sz w:val="32"/>
          <w:szCs w:val="32"/>
        </w:rPr>
        <w:t>公务交通补贴等日常运行支出。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_GB2312" w:eastAsia="仿宋_GB2312" w:cs="仿宋_GB2312"/>
          <w:sz w:val="32"/>
          <w:szCs w:val="32"/>
        </w:rPr>
        <w:t>2022年度“三公”预算支出0万元，其中，因公出国（境）费0元，安排公务用车维护费0元，（其中公务用车购置费0元，公务用车运行维护费0万元），公务接等费0万元。与2021年持平。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以习近平新时代中国特色社会主义思想为指导，深入学习贯彻习近平总书记系列重要讲话，准确把握宏观经济发展形势和中央、省、市相关政策，紧紧围绕</w:t>
      </w:r>
      <w:r>
        <w:rPr>
          <w:rFonts w:hint="eastAsia" w:ascii="仿宋" w:hAnsi="仿宋" w:eastAsia="仿宋"/>
          <w:sz w:val="32"/>
        </w:rPr>
        <w:t>县</w:t>
      </w:r>
      <w:r>
        <w:rPr>
          <w:rFonts w:ascii="仿宋" w:hAnsi="仿宋" w:eastAsia="仿宋"/>
          <w:sz w:val="32"/>
        </w:rPr>
        <w:t>委、</w:t>
      </w:r>
      <w:r>
        <w:rPr>
          <w:rFonts w:hint="eastAsia" w:ascii="仿宋" w:hAnsi="仿宋" w:eastAsia="仿宋"/>
          <w:sz w:val="32"/>
        </w:rPr>
        <w:t>县</w:t>
      </w:r>
      <w:r>
        <w:rPr>
          <w:rFonts w:ascii="仿宋" w:hAnsi="仿宋" w:eastAsia="仿宋"/>
          <w:sz w:val="32"/>
        </w:rPr>
        <w:t>政府中心工作，坚持“</w:t>
      </w:r>
      <w:r>
        <w:rPr>
          <w:rFonts w:hint="eastAsia" w:ascii="仿宋" w:hAnsi="仿宋" w:eastAsia="仿宋"/>
          <w:sz w:val="32"/>
        </w:rPr>
        <w:t>六型三化</w:t>
      </w:r>
      <w:r>
        <w:rPr>
          <w:rFonts w:ascii="仿宋" w:hAnsi="仿宋" w:eastAsia="仿宋"/>
          <w:sz w:val="32"/>
        </w:rPr>
        <w:t>”工作思路，充分履行职能发挥作用，切实增强服务意识、创新工作载体、提高服务能力，努力促进非公有制经济健康发展和非公有制经济人士健康成长，为加快建设宜居宜业宜游的富强邯郸、美丽邯郸贡献力量。</w:t>
      </w:r>
    </w:p>
    <w:p>
      <w:pPr>
        <w:pStyle w:val="25"/>
      </w:pP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（一）参政议政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1、发挥政治引领作用,促进非公有制经济人士健康成长</w:t>
      </w:r>
    </w:p>
    <w:p>
      <w:pPr>
        <w:pStyle w:val="36"/>
        <w:rPr>
          <w:rFonts w:ascii="仿宋" w:hAnsi="仿宋" w:eastAsia="仿宋"/>
          <w:sz w:val="32"/>
          <w:lang w:eastAsia="zh-CN"/>
        </w:rPr>
      </w:pPr>
      <w:r>
        <w:rPr>
          <w:rFonts w:ascii="仿宋" w:hAnsi="仿宋" w:eastAsia="仿宋"/>
          <w:sz w:val="32"/>
          <w:lang w:eastAsia="zh-CN"/>
        </w:rPr>
        <w:t xml:space="preserve">     （1）继续开展理想信念教育实践活动。</w:t>
      </w:r>
    </w:p>
    <w:p>
      <w:pPr>
        <w:pStyle w:val="36"/>
        <w:rPr>
          <w:rFonts w:ascii="仿宋" w:hAnsi="仿宋" w:eastAsia="仿宋"/>
          <w:sz w:val="32"/>
          <w:lang w:eastAsia="zh-CN"/>
        </w:rPr>
      </w:pPr>
      <w:r>
        <w:rPr>
          <w:rFonts w:ascii="仿宋" w:hAnsi="仿宋" w:eastAsia="仿宋"/>
          <w:sz w:val="32"/>
          <w:lang w:eastAsia="zh-CN"/>
        </w:rPr>
        <w:t xml:space="preserve">     （2）开展典型宣传活动。</w:t>
      </w:r>
    </w:p>
    <w:p>
      <w:pPr>
        <w:pStyle w:val="36"/>
        <w:rPr>
          <w:rFonts w:ascii="仿宋" w:hAnsi="仿宋" w:eastAsia="仿宋"/>
          <w:sz w:val="32"/>
          <w:lang w:eastAsia="zh-CN"/>
        </w:rPr>
      </w:pPr>
      <w:r>
        <w:rPr>
          <w:rFonts w:ascii="仿宋" w:hAnsi="仿宋" w:eastAsia="仿宋"/>
          <w:sz w:val="32"/>
          <w:lang w:eastAsia="zh-CN"/>
        </w:rPr>
        <w:t xml:space="preserve">     （3）搞好调查研究，提高参政议政水平。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2、搭建经济服务平台,助推非公有制经济健康发展</w:t>
      </w:r>
    </w:p>
    <w:p>
      <w:pPr>
        <w:pStyle w:val="36"/>
        <w:rPr>
          <w:rFonts w:ascii="仿宋" w:hAnsi="仿宋" w:eastAsia="仿宋"/>
          <w:sz w:val="32"/>
          <w:lang w:eastAsia="zh-CN"/>
        </w:rPr>
      </w:pPr>
      <w:r>
        <w:rPr>
          <w:rFonts w:ascii="仿宋" w:hAnsi="仿宋" w:eastAsia="仿宋"/>
          <w:sz w:val="32"/>
          <w:lang w:eastAsia="zh-CN"/>
        </w:rPr>
        <w:t xml:space="preserve">     （1）做好政策解读。</w:t>
      </w:r>
    </w:p>
    <w:p>
      <w:pPr>
        <w:pStyle w:val="36"/>
        <w:rPr>
          <w:rFonts w:ascii="仿宋" w:hAnsi="仿宋" w:eastAsia="仿宋"/>
          <w:sz w:val="32"/>
          <w:lang w:eastAsia="zh-CN"/>
        </w:rPr>
      </w:pPr>
      <w:r>
        <w:rPr>
          <w:rFonts w:ascii="仿宋" w:hAnsi="仿宋" w:eastAsia="仿宋"/>
          <w:sz w:val="32"/>
          <w:lang w:eastAsia="zh-CN"/>
        </w:rPr>
        <w:t xml:space="preserve">     （2）搭建交流平台。</w:t>
      </w:r>
    </w:p>
    <w:p>
      <w:pPr>
        <w:pStyle w:val="36"/>
        <w:rPr>
          <w:rFonts w:ascii="仿宋" w:hAnsi="仿宋" w:eastAsia="仿宋"/>
          <w:sz w:val="32"/>
          <w:lang w:eastAsia="zh-CN"/>
        </w:rPr>
      </w:pPr>
      <w:r>
        <w:rPr>
          <w:rFonts w:ascii="仿宋" w:hAnsi="仿宋" w:eastAsia="仿宋"/>
          <w:sz w:val="32"/>
          <w:lang w:eastAsia="zh-CN"/>
        </w:rPr>
        <w:t xml:space="preserve">     （3）优化提升服务。</w:t>
      </w:r>
    </w:p>
    <w:p>
      <w:pPr>
        <w:pStyle w:val="36"/>
        <w:rPr>
          <w:rFonts w:ascii="仿宋" w:hAnsi="仿宋" w:eastAsia="仿宋"/>
          <w:sz w:val="32"/>
          <w:lang w:eastAsia="zh-CN"/>
        </w:rPr>
      </w:pPr>
      <w:r>
        <w:rPr>
          <w:rFonts w:ascii="仿宋" w:hAnsi="仿宋" w:eastAsia="仿宋"/>
          <w:sz w:val="32"/>
          <w:lang w:eastAsia="zh-CN"/>
        </w:rPr>
        <w:t xml:space="preserve">     （4）引导非公企业转型。</w:t>
      </w:r>
    </w:p>
    <w:p>
      <w:pPr>
        <w:pStyle w:val="36"/>
        <w:rPr>
          <w:rFonts w:ascii="仿宋" w:hAnsi="仿宋" w:eastAsia="仿宋"/>
          <w:sz w:val="32"/>
          <w:lang w:eastAsia="zh-CN"/>
        </w:rPr>
      </w:pPr>
      <w:r>
        <w:rPr>
          <w:rFonts w:ascii="仿宋" w:hAnsi="仿宋" w:eastAsia="仿宋"/>
          <w:sz w:val="32"/>
          <w:lang w:eastAsia="zh-CN"/>
        </w:rPr>
        <w:t xml:space="preserve">     （5）继续实施精准扶贫。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72"/>
        <w:rPr>
          <w:rFonts w:ascii="仿宋" w:hAnsi="仿宋" w:eastAsia="仿宋"/>
          <w:sz w:val="32"/>
        </w:rPr>
      </w:pPr>
      <w:r>
        <w:rPr>
          <w:rFonts w:ascii="仿宋" w:hAnsi="仿宋" w:eastAsia="仿宋"/>
          <w:sz w:val="32"/>
        </w:rPr>
        <w:t>（二）组织建设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1、加强会员队伍建设。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2、加强县级工商联建设。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 xml:space="preserve"> 3、加强商会改革和发展工作。</w:t>
      </w:r>
    </w:p>
    <w:p>
      <w:pPr>
        <w:pStyle w:val="36"/>
        <w:ind w:firstLine="1104" w:firstLineChars="345"/>
        <w:rPr>
          <w:rFonts w:ascii="仿宋" w:hAnsi="仿宋" w:eastAsia="仿宋"/>
          <w:sz w:val="32"/>
          <w:lang w:eastAsia="zh-CN"/>
        </w:rPr>
      </w:pPr>
      <w:r>
        <w:rPr>
          <w:rFonts w:ascii="仿宋" w:hAnsi="仿宋" w:eastAsia="仿宋"/>
          <w:sz w:val="32"/>
          <w:lang w:eastAsia="zh-CN"/>
        </w:rPr>
        <w:t>4、深化工商联改革。</w:t>
      </w:r>
    </w:p>
    <w:p>
      <w:pPr>
        <w:pStyle w:val="26"/>
      </w:pP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ascii="仿宋" w:hAnsi="仿宋" w:eastAsia="仿宋"/>
          <w:sz w:val="32"/>
          <w:szCs w:val="32"/>
        </w:rPr>
      </w:pPr>
      <w:r>
        <w:rPr>
          <w:rFonts w:ascii="仿宋" w:hAnsi="仿宋" w:eastAsia="仿宋"/>
          <w:sz w:val="32"/>
          <w:szCs w:val="32"/>
        </w:rPr>
        <w:t>1、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72"/>
        <w:rPr>
          <w:rFonts w:ascii="仿宋" w:hAnsi="仿宋" w:eastAsia="仿宋"/>
          <w:color w:val="000000"/>
          <w:sz w:val="32"/>
          <w:szCs w:val="32"/>
        </w:rPr>
      </w:pPr>
      <w:r>
        <w:rPr>
          <w:rFonts w:ascii="仿宋" w:hAnsi="仿宋" w:eastAsia="仿宋"/>
          <w:sz w:val="32"/>
          <w:szCs w:val="32"/>
        </w:rPr>
        <w:t>2、结合有关部门，针对全</w:t>
      </w:r>
      <w:r>
        <w:rPr>
          <w:rFonts w:hint="eastAsia" w:ascii="仿宋" w:hAnsi="仿宋" w:eastAsia="仿宋"/>
          <w:sz w:val="32"/>
          <w:szCs w:val="32"/>
        </w:rPr>
        <w:t>县</w:t>
      </w:r>
      <w:r>
        <w:rPr>
          <w:rFonts w:ascii="仿宋" w:hAnsi="仿宋" w:eastAsia="仿宋"/>
          <w:sz w:val="32"/>
          <w:szCs w:val="32"/>
        </w:rP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ascii="仿宋" w:hAnsi="仿宋" w:eastAsia="仿宋"/>
          <w:sz w:val="32"/>
          <w:szCs w:val="32"/>
        </w:rPr>
        <w:t>县</w:t>
      </w:r>
      <w:r>
        <w:rPr>
          <w:rFonts w:ascii="仿宋" w:hAnsi="仿宋" w:eastAsia="仿宋"/>
          <w:sz w:val="32"/>
          <w:szCs w:val="32"/>
        </w:rPr>
        <w:t>委、</w:t>
      </w:r>
      <w:r>
        <w:rPr>
          <w:rFonts w:hint="eastAsia" w:ascii="仿宋" w:hAnsi="仿宋" w:eastAsia="仿宋"/>
          <w:sz w:val="32"/>
          <w:szCs w:val="32"/>
        </w:rPr>
        <w:t>县</w:t>
      </w:r>
      <w:r>
        <w:rPr>
          <w:rFonts w:ascii="仿宋" w:hAnsi="仿宋" w:eastAsia="仿宋"/>
          <w:sz w:val="32"/>
          <w:szCs w:val="32"/>
        </w:rPr>
        <w:t>政府及时反映民营企业家的意见和诉求，帮助他们解决思想上的困惑和发展中的困难。主动加强与有关部门的沟通联系，拓宽非公有制经济人士参政议政渠道，为非公有制经济人士参政议政营造一个良好的环境。</w:t>
      </w:r>
    </w:p>
    <w:p>
      <w:pPr>
        <w:pStyle w:val="36"/>
        <w:spacing w:line="540" w:lineRule="exact"/>
        <w:ind w:firstLine="600"/>
        <w:rPr>
          <w:rFonts w:ascii="仿宋" w:hAnsi="仿宋" w:eastAsia="仿宋"/>
          <w:color w:val="000000"/>
          <w:sz w:val="32"/>
          <w:szCs w:val="32"/>
          <w:lang w:eastAsia="zh-CN"/>
        </w:rPr>
      </w:pPr>
      <w:r>
        <w:rPr>
          <w:rFonts w:ascii="仿宋" w:hAnsi="仿宋" w:eastAsia="仿宋"/>
          <w:color w:val="000000"/>
          <w:sz w:val="32"/>
          <w:szCs w:val="32"/>
          <w:lang w:eastAsia="zh-CN"/>
        </w:rPr>
        <w:t>3、</w:t>
      </w:r>
      <w:r>
        <w:rPr>
          <w:rFonts w:ascii="仿宋" w:hAnsi="仿宋" w:eastAsia="仿宋"/>
          <w:sz w:val="32"/>
          <w:szCs w:val="32"/>
          <w:lang w:eastAsia="zh-CN"/>
        </w:rPr>
        <w:t>继续建设银企对接平台，召开银企对接会，邀请部分银行深入企业座谈，探讨、拓宽融资渠道，为企业融资解难题。搭建法律咨询维权服务平台，加强与</w:t>
      </w:r>
      <w:r>
        <w:rPr>
          <w:rFonts w:hint="eastAsia" w:ascii="仿宋" w:hAnsi="仿宋" w:eastAsia="仿宋"/>
          <w:sz w:val="32"/>
          <w:szCs w:val="32"/>
          <w:lang w:eastAsia="zh-CN"/>
        </w:rPr>
        <w:t>县</w:t>
      </w:r>
      <w:r>
        <w:rPr>
          <w:rFonts w:ascii="仿宋" w:hAnsi="仿宋" w:eastAsia="仿宋"/>
          <w:sz w:val="32"/>
          <w:szCs w:val="32"/>
          <w:lang w:eastAsia="zh-CN"/>
        </w:rPr>
        <w:t>法院、</w:t>
      </w:r>
      <w:r>
        <w:rPr>
          <w:rFonts w:hint="eastAsia" w:ascii="仿宋" w:hAnsi="仿宋" w:eastAsia="仿宋"/>
          <w:sz w:val="32"/>
          <w:szCs w:val="32"/>
          <w:lang w:eastAsia="zh-CN"/>
        </w:rPr>
        <w:t>县</w:t>
      </w:r>
      <w:r>
        <w:rPr>
          <w:rFonts w:ascii="仿宋" w:hAnsi="仿宋" w:eastAsia="仿宋"/>
          <w:sz w:val="32"/>
          <w:szCs w:val="32"/>
          <w:lang w:eastAsia="zh-CN"/>
        </w:rPr>
        <w:t>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ascii="仿宋" w:hAnsi="仿宋" w:eastAsia="仿宋"/>
          <w:color w:val="000000"/>
          <w:sz w:val="32"/>
          <w:szCs w:val="32"/>
          <w:lang w:eastAsia="zh-CN"/>
        </w:rPr>
        <w:t>搭建人才资</w:t>
      </w:r>
      <w:r>
        <w:rPr>
          <w:rFonts w:ascii="仿宋" w:hAnsi="仿宋" w:eastAsia="仿宋"/>
          <w:sz w:val="32"/>
          <w:szCs w:val="32"/>
          <w:lang w:eastAsia="zh-CN"/>
        </w:rPr>
        <w:t>源招聘平台，与人社局、电视台等部门和单位合作，有效壮大民营企业人才队伍切实解决人力资源短板问题。</w:t>
      </w:r>
      <w:r>
        <w:rPr>
          <w:rFonts w:ascii="仿宋" w:hAnsi="仿宋" w:eastAsia="仿宋"/>
          <w:color w:val="000000"/>
          <w:sz w:val="32"/>
          <w:szCs w:val="32"/>
          <w:lang w:eastAsia="zh-CN"/>
        </w:rPr>
        <w:t>搭建</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商回乡投资平台，积极发挥异地商会作用，召开异地商会联谊会，组织在外</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商回乡投资创业，助力全市经济发展。</w:t>
      </w:r>
    </w:p>
    <w:p>
      <w:pPr>
        <w:pStyle w:val="36"/>
        <w:spacing w:line="540" w:lineRule="exact"/>
        <w:ind w:firstLine="600"/>
        <w:rPr>
          <w:rFonts w:ascii="仿宋" w:hAnsi="仿宋" w:eastAsia="仿宋"/>
          <w:sz w:val="32"/>
          <w:szCs w:val="32"/>
          <w:lang w:eastAsia="zh-CN"/>
        </w:rPr>
      </w:pPr>
      <w:r>
        <w:rPr>
          <w:rFonts w:ascii="仿宋" w:hAnsi="仿宋" w:eastAsia="仿宋"/>
          <w:color w:val="000000"/>
          <w:sz w:val="32"/>
          <w:szCs w:val="32"/>
          <w:lang w:eastAsia="zh-CN"/>
        </w:rPr>
        <w:t>4、</w:t>
      </w:r>
      <w:r>
        <w:rPr>
          <w:rFonts w:ascii="仿宋" w:hAnsi="仿宋" w:eastAsia="仿宋"/>
          <w:sz w:val="32"/>
          <w:szCs w:val="32"/>
          <w:lang w:eastAsia="zh-CN"/>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547成安县工商业联合会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成安县工商业联合会（含所属单位）上年末固定资产金额为0.3万元（详见下表）。本年度拟购置固定资产总额为0.00万元，已按要求列入政府采购预算，详见政府采购预算表。</w:t>
      </w:r>
    </w:p>
    <w:tbl>
      <w:tblPr>
        <w:tblStyle w:val="8"/>
        <w:tblW w:w="9287" w:type="dxa"/>
        <w:tblInd w:w="-106" w:type="dxa"/>
        <w:tblLayout w:type="fixed"/>
        <w:tblCellMar>
          <w:top w:w="0" w:type="dxa"/>
          <w:left w:w="108" w:type="dxa"/>
          <w:bottom w:w="0" w:type="dxa"/>
          <w:right w:w="108" w:type="dxa"/>
        </w:tblCellMar>
      </w:tblPr>
      <w:tblGrid>
        <w:gridCol w:w="4242"/>
        <w:gridCol w:w="877"/>
        <w:gridCol w:w="4168"/>
      </w:tblGrid>
      <w:tr>
        <w:tblPrEx>
          <w:tblCellMar>
            <w:top w:w="0" w:type="dxa"/>
            <w:left w:w="108" w:type="dxa"/>
            <w:bottom w:w="0" w:type="dxa"/>
            <w:right w:w="108" w:type="dxa"/>
          </w:tblCellMar>
        </w:tblPrEx>
        <w:trPr>
          <w:trHeight w:val="705" w:hRule="atLeast"/>
        </w:trPr>
        <w:tc>
          <w:tcPr>
            <w:tcW w:w="9287" w:type="dxa"/>
            <w:gridSpan w:val="3"/>
            <w:tcBorders>
              <w:top w:val="nil"/>
              <w:left w:val="nil"/>
              <w:bottom w:val="nil"/>
              <w:right w:val="nil"/>
            </w:tcBorders>
            <w:vAlign w:val="center"/>
          </w:tcPr>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5119"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编制部门：成安县工商业联合会</w:t>
            </w:r>
          </w:p>
        </w:tc>
        <w:tc>
          <w:tcPr>
            <w:tcW w:w="4168"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p>
        </w:tc>
      </w:tr>
      <w:tr>
        <w:tblPrEx>
          <w:tblCellMar>
            <w:top w:w="0" w:type="dxa"/>
            <w:left w:w="108" w:type="dxa"/>
            <w:bottom w:w="0" w:type="dxa"/>
            <w:right w:w="108" w:type="dxa"/>
          </w:tblCellMar>
        </w:tblPrEx>
        <w:trPr>
          <w:trHeight w:val="645" w:hRule="atLeast"/>
        </w:trPr>
        <w:tc>
          <w:tcPr>
            <w:tcW w:w="4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项目</w:t>
            </w:r>
          </w:p>
        </w:tc>
        <w:tc>
          <w:tcPr>
            <w:tcW w:w="877"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4168"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87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cs="宋体"/>
              </w:rPr>
            </w:pPr>
            <w:r>
              <w:rPr>
                <w:rFonts w:hint="eastAsia" w:ascii="华文楷体" w:hAnsi="华文楷体" w:eastAsia="华文楷体" w:cs="宋体"/>
              </w:rPr>
              <w:t>0.</w:t>
            </w:r>
            <w:r>
              <w:rPr>
                <w:rFonts w:ascii="华文楷体" w:hAnsi="华文楷体" w:eastAsia="华文楷体" w:cs="宋体"/>
              </w:rPr>
              <w:t>3</w:t>
            </w:r>
            <w:r>
              <w:rPr>
                <w:rFonts w:hint="eastAsia" w:ascii="华文楷体" w:hAnsi="华文楷体" w:eastAsia="华文楷体" w:cs="宋体"/>
              </w:rPr>
              <w:t>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sz w:val="22"/>
              </w:rPr>
              <w:t>其中：办公用房（平方米）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rPr>
              <w:t>在政府集中办公</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4</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cs="仿宋_GB2312"/>
              </w:rPr>
              <w:t>0.</w:t>
            </w:r>
            <w:r>
              <w:rPr>
                <w:rFonts w:ascii="华文楷体" w:hAnsi="华文楷体" w:eastAsia="华文楷体" w:cs="仿宋_GB2312"/>
              </w:rPr>
              <w:t>3</w:t>
            </w:r>
            <w:r>
              <w:rPr>
                <w:rFonts w:hint="eastAsia" w:ascii="华文楷体" w:hAnsi="华文楷体" w:eastAsia="华文楷体" w:cs="仿宋_GB2312"/>
              </w:rPr>
              <w:t>万元</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B5E3D"/>
    <w:multiLevelType w:val="multilevel"/>
    <w:tmpl w:val="19BB5E3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45DE4"/>
    <w:rsid w:val="0002120D"/>
    <w:rsid w:val="000633D7"/>
    <w:rsid w:val="00140EF1"/>
    <w:rsid w:val="003528B3"/>
    <w:rsid w:val="003F2E65"/>
    <w:rsid w:val="00945DE4"/>
    <w:rsid w:val="009F7A5F"/>
    <w:rsid w:val="00A40D80"/>
    <w:rsid w:val="00D9680D"/>
    <w:rsid w:val="65277B7D"/>
    <w:rsid w:val="732B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 w:type="paragraph" w:customStyle="1" w:styleId="35">
    <w:name w:val="列出段落1"/>
    <w:basedOn w:val="1"/>
    <w:unhideWhenUsed/>
    <w:qFormat/>
    <w:uiPriority w:val="99"/>
    <w:pPr>
      <w:widowControl w:val="0"/>
      <w:ind w:firstLine="420" w:firstLineChars="200"/>
      <w:jc w:val="both"/>
    </w:pPr>
    <w:rPr>
      <w:rFonts w:ascii="Calibri" w:hAnsi="Calibri" w:eastAsia="宋体" w:cs="黑体"/>
      <w:kern w:val="2"/>
      <w:sz w:val="21"/>
      <w:szCs w:val="22"/>
      <w:lang w:eastAsia="zh-CN"/>
    </w:rPr>
  </w:style>
  <w:style w:type="paragraph" w:customStyle="1" w:styleId="36">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2022-03-18T11:43:11Z</dcterms:created>
  <dcterms:modified xsi:type="dcterms:W3CDTF">2022-03-18T03:43:11Z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2022-03-18T11:43:12Z</dcterms:created>
  <dcterms:modified xsi:type="dcterms:W3CDTF">2022-03-18T03:43:12Z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5EE82B-F234-445F-AB21-86FBD00B13D7}">
  <ds:schemaRefs/>
</ds:datastoreItem>
</file>

<file path=customXml/itemProps10.xml><?xml version="1.0" encoding="utf-8"?>
<ds:datastoreItem xmlns:ds="http://schemas.openxmlformats.org/officeDocument/2006/customXml" ds:itemID="{941133FC-7EA4-42B6-BEE9-E3BC72070E85}">
  <ds:schemaRefs/>
</ds:datastoreItem>
</file>

<file path=customXml/itemProps2.xml><?xml version="1.0" encoding="utf-8"?>
<ds:datastoreItem xmlns:ds="http://schemas.openxmlformats.org/officeDocument/2006/customXml" ds:itemID="{7E2484BA-7CFA-4B5A-A2DC-E348F336F78C}">
  <ds:schemaRefs/>
</ds:datastoreItem>
</file>

<file path=customXml/itemProps3.xml><?xml version="1.0" encoding="utf-8"?>
<ds:datastoreItem xmlns:ds="http://schemas.openxmlformats.org/officeDocument/2006/customXml" ds:itemID="{3C18505B-24DB-4323-A9C2-96F0160F0464}">
  <ds:schemaRefs/>
</ds:datastoreItem>
</file>

<file path=customXml/itemProps4.xml><?xml version="1.0" encoding="utf-8"?>
<ds:datastoreItem xmlns:ds="http://schemas.openxmlformats.org/officeDocument/2006/customXml" ds:itemID="{8CCCA41F-50E2-40E0-B083-322037B370C6}">
  <ds:schemaRefs/>
</ds:datastoreItem>
</file>

<file path=customXml/itemProps5.xml><?xml version="1.0" encoding="utf-8"?>
<ds:datastoreItem xmlns:ds="http://schemas.openxmlformats.org/officeDocument/2006/customXml" ds:itemID="{DF828A4D-3E40-42BD-8CFA-67030B794A77}">
  <ds:schemaRefs/>
</ds:datastoreItem>
</file>

<file path=customXml/itemProps6.xml><?xml version="1.0" encoding="utf-8"?>
<ds:datastoreItem xmlns:ds="http://schemas.openxmlformats.org/officeDocument/2006/customXml" ds:itemID="{E2644B7C-536D-44ED-9931-27549B0873CC}">
  <ds:schemaRefs/>
</ds:datastoreItem>
</file>

<file path=customXml/itemProps7.xml><?xml version="1.0" encoding="utf-8"?>
<ds:datastoreItem xmlns:ds="http://schemas.openxmlformats.org/officeDocument/2006/customXml" ds:itemID="{866131BB-135C-4C73-B5D4-95803860B829}">
  <ds:schemaRefs/>
</ds:datastoreItem>
</file>

<file path=customXml/itemProps8.xml><?xml version="1.0" encoding="utf-8"?>
<ds:datastoreItem xmlns:ds="http://schemas.openxmlformats.org/officeDocument/2006/customXml" ds:itemID="{71D3C135-DAC7-4D08-B629-F93936C3CA91}">
  <ds:schemaRefs/>
</ds:datastoreItem>
</file>

<file path=customXml/itemProps9.xml><?xml version="1.0" encoding="utf-8"?>
<ds:datastoreItem xmlns:ds="http://schemas.openxmlformats.org/officeDocument/2006/customXml" ds:itemID="{22E42FFD-E40C-4758-9FD6-D99F0CCD198E}">
  <ds:schemaRefs/>
</ds:datastoreItem>
</file>

<file path=docProps/app.xml><?xml version="1.0" encoding="utf-8"?>
<Properties xmlns="http://schemas.openxmlformats.org/officeDocument/2006/extended-properties" xmlns:vt="http://schemas.openxmlformats.org/officeDocument/2006/docPropsVTypes">
  <Template>Normal</Template>
  <Pages>25</Pages>
  <Words>1783</Words>
  <Characters>10167</Characters>
  <Lines>84</Lines>
  <Paragraphs>23</Paragraphs>
  <TotalTime>6</TotalTime>
  <ScaleCrop>false</ScaleCrop>
  <LinksUpToDate>false</LinksUpToDate>
  <CharactersWithSpaces>11927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2022-03-18T11:43:00Z</dcterms:created>
  <dc:creator>Administrator</dc:creator>
  <cp:lastModifiedBy>WPS_1657181579</cp:lastModifiedBy>
  <dcterms:modified xsi:type="dcterms:W3CDTF">2024-01-18T10:14:46Z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88C9D7DC69B04B88B7298E3A14EF6ABC</vt:lpwstr>
  </property>
</Properties>
</file>