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黑体" w:hAnsi="黑体" w:eastAsia="黑体" w:cs="黑体"/>
          <w:b w:val="0"/>
          <w:bCs w:val="0"/>
          <w:sz w:val="44"/>
          <w:szCs w:val="44"/>
        </w:rPr>
      </w:pPr>
      <w:r>
        <w:rPr>
          <w:rFonts w:hint="eastAsia" w:ascii="黑体" w:hAnsi="黑体" w:eastAsia="黑体" w:cs="黑体"/>
          <w:b w:val="0"/>
          <w:bCs w:val="0"/>
          <w:sz w:val="44"/>
          <w:szCs w:val="44"/>
        </w:rPr>
        <w:t>成安县文化广电和旅游局</w:t>
      </w:r>
      <w:r>
        <w:rPr>
          <w:rFonts w:hint="eastAsia" w:ascii="黑体" w:hAnsi="黑体" w:eastAsia="黑体" w:cs="黑体"/>
          <w:b w:val="0"/>
          <w:bCs w:val="0"/>
          <w:sz w:val="44"/>
          <w:szCs w:val="44"/>
          <w:lang w:eastAsia="zh-CN"/>
        </w:rPr>
        <w:t>所属单位</w:t>
      </w:r>
      <w:r>
        <w:rPr>
          <w:rFonts w:hint="eastAsia" w:ascii="黑体" w:hAnsi="黑体" w:eastAsia="黑体" w:cs="黑体"/>
          <w:b w:val="0"/>
          <w:bCs w:val="0"/>
          <w:color w:val="000000"/>
          <w:sz w:val="44"/>
          <w:szCs w:val="44"/>
        </w:rPr>
        <w:t>2022年</w:t>
      </w:r>
      <w:r>
        <w:rPr>
          <w:rFonts w:hint="eastAsia" w:ascii="黑体" w:hAnsi="黑体" w:eastAsia="黑体" w:cs="黑体"/>
          <w:b w:val="0"/>
          <w:bCs w:val="0"/>
          <w:color w:val="000000"/>
          <w:sz w:val="44"/>
          <w:szCs w:val="44"/>
          <w:lang w:eastAsia="zh-CN"/>
        </w:rPr>
        <w:t>单位</w:t>
      </w:r>
      <w:r>
        <w:rPr>
          <w:rFonts w:hint="eastAsia" w:ascii="黑体" w:hAnsi="黑体" w:eastAsia="黑体" w:cs="黑体"/>
          <w:b w:val="0"/>
          <w:bCs w:val="0"/>
          <w:color w:val="000000"/>
          <w:sz w:val="44"/>
          <w:szCs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36</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37</w:t>
      </w:r>
      <w:r>
        <w:fldChar w:fldCharType="end"/>
      </w:r>
      <w:r>
        <w:fldChar w:fldCharType="end"/>
      </w:r>
    </w:p>
    <w:p>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一、成安县文化广电和旅游局本级收支预算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821001成安县文化广电和旅游局本级</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521.48</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r>
              <w:t>483.66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521.48</w:t>
            </w:r>
          </w:p>
        </w:tc>
        <w:tc>
          <w:tcPr>
            <w:tcW w:w="4535" w:type="dxa"/>
            <w:vAlign w:val="center"/>
          </w:tcPr>
          <w:p>
            <w:pPr>
              <w:pStyle w:val="18"/>
            </w:pPr>
            <w:r>
              <w:t>本年支出合计</w:t>
            </w:r>
          </w:p>
        </w:tc>
        <w:tc>
          <w:tcPr>
            <w:tcW w:w="2126" w:type="dxa"/>
            <w:vAlign w:val="center"/>
          </w:tcPr>
          <w:p>
            <w:pPr>
              <w:pStyle w:val="19"/>
            </w:pPr>
            <w:r>
              <w:t>521.48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521.48</w:t>
            </w:r>
          </w:p>
        </w:tc>
        <w:tc>
          <w:tcPr>
            <w:tcW w:w="4535" w:type="dxa"/>
            <w:vAlign w:val="center"/>
          </w:tcPr>
          <w:p>
            <w:pPr>
              <w:pStyle w:val="18"/>
            </w:pPr>
            <w:r>
              <w:t>支出总计</w:t>
            </w:r>
          </w:p>
        </w:tc>
        <w:tc>
          <w:tcPr>
            <w:tcW w:w="2126" w:type="dxa"/>
            <w:vAlign w:val="center"/>
          </w:tcPr>
          <w:p>
            <w:pPr>
              <w:pStyle w:val="19"/>
            </w:pPr>
            <w:r>
              <w:t>521.48</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821001成安县文化广电和旅游局本级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521.48</w:t>
            </w:r>
          </w:p>
        </w:tc>
        <w:tc>
          <w:tcPr>
            <w:tcW w:w="1134" w:type="dxa"/>
            <w:vAlign w:val="center"/>
          </w:tcPr>
          <w:p>
            <w:pPr>
              <w:pStyle w:val="19"/>
            </w:pPr>
            <w:r>
              <w:t>521.48</w:t>
            </w:r>
          </w:p>
        </w:tc>
        <w:tc>
          <w:tcPr>
            <w:tcW w:w="1134" w:type="dxa"/>
            <w:vAlign w:val="center"/>
          </w:tcPr>
          <w:p>
            <w:pPr>
              <w:pStyle w:val="19"/>
            </w:pPr>
            <w:r>
              <w:t>521.48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207</w:t>
            </w:r>
          </w:p>
        </w:tc>
        <w:tc>
          <w:tcPr>
            <w:tcW w:w="1559" w:type="dxa"/>
            <w:vAlign w:val="center"/>
          </w:tcPr>
          <w:p>
            <w:pPr>
              <w:pStyle w:val="16"/>
            </w:pPr>
            <w:r>
              <w:t>文化旅游体育与传媒支出</w:t>
            </w:r>
          </w:p>
        </w:tc>
        <w:tc>
          <w:tcPr>
            <w:tcW w:w="1134" w:type="dxa"/>
            <w:vAlign w:val="center"/>
          </w:tcPr>
          <w:p>
            <w:pPr>
              <w:pStyle w:val="15"/>
            </w:pPr>
            <w:r>
              <w:t>483.66</w:t>
            </w:r>
          </w:p>
        </w:tc>
        <w:tc>
          <w:tcPr>
            <w:tcW w:w="1134" w:type="dxa"/>
            <w:vAlign w:val="center"/>
          </w:tcPr>
          <w:p>
            <w:pPr>
              <w:pStyle w:val="15"/>
            </w:pPr>
            <w:r>
              <w:t>483.66</w:t>
            </w:r>
          </w:p>
        </w:tc>
        <w:tc>
          <w:tcPr>
            <w:tcW w:w="1134" w:type="dxa"/>
            <w:vAlign w:val="center"/>
          </w:tcPr>
          <w:p>
            <w:pPr>
              <w:pStyle w:val="15"/>
            </w:pPr>
            <w:r>
              <w:t>483.66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20701</w:t>
            </w:r>
          </w:p>
        </w:tc>
        <w:tc>
          <w:tcPr>
            <w:tcW w:w="1559" w:type="dxa"/>
            <w:vAlign w:val="center"/>
          </w:tcPr>
          <w:p>
            <w:pPr>
              <w:pStyle w:val="16"/>
            </w:pPr>
            <w:r>
              <w:t>文化和旅游</w:t>
            </w:r>
          </w:p>
        </w:tc>
        <w:tc>
          <w:tcPr>
            <w:tcW w:w="1134" w:type="dxa"/>
            <w:vAlign w:val="center"/>
          </w:tcPr>
          <w:p>
            <w:pPr>
              <w:pStyle w:val="15"/>
            </w:pPr>
            <w:r>
              <w:t>157.73</w:t>
            </w:r>
          </w:p>
        </w:tc>
        <w:tc>
          <w:tcPr>
            <w:tcW w:w="1134" w:type="dxa"/>
            <w:vAlign w:val="center"/>
          </w:tcPr>
          <w:p>
            <w:pPr>
              <w:pStyle w:val="15"/>
            </w:pPr>
            <w:r>
              <w:t>157.73</w:t>
            </w:r>
          </w:p>
        </w:tc>
        <w:tc>
          <w:tcPr>
            <w:tcW w:w="1134" w:type="dxa"/>
            <w:vAlign w:val="center"/>
          </w:tcPr>
          <w:p>
            <w:pPr>
              <w:pStyle w:val="15"/>
            </w:pPr>
            <w:r>
              <w:t>157.73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2070101</w:t>
            </w:r>
          </w:p>
        </w:tc>
        <w:tc>
          <w:tcPr>
            <w:tcW w:w="1559" w:type="dxa"/>
            <w:vAlign w:val="center"/>
          </w:tcPr>
          <w:p>
            <w:pPr>
              <w:pStyle w:val="16"/>
            </w:pPr>
            <w:r>
              <w:t>行政运行</w:t>
            </w:r>
          </w:p>
        </w:tc>
        <w:tc>
          <w:tcPr>
            <w:tcW w:w="1134" w:type="dxa"/>
            <w:vAlign w:val="center"/>
          </w:tcPr>
          <w:p>
            <w:pPr>
              <w:pStyle w:val="15"/>
            </w:pPr>
            <w:r>
              <w:t>134.73</w:t>
            </w:r>
          </w:p>
        </w:tc>
        <w:tc>
          <w:tcPr>
            <w:tcW w:w="1134" w:type="dxa"/>
            <w:vAlign w:val="center"/>
          </w:tcPr>
          <w:p>
            <w:pPr>
              <w:pStyle w:val="15"/>
            </w:pPr>
            <w:r>
              <w:t>134.73</w:t>
            </w:r>
          </w:p>
        </w:tc>
        <w:tc>
          <w:tcPr>
            <w:tcW w:w="1134" w:type="dxa"/>
            <w:vAlign w:val="center"/>
          </w:tcPr>
          <w:p>
            <w:pPr>
              <w:pStyle w:val="15"/>
            </w:pPr>
            <w:r>
              <w:t>134.73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2070105</w:t>
            </w:r>
          </w:p>
        </w:tc>
        <w:tc>
          <w:tcPr>
            <w:tcW w:w="1559" w:type="dxa"/>
            <w:vAlign w:val="center"/>
          </w:tcPr>
          <w:p>
            <w:pPr>
              <w:pStyle w:val="16"/>
            </w:pPr>
            <w:r>
              <w:t>文化展示及纪念机构</w:t>
            </w:r>
          </w:p>
        </w:tc>
        <w:tc>
          <w:tcPr>
            <w:tcW w:w="1134" w:type="dxa"/>
            <w:vAlign w:val="center"/>
          </w:tcPr>
          <w:p>
            <w:pPr>
              <w:pStyle w:val="15"/>
            </w:pPr>
            <w:r>
              <w:t>23.00</w:t>
            </w:r>
          </w:p>
        </w:tc>
        <w:tc>
          <w:tcPr>
            <w:tcW w:w="1134" w:type="dxa"/>
            <w:vAlign w:val="center"/>
          </w:tcPr>
          <w:p>
            <w:pPr>
              <w:pStyle w:val="15"/>
            </w:pPr>
            <w:r>
              <w:t>23.00</w:t>
            </w:r>
          </w:p>
        </w:tc>
        <w:tc>
          <w:tcPr>
            <w:tcW w:w="1134" w:type="dxa"/>
            <w:vAlign w:val="center"/>
          </w:tcPr>
          <w:p>
            <w:pPr>
              <w:pStyle w:val="15"/>
            </w:pPr>
            <w:r>
              <w:t>23.00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20702</w:t>
            </w:r>
          </w:p>
        </w:tc>
        <w:tc>
          <w:tcPr>
            <w:tcW w:w="1559" w:type="dxa"/>
            <w:vAlign w:val="center"/>
          </w:tcPr>
          <w:p>
            <w:pPr>
              <w:pStyle w:val="16"/>
            </w:pPr>
            <w:r>
              <w:t>文物</w:t>
            </w:r>
          </w:p>
        </w:tc>
        <w:tc>
          <w:tcPr>
            <w:tcW w:w="1134" w:type="dxa"/>
            <w:vAlign w:val="center"/>
          </w:tcPr>
          <w:p>
            <w:pPr>
              <w:pStyle w:val="15"/>
            </w:pPr>
            <w:r>
              <w:t>11.04</w:t>
            </w:r>
          </w:p>
        </w:tc>
        <w:tc>
          <w:tcPr>
            <w:tcW w:w="1134" w:type="dxa"/>
            <w:vAlign w:val="center"/>
          </w:tcPr>
          <w:p>
            <w:pPr>
              <w:pStyle w:val="15"/>
            </w:pPr>
            <w:r>
              <w:t>11.04</w:t>
            </w:r>
          </w:p>
        </w:tc>
        <w:tc>
          <w:tcPr>
            <w:tcW w:w="1134" w:type="dxa"/>
            <w:vAlign w:val="center"/>
          </w:tcPr>
          <w:p>
            <w:pPr>
              <w:pStyle w:val="15"/>
            </w:pPr>
            <w:r>
              <w:t>11.04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2070204</w:t>
            </w:r>
          </w:p>
        </w:tc>
        <w:tc>
          <w:tcPr>
            <w:tcW w:w="1559" w:type="dxa"/>
            <w:vAlign w:val="center"/>
          </w:tcPr>
          <w:p>
            <w:pPr>
              <w:pStyle w:val="16"/>
            </w:pPr>
            <w:r>
              <w:t>文物保护</w:t>
            </w:r>
          </w:p>
        </w:tc>
        <w:tc>
          <w:tcPr>
            <w:tcW w:w="1134" w:type="dxa"/>
            <w:vAlign w:val="center"/>
          </w:tcPr>
          <w:p>
            <w:pPr>
              <w:pStyle w:val="15"/>
            </w:pPr>
            <w:r>
              <w:t>11.04</w:t>
            </w:r>
          </w:p>
        </w:tc>
        <w:tc>
          <w:tcPr>
            <w:tcW w:w="1134" w:type="dxa"/>
            <w:vAlign w:val="center"/>
          </w:tcPr>
          <w:p>
            <w:pPr>
              <w:pStyle w:val="15"/>
            </w:pPr>
            <w:r>
              <w:t>11.04</w:t>
            </w:r>
          </w:p>
        </w:tc>
        <w:tc>
          <w:tcPr>
            <w:tcW w:w="1134" w:type="dxa"/>
            <w:vAlign w:val="center"/>
          </w:tcPr>
          <w:p>
            <w:pPr>
              <w:pStyle w:val="15"/>
            </w:pPr>
            <w:r>
              <w:t>11.04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20799</w:t>
            </w:r>
          </w:p>
        </w:tc>
        <w:tc>
          <w:tcPr>
            <w:tcW w:w="1559" w:type="dxa"/>
            <w:vAlign w:val="center"/>
          </w:tcPr>
          <w:p>
            <w:pPr>
              <w:pStyle w:val="16"/>
            </w:pPr>
            <w:r>
              <w:t>其他文化旅游体育与传媒支出</w:t>
            </w:r>
          </w:p>
        </w:tc>
        <w:tc>
          <w:tcPr>
            <w:tcW w:w="1134" w:type="dxa"/>
            <w:vAlign w:val="center"/>
          </w:tcPr>
          <w:p>
            <w:pPr>
              <w:pStyle w:val="15"/>
            </w:pPr>
            <w:r>
              <w:t>314.89</w:t>
            </w:r>
          </w:p>
        </w:tc>
        <w:tc>
          <w:tcPr>
            <w:tcW w:w="1134" w:type="dxa"/>
            <w:vAlign w:val="center"/>
          </w:tcPr>
          <w:p>
            <w:pPr>
              <w:pStyle w:val="15"/>
            </w:pPr>
            <w:r>
              <w:t>314.89</w:t>
            </w:r>
          </w:p>
        </w:tc>
        <w:tc>
          <w:tcPr>
            <w:tcW w:w="1134" w:type="dxa"/>
            <w:vAlign w:val="center"/>
          </w:tcPr>
          <w:p>
            <w:pPr>
              <w:pStyle w:val="15"/>
            </w:pPr>
            <w:r>
              <w:t>314.89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2079999</w:t>
            </w:r>
          </w:p>
        </w:tc>
        <w:tc>
          <w:tcPr>
            <w:tcW w:w="1559" w:type="dxa"/>
            <w:vAlign w:val="center"/>
          </w:tcPr>
          <w:p>
            <w:pPr>
              <w:pStyle w:val="16"/>
            </w:pPr>
            <w:r>
              <w:t>其他文化旅游体育与传媒支出</w:t>
            </w:r>
          </w:p>
        </w:tc>
        <w:tc>
          <w:tcPr>
            <w:tcW w:w="1134" w:type="dxa"/>
            <w:vAlign w:val="center"/>
          </w:tcPr>
          <w:p>
            <w:pPr>
              <w:pStyle w:val="15"/>
            </w:pPr>
            <w:r>
              <w:t>314.89</w:t>
            </w:r>
          </w:p>
        </w:tc>
        <w:tc>
          <w:tcPr>
            <w:tcW w:w="1134" w:type="dxa"/>
            <w:vAlign w:val="center"/>
          </w:tcPr>
          <w:p>
            <w:pPr>
              <w:pStyle w:val="15"/>
            </w:pPr>
            <w:r>
              <w:t>314.89</w:t>
            </w:r>
          </w:p>
        </w:tc>
        <w:tc>
          <w:tcPr>
            <w:tcW w:w="1134" w:type="dxa"/>
            <w:vAlign w:val="center"/>
          </w:tcPr>
          <w:p>
            <w:pPr>
              <w:pStyle w:val="15"/>
            </w:pPr>
            <w:r>
              <w:t>314.89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15.32</w:t>
            </w:r>
          </w:p>
        </w:tc>
        <w:tc>
          <w:tcPr>
            <w:tcW w:w="1134" w:type="dxa"/>
            <w:vAlign w:val="center"/>
          </w:tcPr>
          <w:p>
            <w:pPr>
              <w:pStyle w:val="15"/>
            </w:pPr>
            <w:r>
              <w:t>15.32</w:t>
            </w:r>
          </w:p>
        </w:tc>
        <w:tc>
          <w:tcPr>
            <w:tcW w:w="1134" w:type="dxa"/>
            <w:vAlign w:val="center"/>
          </w:tcPr>
          <w:p>
            <w:pPr>
              <w:pStyle w:val="15"/>
            </w:pPr>
            <w:r>
              <w:t>15.32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15.32</w:t>
            </w:r>
          </w:p>
        </w:tc>
        <w:tc>
          <w:tcPr>
            <w:tcW w:w="1134" w:type="dxa"/>
            <w:vAlign w:val="center"/>
          </w:tcPr>
          <w:p>
            <w:pPr>
              <w:pStyle w:val="15"/>
            </w:pPr>
            <w:r>
              <w:t>15.32</w:t>
            </w:r>
          </w:p>
        </w:tc>
        <w:tc>
          <w:tcPr>
            <w:tcW w:w="1134" w:type="dxa"/>
            <w:vAlign w:val="center"/>
          </w:tcPr>
          <w:p>
            <w:pPr>
              <w:pStyle w:val="15"/>
            </w:pPr>
            <w:r>
              <w:t>15.32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11.50</w:t>
            </w:r>
          </w:p>
        </w:tc>
        <w:tc>
          <w:tcPr>
            <w:tcW w:w="1134" w:type="dxa"/>
            <w:vAlign w:val="center"/>
          </w:tcPr>
          <w:p>
            <w:pPr>
              <w:pStyle w:val="15"/>
            </w:pPr>
            <w:r>
              <w:t>11.50</w:t>
            </w:r>
          </w:p>
        </w:tc>
        <w:tc>
          <w:tcPr>
            <w:tcW w:w="1134" w:type="dxa"/>
            <w:vAlign w:val="center"/>
          </w:tcPr>
          <w:p>
            <w:pPr>
              <w:pStyle w:val="15"/>
            </w:pPr>
            <w:r>
              <w:t>11.50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3.82</w:t>
            </w:r>
          </w:p>
        </w:tc>
        <w:tc>
          <w:tcPr>
            <w:tcW w:w="1134" w:type="dxa"/>
            <w:vAlign w:val="center"/>
          </w:tcPr>
          <w:p>
            <w:pPr>
              <w:pStyle w:val="15"/>
            </w:pPr>
            <w:r>
              <w:t>3.82</w:t>
            </w:r>
          </w:p>
        </w:tc>
        <w:tc>
          <w:tcPr>
            <w:tcW w:w="1134" w:type="dxa"/>
            <w:vAlign w:val="center"/>
          </w:tcPr>
          <w:p>
            <w:pPr>
              <w:pStyle w:val="15"/>
            </w:pPr>
            <w:r>
              <w:t>3.82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10.50</w:t>
            </w:r>
          </w:p>
        </w:tc>
        <w:tc>
          <w:tcPr>
            <w:tcW w:w="1134" w:type="dxa"/>
            <w:vAlign w:val="center"/>
          </w:tcPr>
          <w:p>
            <w:pPr>
              <w:pStyle w:val="15"/>
            </w:pPr>
            <w:r>
              <w:t>10.50</w:t>
            </w:r>
          </w:p>
        </w:tc>
        <w:tc>
          <w:tcPr>
            <w:tcW w:w="1134" w:type="dxa"/>
            <w:vAlign w:val="center"/>
          </w:tcPr>
          <w:p>
            <w:pPr>
              <w:pStyle w:val="15"/>
            </w:pPr>
            <w:r>
              <w:t>10.50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10.50</w:t>
            </w:r>
          </w:p>
        </w:tc>
        <w:tc>
          <w:tcPr>
            <w:tcW w:w="1134" w:type="dxa"/>
            <w:vAlign w:val="center"/>
          </w:tcPr>
          <w:p>
            <w:pPr>
              <w:pStyle w:val="15"/>
            </w:pPr>
            <w:r>
              <w:t>10.50</w:t>
            </w:r>
          </w:p>
        </w:tc>
        <w:tc>
          <w:tcPr>
            <w:tcW w:w="1134" w:type="dxa"/>
            <w:vAlign w:val="center"/>
          </w:tcPr>
          <w:p>
            <w:pPr>
              <w:pStyle w:val="15"/>
            </w:pPr>
            <w:r>
              <w:t>10.50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10.50</w:t>
            </w:r>
          </w:p>
        </w:tc>
        <w:tc>
          <w:tcPr>
            <w:tcW w:w="1134" w:type="dxa"/>
            <w:vAlign w:val="center"/>
          </w:tcPr>
          <w:p>
            <w:pPr>
              <w:pStyle w:val="15"/>
            </w:pPr>
            <w:r>
              <w:t>10.50</w:t>
            </w:r>
          </w:p>
        </w:tc>
        <w:tc>
          <w:tcPr>
            <w:tcW w:w="1134" w:type="dxa"/>
            <w:vAlign w:val="center"/>
          </w:tcPr>
          <w:p>
            <w:pPr>
              <w:pStyle w:val="15"/>
            </w:pPr>
            <w:r>
              <w:t>10.50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821001成安县文化广电和旅游局本级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521.48</w:t>
            </w:r>
          </w:p>
        </w:tc>
        <w:tc>
          <w:tcPr>
            <w:tcW w:w="1361" w:type="dxa"/>
            <w:vAlign w:val="center"/>
          </w:tcPr>
          <w:p>
            <w:pPr>
              <w:pStyle w:val="19"/>
            </w:pPr>
            <w:r>
              <w:t>172.55</w:t>
            </w:r>
          </w:p>
        </w:tc>
        <w:tc>
          <w:tcPr>
            <w:tcW w:w="1361" w:type="dxa"/>
            <w:vAlign w:val="center"/>
          </w:tcPr>
          <w:p>
            <w:pPr>
              <w:pStyle w:val="19"/>
            </w:pPr>
            <w:r>
              <w:t>348.93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207</w:t>
            </w:r>
          </w:p>
        </w:tc>
        <w:tc>
          <w:tcPr>
            <w:tcW w:w="4535" w:type="dxa"/>
            <w:vAlign w:val="center"/>
          </w:tcPr>
          <w:p>
            <w:pPr>
              <w:pStyle w:val="16"/>
            </w:pPr>
            <w:r>
              <w:t>文化旅游体育与传媒支出</w:t>
            </w:r>
          </w:p>
        </w:tc>
        <w:tc>
          <w:tcPr>
            <w:tcW w:w="1361" w:type="dxa"/>
            <w:vAlign w:val="center"/>
          </w:tcPr>
          <w:p>
            <w:pPr>
              <w:pStyle w:val="15"/>
            </w:pPr>
            <w:r>
              <w:t>483.66</w:t>
            </w:r>
          </w:p>
        </w:tc>
        <w:tc>
          <w:tcPr>
            <w:tcW w:w="1361" w:type="dxa"/>
            <w:vAlign w:val="center"/>
          </w:tcPr>
          <w:p>
            <w:pPr>
              <w:pStyle w:val="15"/>
            </w:pPr>
            <w:r>
              <w:t>134.73</w:t>
            </w:r>
          </w:p>
        </w:tc>
        <w:tc>
          <w:tcPr>
            <w:tcW w:w="1361" w:type="dxa"/>
            <w:vAlign w:val="center"/>
          </w:tcPr>
          <w:p>
            <w:pPr>
              <w:pStyle w:val="15"/>
            </w:pPr>
            <w:r>
              <w:t>348.93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20701</w:t>
            </w:r>
          </w:p>
        </w:tc>
        <w:tc>
          <w:tcPr>
            <w:tcW w:w="4535" w:type="dxa"/>
            <w:vAlign w:val="center"/>
          </w:tcPr>
          <w:p>
            <w:pPr>
              <w:pStyle w:val="16"/>
            </w:pPr>
            <w:r>
              <w:t>文化和旅游</w:t>
            </w:r>
          </w:p>
        </w:tc>
        <w:tc>
          <w:tcPr>
            <w:tcW w:w="1361" w:type="dxa"/>
            <w:vAlign w:val="center"/>
          </w:tcPr>
          <w:p>
            <w:pPr>
              <w:pStyle w:val="15"/>
            </w:pPr>
            <w:r>
              <w:t>157.73</w:t>
            </w:r>
          </w:p>
        </w:tc>
        <w:tc>
          <w:tcPr>
            <w:tcW w:w="1361" w:type="dxa"/>
            <w:vAlign w:val="center"/>
          </w:tcPr>
          <w:p>
            <w:pPr>
              <w:pStyle w:val="15"/>
            </w:pPr>
            <w:r>
              <w:t>134.73</w:t>
            </w:r>
          </w:p>
        </w:tc>
        <w:tc>
          <w:tcPr>
            <w:tcW w:w="1361" w:type="dxa"/>
            <w:vAlign w:val="center"/>
          </w:tcPr>
          <w:p>
            <w:pPr>
              <w:pStyle w:val="15"/>
            </w:pPr>
            <w:r>
              <w:t>23.00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2070101</w:t>
            </w:r>
          </w:p>
        </w:tc>
        <w:tc>
          <w:tcPr>
            <w:tcW w:w="4535" w:type="dxa"/>
            <w:vAlign w:val="center"/>
          </w:tcPr>
          <w:p>
            <w:pPr>
              <w:pStyle w:val="16"/>
            </w:pPr>
            <w:r>
              <w:t>行政运行</w:t>
            </w:r>
          </w:p>
        </w:tc>
        <w:tc>
          <w:tcPr>
            <w:tcW w:w="1361" w:type="dxa"/>
            <w:vAlign w:val="center"/>
          </w:tcPr>
          <w:p>
            <w:pPr>
              <w:pStyle w:val="15"/>
            </w:pPr>
            <w:r>
              <w:t>134.73</w:t>
            </w:r>
          </w:p>
        </w:tc>
        <w:tc>
          <w:tcPr>
            <w:tcW w:w="1361" w:type="dxa"/>
            <w:vAlign w:val="center"/>
          </w:tcPr>
          <w:p>
            <w:pPr>
              <w:pStyle w:val="15"/>
            </w:pPr>
            <w:r>
              <w:t>134.73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2070105</w:t>
            </w:r>
          </w:p>
        </w:tc>
        <w:tc>
          <w:tcPr>
            <w:tcW w:w="4535" w:type="dxa"/>
            <w:vAlign w:val="center"/>
          </w:tcPr>
          <w:p>
            <w:pPr>
              <w:pStyle w:val="16"/>
            </w:pPr>
            <w:r>
              <w:t>文化展示及纪念机构</w:t>
            </w:r>
          </w:p>
        </w:tc>
        <w:tc>
          <w:tcPr>
            <w:tcW w:w="1361" w:type="dxa"/>
            <w:vAlign w:val="center"/>
          </w:tcPr>
          <w:p>
            <w:pPr>
              <w:pStyle w:val="15"/>
            </w:pPr>
            <w:r>
              <w:t>23.00</w:t>
            </w:r>
          </w:p>
        </w:tc>
        <w:tc>
          <w:tcPr>
            <w:tcW w:w="1361" w:type="dxa"/>
            <w:vAlign w:val="center"/>
          </w:tcPr>
          <w:p>
            <w:pPr>
              <w:pStyle w:val="15"/>
            </w:pPr>
          </w:p>
        </w:tc>
        <w:tc>
          <w:tcPr>
            <w:tcW w:w="1361" w:type="dxa"/>
            <w:vAlign w:val="center"/>
          </w:tcPr>
          <w:p>
            <w:pPr>
              <w:pStyle w:val="15"/>
            </w:pPr>
            <w:r>
              <w:t>23.00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20702</w:t>
            </w:r>
          </w:p>
        </w:tc>
        <w:tc>
          <w:tcPr>
            <w:tcW w:w="4535" w:type="dxa"/>
            <w:vAlign w:val="center"/>
          </w:tcPr>
          <w:p>
            <w:pPr>
              <w:pStyle w:val="16"/>
            </w:pPr>
            <w:r>
              <w:t>文物</w:t>
            </w:r>
          </w:p>
        </w:tc>
        <w:tc>
          <w:tcPr>
            <w:tcW w:w="1361" w:type="dxa"/>
            <w:vAlign w:val="center"/>
          </w:tcPr>
          <w:p>
            <w:pPr>
              <w:pStyle w:val="15"/>
            </w:pPr>
            <w:r>
              <w:t>11.04</w:t>
            </w:r>
          </w:p>
        </w:tc>
        <w:tc>
          <w:tcPr>
            <w:tcW w:w="1361" w:type="dxa"/>
            <w:vAlign w:val="center"/>
          </w:tcPr>
          <w:p>
            <w:pPr>
              <w:pStyle w:val="15"/>
            </w:pPr>
          </w:p>
        </w:tc>
        <w:tc>
          <w:tcPr>
            <w:tcW w:w="1361" w:type="dxa"/>
            <w:vAlign w:val="center"/>
          </w:tcPr>
          <w:p>
            <w:pPr>
              <w:pStyle w:val="15"/>
            </w:pPr>
            <w:r>
              <w:t>11.04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2070204</w:t>
            </w:r>
          </w:p>
        </w:tc>
        <w:tc>
          <w:tcPr>
            <w:tcW w:w="4535" w:type="dxa"/>
            <w:vAlign w:val="center"/>
          </w:tcPr>
          <w:p>
            <w:pPr>
              <w:pStyle w:val="16"/>
            </w:pPr>
            <w:r>
              <w:t>文物保护</w:t>
            </w:r>
          </w:p>
        </w:tc>
        <w:tc>
          <w:tcPr>
            <w:tcW w:w="1361" w:type="dxa"/>
            <w:vAlign w:val="center"/>
          </w:tcPr>
          <w:p>
            <w:pPr>
              <w:pStyle w:val="15"/>
            </w:pPr>
            <w:r>
              <w:t>11.04</w:t>
            </w:r>
          </w:p>
        </w:tc>
        <w:tc>
          <w:tcPr>
            <w:tcW w:w="1361" w:type="dxa"/>
            <w:vAlign w:val="center"/>
          </w:tcPr>
          <w:p>
            <w:pPr>
              <w:pStyle w:val="15"/>
            </w:pPr>
          </w:p>
        </w:tc>
        <w:tc>
          <w:tcPr>
            <w:tcW w:w="1361" w:type="dxa"/>
            <w:vAlign w:val="center"/>
          </w:tcPr>
          <w:p>
            <w:pPr>
              <w:pStyle w:val="15"/>
            </w:pPr>
            <w:r>
              <w:t>11.04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20799</w:t>
            </w:r>
          </w:p>
        </w:tc>
        <w:tc>
          <w:tcPr>
            <w:tcW w:w="4535" w:type="dxa"/>
            <w:vAlign w:val="center"/>
          </w:tcPr>
          <w:p>
            <w:pPr>
              <w:pStyle w:val="16"/>
            </w:pPr>
            <w:r>
              <w:t>其他文化旅游体育与传媒支出</w:t>
            </w:r>
          </w:p>
        </w:tc>
        <w:tc>
          <w:tcPr>
            <w:tcW w:w="1361" w:type="dxa"/>
            <w:vAlign w:val="center"/>
          </w:tcPr>
          <w:p>
            <w:pPr>
              <w:pStyle w:val="15"/>
            </w:pPr>
            <w:r>
              <w:t>314.89</w:t>
            </w:r>
          </w:p>
        </w:tc>
        <w:tc>
          <w:tcPr>
            <w:tcW w:w="1361" w:type="dxa"/>
            <w:vAlign w:val="center"/>
          </w:tcPr>
          <w:p>
            <w:pPr>
              <w:pStyle w:val="15"/>
            </w:pPr>
          </w:p>
        </w:tc>
        <w:tc>
          <w:tcPr>
            <w:tcW w:w="1361" w:type="dxa"/>
            <w:vAlign w:val="center"/>
          </w:tcPr>
          <w:p>
            <w:pPr>
              <w:pStyle w:val="15"/>
            </w:pPr>
            <w:r>
              <w:t>314.89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2079999</w:t>
            </w:r>
          </w:p>
        </w:tc>
        <w:tc>
          <w:tcPr>
            <w:tcW w:w="4535" w:type="dxa"/>
            <w:vAlign w:val="center"/>
          </w:tcPr>
          <w:p>
            <w:pPr>
              <w:pStyle w:val="16"/>
            </w:pPr>
            <w:r>
              <w:t>其他文化旅游体育与传媒支出</w:t>
            </w:r>
          </w:p>
        </w:tc>
        <w:tc>
          <w:tcPr>
            <w:tcW w:w="1361" w:type="dxa"/>
            <w:vAlign w:val="center"/>
          </w:tcPr>
          <w:p>
            <w:pPr>
              <w:pStyle w:val="15"/>
            </w:pPr>
            <w:r>
              <w:t>314.89</w:t>
            </w:r>
          </w:p>
        </w:tc>
        <w:tc>
          <w:tcPr>
            <w:tcW w:w="1361" w:type="dxa"/>
            <w:vAlign w:val="center"/>
          </w:tcPr>
          <w:p>
            <w:pPr>
              <w:pStyle w:val="15"/>
            </w:pPr>
          </w:p>
        </w:tc>
        <w:tc>
          <w:tcPr>
            <w:tcW w:w="1361" w:type="dxa"/>
            <w:vAlign w:val="center"/>
          </w:tcPr>
          <w:p>
            <w:pPr>
              <w:pStyle w:val="15"/>
            </w:pPr>
            <w:r>
              <w:t>314.89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15.32</w:t>
            </w:r>
          </w:p>
        </w:tc>
        <w:tc>
          <w:tcPr>
            <w:tcW w:w="1361" w:type="dxa"/>
            <w:vAlign w:val="center"/>
          </w:tcPr>
          <w:p>
            <w:pPr>
              <w:pStyle w:val="15"/>
            </w:pPr>
            <w:r>
              <w:t>15.32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15.32</w:t>
            </w:r>
          </w:p>
        </w:tc>
        <w:tc>
          <w:tcPr>
            <w:tcW w:w="1361" w:type="dxa"/>
            <w:vAlign w:val="center"/>
          </w:tcPr>
          <w:p>
            <w:pPr>
              <w:pStyle w:val="15"/>
            </w:pPr>
            <w:r>
              <w:t>15.32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11.50</w:t>
            </w:r>
          </w:p>
        </w:tc>
        <w:tc>
          <w:tcPr>
            <w:tcW w:w="1361" w:type="dxa"/>
            <w:vAlign w:val="center"/>
          </w:tcPr>
          <w:p>
            <w:pPr>
              <w:pStyle w:val="15"/>
            </w:pPr>
            <w:r>
              <w:t>11.50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3.82</w:t>
            </w:r>
          </w:p>
        </w:tc>
        <w:tc>
          <w:tcPr>
            <w:tcW w:w="1361" w:type="dxa"/>
            <w:vAlign w:val="center"/>
          </w:tcPr>
          <w:p>
            <w:pPr>
              <w:pStyle w:val="15"/>
            </w:pPr>
            <w:r>
              <w:t>3.82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10.50</w:t>
            </w:r>
          </w:p>
        </w:tc>
        <w:tc>
          <w:tcPr>
            <w:tcW w:w="1361" w:type="dxa"/>
            <w:vAlign w:val="center"/>
          </w:tcPr>
          <w:p>
            <w:pPr>
              <w:pStyle w:val="15"/>
            </w:pPr>
            <w:r>
              <w:t>10.50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10.50</w:t>
            </w:r>
          </w:p>
        </w:tc>
        <w:tc>
          <w:tcPr>
            <w:tcW w:w="1361" w:type="dxa"/>
            <w:vAlign w:val="center"/>
          </w:tcPr>
          <w:p>
            <w:pPr>
              <w:pStyle w:val="15"/>
            </w:pPr>
            <w:r>
              <w:t>10.50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10.50</w:t>
            </w:r>
          </w:p>
        </w:tc>
        <w:tc>
          <w:tcPr>
            <w:tcW w:w="1361" w:type="dxa"/>
            <w:vAlign w:val="center"/>
          </w:tcPr>
          <w:p>
            <w:pPr>
              <w:pStyle w:val="15"/>
            </w:pPr>
            <w:r>
              <w:t>10.50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12.00</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12.00</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12.00</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821001成安县文化广电和旅游局本级</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521.48</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r>
              <w:t>483.66</w:t>
            </w:r>
          </w:p>
        </w:tc>
        <w:tc>
          <w:tcPr>
            <w:tcW w:w="1474" w:type="dxa"/>
            <w:vAlign w:val="center"/>
          </w:tcPr>
          <w:p>
            <w:pPr>
              <w:pStyle w:val="15"/>
            </w:pPr>
            <w:r>
              <w:t>483.66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15.32</w:t>
            </w:r>
          </w:p>
        </w:tc>
        <w:tc>
          <w:tcPr>
            <w:tcW w:w="1474" w:type="dxa"/>
            <w:vAlign w:val="center"/>
          </w:tcPr>
          <w:p>
            <w:pPr>
              <w:pStyle w:val="15"/>
            </w:pPr>
            <w:r>
              <w:t>15.32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10.50</w:t>
            </w:r>
          </w:p>
        </w:tc>
        <w:tc>
          <w:tcPr>
            <w:tcW w:w="1474" w:type="dxa"/>
            <w:vAlign w:val="center"/>
          </w:tcPr>
          <w:p>
            <w:pPr>
              <w:pStyle w:val="15"/>
            </w:pPr>
            <w:r>
              <w:t>10.50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12.00</w:t>
            </w:r>
          </w:p>
        </w:tc>
        <w:tc>
          <w:tcPr>
            <w:tcW w:w="1474" w:type="dxa"/>
            <w:vAlign w:val="center"/>
          </w:tcPr>
          <w:p>
            <w:pPr>
              <w:pStyle w:val="15"/>
            </w:pPr>
            <w:r>
              <w:t>12.00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521.48</w:t>
            </w:r>
          </w:p>
        </w:tc>
        <w:tc>
          <w:tcPr>
            <w:tcW w:w="3402" w:type="dxa"/>
            <w:vAlign w:val="center"/>
          </w:tcPr>
          <w:p>
            <w:pPr>
              <w:pStyle w:val="18"/>
            </w:pPr>
            <w:r>
              <w:t>本年支出合计</w:t>
            </w:r>
          </w:p>
        </w:tc>
        <w:tc>
          <w:tcPr>
            <w:tcW w:w="1474" w:type="dxa"/>
            <w:vAlign w:val="center"/>
          </w:tcPr>
          <w:p>
            <w:pPr>
              <w:pStyle w:val="19"/>
            </w:pPr>
            <w:r>
              <w:t>521.48</w:t>
            </w:r>
          </w:p>
        </w:tc>
        <w:tc>
          <w:tcPr>
            <w:tcW w:w="1474" w:type="dxa"/>
            <w:vAlign w:val="center"/>
          </w:tcPr>
          <w:p>
            <w:pPr>
              <w:pStyle w:val="19"/>
            </w:pPr>
            <w:r>
              <w:t>521.48</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521.48</w:t>
            </w:r>
          </w:p>
        </w:tc>
        <w:tc>
          <w:tcPr>
            <w:tcW w:w="3402" w:type="dxa"/>
            <w:vAlign w:val="center"/>
          </w:tcPr>
          <w:p>
            <w:pPr>
              <w:pStyle w:val="18"/>
            </w:pPr>
            <w:r>
              <w:t>支出总计</w:t>
            </w:r>
          </w:p>
        </w:tc>
        <w:tc>
          <w:tcPr>
            <w:tcW w:w="1474" w:type="dxa"/>
            <w:vAlign w:val="center"/>
          </w:tcPr>
          <w:p>
            <w:pPr>
              <w:pStyle w:val="19"/>
            </w:pPr>
            <w:r>
              <w:t>521.48</w:t>
            </w:r>
          </w:p>
        </w:tc>
        <w:tc>
          <w:tcPr>
            <w:tcW w:w="1474" w:type="dxa"/>
            <w:vAlign w:val="center"/>
          </w:tcPr>
          <w:p>
            <w:pPr>
              <w:pStyle w:val="19"/>
            </w:pPr>
            <w:r>
              <w:t>521.48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821001成安县文化广电和旅游局本级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521.48</w:t>
            </w:r>
          </w:p>
        </w:tc>
        <w:tc>
          <w:tcPr>
            <w:tcW w:w="2551" w:type="dxa"/>
            <w:vAlign w:val="center"/>
          </w:tcPr>
          <w:p>
            <w:pPr>
              <w:pStyle w:val="19"/>
            </w:pPr>
            <w:r>
              <w:t>172.55</w:t>
            </w:r>
          </w:p>
        </w:tc>
        <w:tc>
          <w:tcPr>
            <w:tcW w:w="2551" w:type="dxa"/>
            <w:vAlign w:val="center"/>
          </w:tcPr>
          <w:p>
            <w:pPr>
              <w:pStyle w:val="19"/>
            </w:pPr>
            <w:r>
              <w:t>348.93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207</w:t>
            </w:r>
          </w:p>
        </w:tc>
        <w:tc>
          <w:tcPr>
            <w:tcW w:w="4535" w:type="dxa"/>
            <w:vAlign w:val="center"/>
          </w:tcPr>
          <w:p>
            <w:pPr>
              <w:pStyle w:val="16"/>
            </w:pPr>
            <w:r>
              <w:t>文化旅游体育与传媒支出</w:t>
            </w:r>
          </w:p>
        </w:tc>
        <w:tc>
          <w:tcPr>
            <w:tcW w:w="2551" w:type="dxa"/>
            <w:vAlign w:val="center"/>
          </w:tcPr>
          <w:p>
            <w:pPr>
              <w:pStyle w:val="15"/>
            </w:pPr>
            <w:r>
              <w:t>483.66</w:t>
            </w:r>
          </w:p>
        </w:tc>
        <w:tc>
          <w:tcPr>
            <w:tcW w:w="2551" w:type="dxa"/>
            <w:vAlign w:val="center"/>
          </w:tcPr>
          <w:p>
            <w:pPr>
              <w:pStyle w:val="15"/>
            </w:pPr>
            <w:r>
              <w:t>134.73</w:t>
            </w:r>
          </w:p>
        </w:tc>
        <w:tc>
          <w:tcPr>
            <w:tcW w:w="2551" w:type="dxa"/>
            <w:vAlign w:val="center"/>
          </w:tcPr>
          <w:p>
            <w:pPr>
              <w:pStyle w:val="15"/>
            </w:pPr>
            <w:r>
              <w:t>348.93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20701</w:t>
            </w:r>
          </w:p>
        </w:tc>
        <w:tc>
          <w:tcPr>
            <w:tcW w:w="4535" w:type="dxa"/>
            <w:vAlign w:val="center"/>
          </w:tcPr>
          <w:p>
            <w:pPr>
              <w:pStyle w:val="16"/>
            </w:pPr>
            <w:r>
              <w:t>文化和旅游</w:t>
            </w:r>
          </w:p>
        </w:tc>
        <w:tc>
          <w:tcPr>
            <w:tcW w:w="2551" w:type="dxa"/>
            <w:vAlign w:val="center"/>
          </w:tcPr>
          <w:p>
            <w:pPr>
              <w:pStyle w:val="15"/>
            </w:pPr>
            <w:r>
              <w:t>157.73</w:t>
            </w:r>
          </w:p>
        </w:tc>
        <w:tc>
          <w:tcPr>
            <w:tcW w:w="2551" w:type="dxa"/>
            <w:vAlign w:val="center"/>
          </w:tcPr>
          <w:p>
            <w:pPr>
              <w:pStyle w:val="15"/>
            </w:pPr>
            <w:r>
              <w:t>134.73</w:t>
            </w:r>
          </w:p>
        </w:tc>
        <w:tc>
          <w:tcPr>
            <w:tcW w:w="2551" w:type="dxa"/>
            <w:vAlign w:val="center"/>
          </w:tcPr>
          <w:p>
            <w:pPr>
              <w:pStyle w:val="15"/>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2070101</w:t>
            </w:r>
          </w:p>
        </w:tc>
        <w:tc>
          <w:tcPr>
            <w:tcW w:w="4535" w:type="dxa"/>
            <w:vAlign w:val="center"/>
          </w:tcPr>
          <w:p>
            <w:pPr>
              <w:pStyle w:val="16"/>
            </w:pPr>
            <w:r>
              <w:t>行政运行</w:t>
            </w:r>
          </w:p>
        </w:tc>
        <w:tc>
          <w:tcPr>
            <w:tcW w:w="2551" w:type="dxa"/>
            <w:vAlign w:val="center"/>
          </w:tcPr>
          <w:p>
            <w:pPr>
              <w:pStyle w:val="15"/>
            </w:pPr>
            <w:r>
              <w:t>134.73</w:t>
            </w:r>
          </w:p>
        </w:tc>
        <w:tc>
          <w:tcPr>
            <w:tcW w:w="2551" w:type="dxa"/>
            <w:vAlign w:val="center"/>
          </w:tcPr>
          <w:p>
            <w:pPr>
              <w:pStyle w:val="15"/>
            </w:pPr>
            <w:r>
              <w:t>134.73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2070105</w:t>
            </w:r>
          </w:p>
        </w:tc>
        <w:tc>
          <w:tcPr>
            <w:tcW w:w="4535" w:type="dxa"/>
            <w:vAlign w:val="center"/>
          </w:tcPr>
          <w:p>
            <w:pPr>
              <w:pStyle w:val="16"/>
            </w:pPr>
            <w:r>
              <w:t>文化展示及纪念机构</w:t>
            </w:r>
          </w:p>
        </w:tc>
        <w:tc>
          <w:tcPr>
            <w:tcW w:w="2551" w:type="dxa"/>
            <w:vAlign w:val="center"/>
          </w:tcPr>
          <w:p>
            <w:pPr>
              <w:pStyle w:val="15"/>
            </w:pPr>
            <w:r>
              <w:t>23.00</w:t>
            </w:r>
          </w:p>
        </w:tc>
        <w:tc>
          <w:tcPr>
            <w:tcW w:w="2551" w:type="dxa"/>
            <w:vAlign w:val="center"/>
          </w:tcPr>
          <w:p>
            <w:pPr>
              <w:pStyle w:val="15"/>
            </w:pPr>
          </w:p>
        </w:tc>
        <w:tc>
          <w:tcPr>
            <w:tcW w:w="2551" w:type="dxa"/>
            <w:vAlign w:val="center"/>
          </w:tcPr>
          <w:p>
            <w:pPr>
              <w:pStyle w:val="15"/>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20702</w:t>
            </w:r>
          </w:p>
        </w:tc>
        <w:tc>
          <w:tcPr>
            <w:tcW w:w="4535" w:type="dxa"/>
            <w:vAlign w:val="center"/>
          </w:tcPr>
          <w:p>
            <w:pPr>
              <w:pStyle w:val="16"/>
            </w:pPr>
            <w:r>
              <w:t>文物</w:t>
            </w:r>
          </w:p>
        </w:tc>
        <w:tc>
          <w:tcPr>
            <w:tcW w:w="2551" w:type="dxa"/>
            <w:vAlign w:val="center"/>
          </w:tcPr>
          <w:p>
            <w:pPr>
              <w:pStyle w:val="15"/>
            </w:pPr>
            <w:r>
              <w:t>11.04</w:t>
            </w:r>
          </w:p>
        </w:tc>
        <w:tc>
          <w:tcPr>
            <w:tcW w:w="2551" w:type="dxa"/>
            <w:vAlign w:val="center"/>
          </w:tcPr>
          <w:p>
            <w:pPr>
              <w:pStyle w:val="15"/>
            </w:pPr>
          </w:p>
        </w:tc>
        <w:tc>
          <w:tcPr>
            <w:tcW w:w="2551" w:type="dxa"/>
            <w:vAlign w:val="center"/>
          </w:tcPr>
          <w:p>
            <w:pPr>
              <w:pStyle w:val="15"/>
            </w:pPr>
            <w:r>
              <w:t>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2070204</w:t>
            </w:r>
          </w:p>
        </w:tc>
        <w:tc>
          <w:tcPr>
            <w:tcW w:w="4535" w:type="dxa"/>
            <w:vAlign w:val="center"/>
          </w:tcPr>
          <w:p>
            <w:pPr>
              <w:pStyle w:val="16"/>
            </w:pPr>
            <w:r>
              <w:t>文物保护</w:t>
            </w:r>
          </w:p>
        </w:tc>
        <w:tc>
          <w:tcPr>
            <w:tcW w:w="2551" w:type="dxa"/>
            <w:vAlign w:val="center"/>
          </w:tcPr>
          <w:p>
            <w:pPr>
              <w:pStyle w:val="15"/>
            </w:pPr>
            <w:r>
              <w:t>11.04</w:t>
            </w:r>
          </w:p>
        </w:tc>
        <w:tc>
          <w:tcPr>
            <w:tcW w:w="2551" w:type="dxa"/>
            <w:vAlign w:val="center"/>
          </w:tcPr>
          <w:p>
            <w:pPr>
              <w:pStyle w:val="15"/>
            </w:pPr>
          </w:p>
        </w:tc>
        <w:tc>
          <w:tcPr>
            <w:tcW w:w="2551" w:type="dxa"/>
            <w:vAlign w:val="center"/>
          </w:tcPr>
          <w:p>
            <w:pPr>
              <w:pStyle w:val="15"/>
            </w:pPr>
            <w:r>
              <w:t>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20799</w:t>
            </w:r>
          </w:p>
        </w:tc>
        <w:tc>
          <w:tcPr>
            <w:tcW w:w="4535" w:type="dxa"/>
            <w:vAlign w:val="center"/>
          </w:tcPr>
          <w:p>
            <w:pPr>
              <w:pStyle w:val="16"/>
            </w:pPr>
            <w:r>
              <w:t>其他文化旅游体育与传媒支出</w:t>
            </w:r>
          </w:p>
        </w:tc>
        <w:tc>
          <w:tcPr>
            <w:tcW w:w="2551" w:type="dxa"/>
            <w:vAlign w:val="center"/>
          </w:tcPr>
          <w:p>
            <w:pPr>
              <w:pStyle w:val="15"/>
            </w:pPr>
            <w:r>
              <w:t>314.89</w:t>
            </w:r>
          </w:p>
        </w:tc>
        <w:tc>
          <w:tcPr>
            <w:tcW w:w="2551" w:type="dxa"/>
            <w:vAlign w:val="center"/>
          </w:tcPr>
          <w:p>
            <w:pPr>
              <w:pStyle w:val="15"/>
            </w:pPr>
          </w:p>
        </w:tc>
        <w:tc>
          <w:tcPr>
            <w:tcW w:w="2551" w:type="dxa"/>
            <w:vAlign w:val="center"/>
          </w:tcPr>
          <w:p>
            <w:pPr>
              <w:pStyle w:val="15"/>
            </w:pPr>
            <w:r>
              <w:t>314.89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2079999</w:t>
            </w:r>
          </w:p>
        </w:tc>
        <w:tc>
          <w:tcPr>
            <w:tcW w:w="4535" w:type="dxa"/>
            <w:vAlign w:val="center"/>
          </w:tcPr>
          <w:p>
            <w:pPr>
              <w:pStyle w:val="16"/>
            </w:pPr>
            <w:r>
              <w:t>其他文化旅游体育与传媒支出</w:t>
            </w:r>
          </w:p>
        </w:tc>
        <w:tc>
          <w:tcPr>
            <w:tcW w:w="2551" w:type="dxa"/>
            <w:vAlign w:val="center"/>
          </w:tcPr>
          <w:p>
            <w:pPr>
              <w:pStyle w:val="15"/>
            </w:pPr>
            <w:r>
              <w:t>314.89</w:t>
            </w:r>
          </w:p>
        </w:tc>
        <w:tc>
          <w:tcPr>
            <w:tcW w:w="2551" w:type="dxa"/>
            <w:vAlign w:val="center"/>
          </w:tcPr>
          <w:p>
            <w:pPr>
              <w:pStyle w:val="15"/>
            </w:pPr>
          </w:p>
        </w:tc>
        <w:tc>
          <w:tcPr>
            <w:tcW w:w="2551" w:type="dxa"/>
            <w:vAlign w:val="center"/>
          </w:tcPr>
          <w:p>
            <w:pPr>
              <w:pStyle w:val="15"/>
            </w:pPr>
            <w:r>
              <w:t>314.89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15.32</w:t>
            </w:r>
          </w:p>
        </w:tc>
        <w:tc>
          <w:tcPr>
            <w:tcW w:w="2551" w:type="dxa"/>
            <w:vAlign w:val="center"/>
          </w:tcPr>
          <w:p>
            <w:pPr>
              <w:pStyle w:val="15"/>
            </w:pPr>
            <w:r>
              <w:t>15.32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15.32</w:t>
            </w:r>
          </w:p>
        </w:tc>
        <w:tc>
          <w:tcPr>
            <w:tcW w:w="2551" w:type="dxa"/>
            <w:vAlign w:val="center"/>
          </w:tcPr>
          <w:p>
            <w:pPr>
              <w:pStyle w:val="15"/>
            </w:pPr>
            <w:r>
              <w:t>15.32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11.50</w:t>
            </w:r>
          </w:p>
        </w:tc>
        <w:tc>
          <w:tcPr>
            <w:tcW w:w="2551" w:type="dxa"/>
            <w:vAlign w:val="center"/>
          </w:tcPr>
          <w:p>
            <w:pPr>
              <w:pStyle w:val="15"/>
            </w:pPr>
            <w:r>
              <w:t>11.50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3.82</w:t>
            </w:r>
          </w:p>
        </w:tc>
        <w:tc>
          <w:tcPr>
            <w:tcW w:w="2551" w:type="dxa"/>
            <w:vAlign w:val="center"/>
          </w:tcPr>
          <w:p>
            <w:pPr>
              <w:pStyle w:val="15"/>
            </w:pPr>
            <w:r>
              <w:t>3.82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10.50</w:t>
            </w:r>
          </w:p>
        </w:tc>
        <w:tc>
          <w:tcPr>
            <w:tcW w:w="2551" w:type="dxa"/>
            <w:vAlign w:val="center"/>
          </w:tcPr>
          <w:p>
            <w:pPr>
              <w:pStyle w:val="15"/>
            </w:pPr>
            <w:r>
              <w:t>10.50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10.50</w:t>
            </w:r>
          </w:p>
        </w:tc>
        <w:tc>
          <w:tcPr>
            <w:tcW w:w="2551" w:type="dxa"/>
            <w:vAlign w:val="center"/>
          </w:tcPr>
          <w:p>
            <w:pPr>
              <w:pStyle w:val="15"/>
            </w:pPr>
            <w:r>
              <w:t>10.50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10.50</w:t>
            </w:r>
          </w:p>
        </w:tc>
        <w:tc>
          <w:tcPr>
            <w:tcW w:w="2551" w:type="dxa"/>
            <w:vAlign w:val="center"/>
          </w:tcPr>
          <w:p>
            <w:pPr>
              <w:pStyle w:val="15"/>
            </w:pPr>
            <w:r>
              <w:t>10.50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821001成安县文化广电和旅游局本级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172.55</w:t>
            </w:r>
          </w:p>
        </w:tc>
        <w:tc>
          <w:tcPr>
            <w:tcW w:w="2551" w:type="dxa"/>
            <w:vAlign w:val="center"/>
          </w:tcPr>
          <w:p>
            <w:pPr>
              <w:pStyle w:val="19"/>
            </w:pPr>
            <w:r>
              <w:t>154.97</w:t>
            </w:r>
          </w:p>
        </w:tc>
        <w:tc>
          <w:tcPr>
            <w:tcW w:w="2551" w:type="dxa"/>
            <w:vAlign w:val="center"/>
          </w:tcPr>
          <w:p>
            <w:pPr>
              <w:pStyle w:val="19"/>
            </w:pPr>
            <w:r>
              <w:t>17.58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154.97</w:t>
            </w:r>
          </w:p>
        </w:tc>
        <w:tc>
          <w:tcPr>
            <w:tcW w:w="2551" w:type="dxa"/>
            <w:vAlign w:val="center"/>
          </w:tcPr>
          <w:p>
            <w:pPr>
              <w:pStyle w:val="15"/>
            </w:pPr>
            <w:r>
              <w:t>154.97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92.75</w:t>
            </w:r>
          </w:p>
        </w:tc>
        <w:tc>
          <w:tcPr>
            <w:tcW w:w="2551" w:type="dxa"/>
            <w:vAlign w:val="center"/>
          </w:tcPr>
          <w:p>
            <w:pPr>
              <w:pStyle w:val="15"/>
            </w:pPr>
            <w:r>
              <w:t>92.75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14.15</w:t>
            </w:r>
          </w:p>
        </w:tc>
        <w:tc>
          <w:tcPr>
            <w:tcW w:w="2551" w:type="dxa"/>
            <w:vAlign w:val="center"/>
          </w:tcPr>
          <w:p>
            <w:pPr>
              <w:pStyle w:val="15"/>
            </w:pPr>
            <w:r>
              <w:t>14.15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2.50</w:t>
            </w:r>
          </w:p>
        </w:tc>
        <w:tc>
          <w:tcPr>
            <w:tcW w:w="2551" w:type="dxa"/>
            <w:vAlign w:val="center"/>
          </w:tcPr>
          <w:p>
            <w:pPr>
              <w:pStyle w:val="15"/>
            </w:pPr>
            <w:r>
              <w:t>2.50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7.20</w:t>
            </w:r>
          </w:p>
        </w:tc>
        <w:tc>
          <w:tcPr>
            <w:tcW w:w="2551" w:type="dxa"/>
            <w:vAlign w:val="center"/>
          </w:tcPr>
          <w:p>
            <w:pPr>
              <w:pStyle w:val="15"/>
            </w:pPr>
            <w:r>
              <w:t>7.20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11.50</w:t>
            </w:r>
          </w:p>
        </w:tc>
        <w:tc>
          <w:tcPr>
            <w:tcW w:w="2551" w:type="dxa"/>
            <w:vAlign w:val="center"/>
          </w:tcPr>
          <w:p>
            <w:pPr>
              <w:pStyle w:val="15"/>
            </w:pPr>
            <w:r>
              <w:t>11.50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3.82</w:t>
            </w:r>
          </w:p>
        </w:tc>
        <w:tc>
          <w:tcPr>
            <w:tcW w:w="2551" w:type="dxa"/>
            <w:vAlign w:val="center"/>
          </w:tcPr>
          <w:p>
            <w:pPr>
              <w:pStyle w:val="15"/>
            </w:pPr>
            <w:r>
              <w:t>3.82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10.50</w:t>
            </w:r>
          </w:p>
        </w:tc>
        <w:tc>
          <w:tcPr>
            <w:tcW w:w="2551" w:type="dxa"/>
            <w:vAlign w:val="center"/>
          </w:tcPr>
          <w:p>
            <w:pPr>
              <w:pStyle w:val="15"/>
            </w:pPr>
            <w:r>
              <w:t>10.50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0.55</w:t>
            </w:r>
          </w:p>
        </w:tc>
        <w:tc>
          <w:tcPr>
            <w:tcW w:w="2551" w:type="dxa"/>
            <w:vAlign w:val="center"/>
          </w:tcPr>
          <w:p>
            <w:pPr>
              <w:pStyle w:val="15"/>
            </w:pPr>
            <w:r>
              <w:t>0.55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12.00</w:t>
            </w:r>
          </w:p>
        </w:tc>
        <w:tc>
          <w:tcPr>
            <w:tcW w:w="2551" w:type="dxa"/>
            <w:vAlign w:val="center"/>
          </w:tcPr>
          <w:p>
            <w:pPr>
              <w:pStyle w:val="15"/>
            </w:pPr>
            <w:r>
              <w:t>12.00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17.58</w:t>
            </w:r>
          </w:p>
        </w:tc>
        <w:tc>
          <w:tcPr>
            <w:tcW w:w="2551" w:type="dxa"/>
            <w:vAlign w:val="center"/>
          </w:tcPr>
          <w:p>
            <w:pPr>
              <w:pStyle w:val="15"/>
            </w:pPr>
          </w:p>
        </w:tc>
        <w:tc>
          <w:tcPr>
            <w:tcW w:w="2551" w:type="dxa"/>
            <w:vAlign w:val="center"/>
          </w:tcPr>
          <w:p>
            <w:pPr>
              <w:pStyle w:val="15"/>
            </w:pPr>
            <w:r>
              <w:t>17.58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5.58</w:t>
            </w:r>
          </w:p>
        </w:tc>
        <w:tc>
          <w:tcPr>
            <w:tcW w:w="2551" w:type="dxa"/>
            <w:vAlign w:val="center"/>
          </w:tcPr>
          <w:p>
            <w:pPr>
              <w:pStyle w:val="15"/>
            </w:pPr>
          </w:p>
        </w:tc>
        <w:tc>
          <w:tcPr>
            <w:tcW w:w="2551" w:type="dxa"/>
            <w:vAlign w:val="center"/>
          </w:tcPr>
          <w:p>
            <w:pPr>
              <w:pStyle w:val="15"/>
            </w:pPr>
            <w:r>
              <w:t>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1.50</w:t>
            </w:r>
          </w:p>
        </w:tc>
        <w:tc>
          <w:tcPr>
            <w:tcW w:w="2551" w:type="dxa"/>
            <w:vAlign w:val="center"/>
          </w:tcPr>
          <w:p>
            <w:pPr>
              <w:pStyle w:val="15"/>
            </w:pPr>
          </w:p>
        </w:tc>
        <w:tc>
          <w:tcPr>
            <w:tcW w:w="2551" w:type="dxa"/>
            <w:vAlign w:val="center"/>
          </w:tcPr>
          <w:p>
            <w:pPr>
              <w:pStyle w:val="15"/>
            </w:pPr>
            <w:r>
              <w:t>1.50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821001成安县文化广电和旅游局本级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821001成安县文化广电和旅游局本级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821001成安县文化广电和旅游局本级</w:t>
            </w:r>
          </w:p>
        </w:tc>
        <w:tc>
          <w:tcPr>
            <w:tcW w:w="1643" w:type="dxa"/>
            <w:tcBorders>
              <w:top w:val="single" w:color="FFFFFF" w:sz="6" w:space="0"/>
              <w:left w:val="single" w:color="FFFFFF" w:sz="6" w:space="0"/>
              <w:right w:val="single" w:color="FFFFFF" w:sz="6" w:space="0"/>
            </w:tcBorders>
            <w:vAlign w:val="center"/>
          </w:tcPr>
          <w:p>
            <w:pPr>
              <w:pStyle w:val="12"/>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1643" w:type="dxa"/>
            <w:vAlign w:val="center"/>
          </w:tcPr>
          <w:p>
            <w:pPr>
              <w:pStyle w:val="18"/>
            </w:pPr>
            <w:r>
              <w:t>合计</w:t>
            </w:r>
          </w:p>
        </w:tc>
        <w:tc>
          <w:tcPr>
            <w:tcW w:w="1643" w:type="dxa"/>
            <w:vAlign w:val="center"/>
          </w:tcPr>
          <w:p>
            <w:pPr>
              <w:pStyle w:val="19"/>
              <w:rPr>
                <w:rFonts w:hint="default" w:eastAsia="方正书宋_GBK"/>
                <w:lang w:val="en-US" w:eastAsia="zh-CN"/>
              </w:rPr>
            </w:pPr>
            <w:r>
              <w:rPr>
                <w:rFonts w:hint="eastAsia"/>
                <w:lang w:val="en-US" w:eastAsia="zh-CN"/>
              </w:rPr>
              <w:t>1.00</w:t>
            </w:r>
          </w:p>
        </w:tc>
        <w:tc>
          <w:tcPr>
            <w:tcW w:w="1643" w:type="dxa"/>
            <w:vAlign w:val="center"/>
          </w:tcPr>
          <w:p>
            <w:pPr>
              <w:pStyle w:val="19"/>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1.00</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1643" w:type="dxa"/>
            <w:vAlign w:val="center"/>
          </w:tcPr>
          <w:p>
            <w:pPr>
              <w:pStyle w:val="16"/>
            </w:pPr>
            <w:r>
              <w:t>“三公”经费小计</w:t>
            </w:r>
          </w:p>
        </w:tc>
        <w:tc>
          <w:tcPr>
            <w:tcW w:w="1643" w:type="dxa"/>
            <w:vAlign w:val="center"/>
          </w:tcPr>
          <w:p>
            <w:pPr>
              <w:pStyle w:val="15"/>
              <w:rPr>
                <w:rFonts w:hint="default" w:eastAsia="方正书宋_GBK"/>
                <w:lang w:val="en-US" w:eastAsia="zh-CN"/>
              </w:rPr>
            </w:pPr>
            <w:r>
              <w:rPr>
                <w:rFonts w:hint="eastAsia"/>
                <w:lang w:val="en-US" w:eastAsia="zh-CN"/>
              </w:rPr>
              <w:t>1.00</w:t>
            </w:r>
          </w:p>
        </w:tc>
        <w:tc>
          <w:tcPr>
            <w:tcW w:w="164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3</w:t>
            </w:r>
          </w:p>
        </w:tc>
        <w:tc>
          <w:tcPr>
            <w:tcW w:w="164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4</w:t>
            </w:r>
          </w:p>
        </w:tc>
        <w:tc>
          <w:tcPr>
            <w:tcW w:w="1643" w:type="dxa"/>
            <w:vAlign w:val="center"/>
          </w:tcPr>
          <w:p>
            <w:pPr>
              <w:pStyle w:val="16"/>
            </w:pPr>
            <w:r>
              <w:t xml:space="preserve">    其中：教学科研人员因公出国（境）费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5</w:t>
            </w:r>
          </w:p>
        </w:tc>
        <w:tc>
          <w:tcPr>
            <w:tcW w:w="1643" w:type="dxa"/>
            <w:vAlign w:val="center"/>
          </w:tcPr>
          <w:p>
            <w:pPr>
              <w:pStyle w:val="16"/>
            </w:pPr>
            <w:r>
              <w:t xml:space="preserve">          其他因公出国（境）费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6</w:t>
            </w:r>
          </w:p>
        </w:tc>
        <w:tc>
          <w:tcPr>
            <w:tcW w:w="1643" w:type="dxa"/>
            <w:vAlign w:val="center"/>
          </w:tcPr>
          <w:p>
            <w:pPr>
              <w:pStyle w:val="16"/>
            </w:pPr>
            <w:r>
              <w:t>二、公务用车购置及运维费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7</w:t>
            </w:r>
          </w:p>
        </w:tc>
        <w:tc>
          <w:tcPr>
            <w:tcW w:w="1643"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8</w:t>
            </w:r>
          </w:p>
        </w:tc>
        <w:tc>
          <w:tcPr>
            <w:tcW w:w="1643" w:type="dxa"/>
            <w:vAlign w:val="center"/>
          </w:tcPr>
          <w:p>
            <w:pPr>
              <w:pStyle w:val="16"/>
            </w:pPr>
            <w:r>
              <w:t xml:space="preserve">          公务用车运行维护费</w:t>
            </w:r>
          </w:p>
        </w:tc>
        <w:tc>
          <w:tcPr>
            <w:tcW w:w="1643" w:type="dxa"/>
            <w:vAlign w:val="center"/>
          </w:tcPr>
          <w:p>
            <w:pPr>
              <w:pStyle w:val="15"/>
            </w:pPr>
            <w:r>
              <w:t>1.00</w:t>
            </w:r>
          </w:p>
        </w:tc>
        <w:tc>
          <w:tcPr>
            <w:tcW w:w="1643" w:type="dxa"/>
            <w:vAlign w:val="center"/>
          </w:tcPr>
          <w:p>
            <w:pPr>
              <w:pStyle w:val="15"/>
            </w:pPr>
            <w:r>
              <w:t>1.00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9</w:t>
            </w:r>
          </w:p>
        </w:tc>
        <w:tc>
          <w:tcPr>
            <w:tcW w:w="1643" w:type="dxa"/>
            <w:vAlign w:val="center"/>
          </w:tcPr>
          <w:p>
            <w:pPr>
              <w:pStyle w:val="16"/>
            </w:pPr>
            <w:r>
              <w:t>三、公务接待费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10</w:t>
            </w:r>
          </w:p>
        </w:tc>
        <w:tc>
          <w:tcPr>
            <w:tcW w:w="1643" w:type="dxa"/>
            <w:vAlign w:val="center"/>
          </w:tcPr>
          <w:p>
            <w:pPr>
              <w:pStyle w:val="16"/>
            </w:pPr>
            <w:r>
              <w:t>四、会议费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11</w:t>
            </w:r>
          </w:p>
        </w:tc>
        <w:tc>
          <w:tcPr>
            <w:tcW w:w="1643" w:type="dxa"/>
            <w:vAlign w:val="center"/>
          </w:tcPr>
          <w:p>
            <w:pPr>
              <w:pStyle w:val="16"/>
            </w:pPr>
            <w:r>
              <w:t>五、培训费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ectPr>
          <w:pgSz w:w="16840" w:h="11900" w:orient="landscape"/>
          <w:pgMar w:top="1361" w:right="1020" w:bottom="1361"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auto"/>
        <w:outlineLvl w:val="4"/>
      </w:pPr>
      <w:r>
        <w:rPr>
          <w:rFonts w:ascii="方正小标宋_GBK" w:hAnsi="方正小标宋_GBK" w:eastAsia="方正小标宋_GBK" w:cs="方正小标宋_GBK"/>
          <w:b w:val="0"/>
          <w:color w:val="000000"/>
          <w:sz w:val="44"/>
        </w:rPr>
        <w:t>成安县文化广电和旅游局本级2022年单位预算信息公开情况说明</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按照《预算法》、《地方预决算公开操作规程》和《关于进一步推进预算公开工作的实施意见》规定，现将成安县文化广电和旅游局本级2022年单位预算公开如下：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pPr>
      <w:r>
        <w:rPr>
          <w:rFonts w:ascii="黑体" w:hAnsi="黑体" w:eastAsia="黑体" w:cs="黑体"/>
          <w:color w:val="000000"/>
          <w:sz w:val="32"/>
        </w:rPr>
        <w:t>一、单位职责及机构设置情况</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方正仿宋_GBK" w:cs="Times New Roman"/>
          <w:b w:val="0"/>
          <w:color w:val="000000"/>
          <w:sz w:val="28"/>
        </w:rPr>
      </w:pPr>
      <w:r>
        <w:rPr>
          <w:rFonts w:ascii="方正楷体_GBK" w:hAnsi="方正楷体_GBK" w:eastAsia="方正楷体_GBK" w:cs="方正楷体_GBK"/>
          <w:b/>
          <w:color w:val="000000"/>
          <w:sz w:val="32"/>
        </w:rPr>
        <w:t>单位职责：</w:t>
      </w:r>
      <w:r>
        <w:rPr>
          <w:rFonts w:hint="eastAsia" w:ascii="Times New Roman" w:hAnsi="Times New Roman" w:eastAsia="方正仿宋_GBK" w:cs="Times New Roman"/>
          <w:b w:val="0"/>
          <w:color w:val="000000"/>
          <w:sz w:val="28"/>
        </w:rPr>
        <w:t>贯彻落实党中央、省委、市委和县委关于文化、创作、广播电视、网络视听节目和旅游工作的方针政策和决策部署，坚持和加强党对文化、广播电视、网络视听节目和旅游工作的集中统一领导。主要职责是：</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（一）贯彻执行党和国家文化、广播电视、网络视听节目和旅游工作方针政策和法律法规。研究拟订全县文化、广播电视和旅游办法措施。</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（二）拟订全县文化事业、文化产业、广播电视领域和旅游业发展规划并组织实施，推进文化、广播电视和旅游融合发展，推进文化、广播电视和旅游体制机制改革。</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三）管理和组织全县性重大文化和旅游活动，组织实施全县广播电视公共服务重大公益工程和公益活动。监管全县重点文化和旅游设施建设，组织成安文化和旅游整体形象推广，促进对外合作和国际市场推广；组织推进全域旅游。</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（四）管理全县文艺事业。指导艺术创作生产，扶持体现社会主义核心价值观、具有导向性代表性示范性的文艺作品，推动全县各门类艺术、各艺术品种发展。指导全县电视剧行业发展和电视剧创作生产。</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（五）负责全县文化、广播电视和旅游事业发展。推动全县文化、广播电视和旅游公共服务体系建设，深入实施文化惠民工程，统筹推进全县文化、广播电视和旅游服务标准化、均等化。</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六）推进全县文化、广播电视和旅游科技创新发展，推进文化和旅游行业信息化、标准化建设；负责对广播电视节目传输覆盖、监听、监看、监测的监管，指导、监管全县广播电视广告播放；推进全县应急广播体系建设，监管协调调度全县广播电视安全播出。</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（七）负责对广播电视机构进行业务指导和监管，会同有关部门对全县网络视听节目服务机构进行管理，推进广播电视与新媒体新技术新业态融合发展，推进广电网与电信网、互联网三网融合。</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（八）负责全县非物质文化遗产保护，推动非物质文化遗产的保护、传承、普及、弘扬和振兴。</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（九）统筹规划全县文化产业、广播电视产业和旅游产业。组织实施文化和旅游资源普查、挖掘、保护和开发利用工作，促进文化产业、广播电视产业和旅游产业发展。</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（十）指导全县文化、广播电视和旅游市场发展。对文化、广播电视和旅游市场经营进行行业监管，推进全县文化、广播电视和旅游行业信用体系建设，依法规范文化、广播电视和旅游市场。</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（十一）监督全县文化、文物、出版、广播电视、电影、旅游等市场综合执法。督查督办大案要案，维护市场秩序。</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（十二）组织协调文化遗产的管理和保护，指导和管理文物事业，组织指导文物的保护抢救、考古发掘和开发利用工作。</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（十三）承担全县文化、广播电视和旅游行业安全综合协调和监督管理工作，负责全县文化、广播电视和旅游行业突发应急事件的处理工作。</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（十四）完成县委、县政府交办的其他任务。</w:t>
      </w:r>
    </w:p>
    <w:p>
      <w:pPr>
        <w:pStyle w:val="29"/>
        <w:keepNext w:val="0"/>
        <w:keepLines w:val="0"/>
        <w:pageBreakBefore w:val="0"/>
        <w:widowControl/>
        <w:kinsoku/>
        <w:wordWrap/>
        <w:overflowPunct/>
        <w:topLinePunct w:val="0"/>
        <w:autoSpaceDE/>
        <w:autoSpaceDN/>
        <w:bidi w:val="0"/>
        <w:adjustRightInd/>
        <w:snapToGrid/>
        <w:spacing w:before="0" w:after="0" w:line="560" w:lineRule="exact"/>
        <w:ind w:left="0" w:leftChars="0" w:firstLine="0" w:firstLineChars="0"/>
        <w:textAlignment w:val="auto"/>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成安县文化广电和旅游局本级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keepNext w:val="0"/>
        <w:keepLines w:val="0"/>
        <w:pageBreakBefore w:val="0"/>
        <w:widowControl/>
        <w:kinsoku/>
        <w:wordWrap/>
        <w:overflowPunct/>
        <w:topLinePunct w:val="0"/>
        <w:bidi w:val="0"/>
        <w:snapToGrid/>
        <w:spacing w:line="560" w:lineRule="exact"/>
        <w:ind w:firstLine="640"/>
        <w:jc w:val="left"/>
        <w:textAlignment w:val="auto"/>
        <w:outlineLvl w:val="5"/>
        <w:rPr>
          <w:rFonts w:ascii="黑体" w:hAnsi="黑体" w:eastAsia="黑体" w:cs="黑体"/>
          <w:color w:val="000000"/>
          <w:sz w:val="32"/>
        </w:rPr>
      </w:pPr>
    </w:p>
    <w:p>
      <w:pPr>
        <w:keepNext w:val="0"/>
        <w:keepLines w:val="0"/>
        <w:pageBreakBefore w:val="0"/>
        <w:widowControl/>
        <w:kinsoku/>
        <w:wordWrap/>
        <w:overflowPunct/>
        <w:topLinePunct w:val="0"/>
        <w:bidi w:val="0"/>
        <w:snapToGrid/>
        <w:spacing w:line="56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bidi w:val="0"/>
        <w:snapToGrid/>
        <w:spacing w:line="560" w:lineRule="exact"/>
        <w:ind w:firstLine="640"/>
        <w:textAlignment w:val="auto"/>
        <w:rPr>
          <w:rFonts w:ascii="楷体" w:hAnsi="楷体" w:eastAsia="楷体" w:cs="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2022</w:t>
      </w:r>
      <w:r>
        <w:rPr>
          <w:rFonts w:hint="eastAsia" w:ascii="Times New Roman" w:hAnsi="Times New Roman" w:eastAsia="方正仿宋_GBK" w:cs="Times New Roman"/>
          <w:b w:val="0"/>
          <w:color w:val="000000"/>
          <w:sz w:val="28"/>
        </w:rPr>
        <w:t>年预算收入</w:t>
      </w:r>
      <w:r>
        <w:rPr>
          <w:rFonts w:hint="eastAsia" w:ascii="Times New Roman" w:hAnsi="Times New Roman" w:eastAsia="方正仿宋_GBK" w:cs="Times New Roman"/>
          <w:b w:val="0"/>
          <w:color w:val="000000"/>
          <w:sz w:val="28"/>
          <w:lang w:val="en-US" w:eastAsia="zh-CN"/>
        </w:rPr>
        <w:t>709.34</w:t>
      </w:r>
      <w:r>
        <w:rPr>
          <w:rFonts w:hint="eastAsia" w:ascii="Times New Roman" w:hAnsi="Times New Roman" w:eastAsia="方正仿宋_GBK" w:cs="Times New Roman"/>
          <w:b w:val="0"/>
          <w:color w:val="000000"/>
          <w:sz w:val="28"/>
        </w:rPr>
        <w:t>万元，其中：一般公共预算收入</w:t>
      </w:r>
      <w:r>
        <w:rPr>
          <w:rFonts w:hint="eastAsia" w:ascii="Times New Roman" w:hAnsi="Times New Roman" w:eastAsia="方正仿宋_GBK" w:cs="Times New Roman"/>
          <w:b w:val="0"/>
          <w:color w:val="000000"/>
          <w:sz w:val="28"/>
          <w:lang w:val="en-US" w:eastAsia="zh-CN"/>
        </w:rPr>
        <w:t>709.34</w:t>
      </w:r>
      <w:r>
        <w:rPr>
          <w:rFonts w:hint="eastAsia" w:ascii="Times New Roman" w:hAnsi="Times New Roman" w:eastAsia="方正仿宋_GBK" w:cs="Times New Roman"/>
          <w:b w:val="0"/>
          <w:color w:val="000000"/>
          <w:sz w:val="28"/>
        </w:rPr>
        <w:t>万元，政府性基金收入0万元，国有资本经营收入0万元，事业收入0万元，其他收入0万元。</w:t>
      </w:r>
    </w:p>
    <w:p>
      <w:pPr>
        <w:keepNext w:val="0"/>
        <w:keepLines w:val="0"/>
        <w:pageBreakBefore w:val="0"/>
        <w:widowControl/>
        <w:kinsoku/>
        <w:wordWrap/>
        <w:overflowPunct/>
        <w:topLinePunct w:val="0"/>
        <w:bidi w:val="0"/>
        <w:snapToGrid/>
        <w:spacing w:line="560" w:lineRule="exact"/>
        <w:ind w:firstLine="640"/>
        <w:textAlignment w:val="auto"/>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2022</w:t>
      </w:r>
      <w:r>
        <w:rPr>
          <w:rFonts w:hint="eastAsia" w:ascii="Times New Roman" w:hAnsi="Times New Roman" w:eastAsia="方正仿宋_GBK" w:cs="Times New Roman"/>
          <w:b w:val="0"/>
          <w:color w:val="000000"/>
          <w:sz w:val="28"/>
        </w:rPr>
        <w:t>年支出预算</w:t>
      </w:r>
      <w:r>
        <w:rPr>
          <w:rFonts w:hint="eastAsia" w:ascii="Times New Roman" w:hAnsi="Times New Roman" w:eastAsia="方正仿宋_GBK" w:cs="Times New Roman"/>
          <w:b w:val="0"/>
          <w:color w:val="000000"/>
          <w:sz w:val="28"/>
          <w:lang w:val="en-US" w:eastAsia="zh-CN"/>
        </w:rPr>
        <w:t>709.34</w:t>
      </w:r>
      <w:r>
        <w:rPr>
          <w:rFonts w:hint="eastAsia" w:ascii="Times New Roman" w:hAnsi="Times New Roman" w:eastAsia="方正仿宋_GBK" w:cs="Times New Roman"/>
          <w:b w:val="0"/>
          <w:color w:val="000000"/>
          <w:sz w:val="28"/>
        </w:rPr>
        <w:t>万元，其中基本支出</w:t>
      </w:r>
      <w:r>
        <w:rPr>
          <w:rFonts w:hint="eastAsia" w:ascii="Times New Roman" w:hAnsi="Times New Roman" w:eastAsia="方正仿宋_GBK" w:cs="Times New Roman"/>
          <w:b w:val="0"/>
          <w:color w:val="000000"/>
          <w:sz w:val="28"/>
          <w:lang w:val="en-US" w:eastAsia="zh-CN"/>
        </w:rPr>
        <w:t>91.8</w:t>
      </w:r>
      <w:r>
        <w:rPr>
          <w:rFonts w:hint="eastAsia" w:ascii="Times New Roman" w:hAnsi="Times New Roman" w:eastAsia="方正仿宋_GBK" w:cs="Times New Roman"/>
          <w:b w:val="0"/>
          <w:color w:val="000000"/>
          <w:sz w:val="28"/>
        </w:rPr>
        <w:t>万元，包括人员经费和日常公用经费；项目支出</w:t>
      </w:r>
      <w:r>
        <w:rPr>
          <w:rFonts w:hint="eastAsia" w:ascii="Times New Roman" w:hAnsi="Times New Roman" w:eastAsia="方正仿宋_GBK" w:cs="Times New Roman"/>
          <w:b w:val="0"/>
          <w:color w:val="000000"/>
          <w:sz w:val="28"/>
          <w:lang w:val="en-US" w:eastAsia="zh-CN"/>
        </w:rPr>
        <w:t>617.54</w:t>
      </w:r>
      <w:r>
        <w:rPr>
          <w:rFonts w:hint="eastAsia" w:ascii="Times New Roman" w:hAnsi="Times New Roman" w:eastAsia="方正仿宋_GBK" w:cs="Times New Roman"/>
          <w:b w:val="0"/>
          <w:color w:val="000000"/>
          <w:sz w:val="28"/>
        </w:rPr>
        <w:t>万元，主要为上级下达的文化旅游专项资金。</w:t>
      </w:r>
    </w:p>
    <w:p>
      <w:pPr>
        <w:keepNext w:val="0"/>
        <w:keepLines w:val="0"/>
        <w:pageBreakBefore w:val="0"/>
        <w:widowControl/>
        <w:kinsoku/>
        <w:wordWrap/>
        <w:overflowPunct/>
        <w:topLinePunct w:val="0"/>
        <w:bidi w:val="0"/>
        <w:snapToGrid/>
        <w:spacing w:line="560" w:lineRule="exact"/>
        <w:ind w:firstLine="640"/>
        <w:textAlignment w:val="auto"/>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keepNext w:val="0"/>
        <w:keepLines w:val="0"/>
        <w:pageBreakBefore w:val="0"/>
        <w:widowControl/>
        <w:kinsoku/>
        <w:wordWrap/>
        <w:overflowPunct/>
        <w:topLinePunct w:val="0"/>
        <w:bidi w:val="0"/>
        <w:snapToGrid/>
        <w:spacing w:line="560" w:lineRule="exact"/>
        <w:ind w:firstLine="640"/>
        <w:textAlignment w:val="auto"/>
        <w:rPr>
          <w:rFonts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2022</w:t>
      </w:r>
      <w:r>
        <w:rPr>
          <w:rFonts w:hint="eastAsia" w:ascii="Times New Roman" w:hAnsi="Times New Roman" w:eastAsia="方正仿宋_GBK" w:cs="Times New Roman"/>
          <w:b w:val="0"/>
          <w:color w:val="000000"/>
          <w:sz w:val="28"/>
        </w:rPr>
        <w:t>年预算收支安排</w:t>
      </w:r>
      <w:r>
        <w:rPr>
          <w:rFonts w:hint="eastAsia" w:eastAsia="方正仿宋_GBK" w:cs="Times New Roman"/>
          <w:b w:val="0"/>
          <w:color w:val="000000"/>
          <w:sz w:val="28"/>
          <w:lang w:val="en-US" w:eastAsia="zh-CN"/>
        </w:rPr>
        <w:t>709.34</w:t>
      </w:r>
      <w:r>
        <w:rPr>
          <w:rFonts w:hint="eastAsia" w:ascii="Times New Roman" w:hAnsi="Times New Roman" w:eastAsia="方正仿宋_GBK" w:cs="Times New Roman"/>
          <w:b w:val="0"/>
          <w:color w:val="000000"/>
          <w:sz w:val="28"/>
        </w:rPr>
        <w:t>万元，较20</w:t>
      </w:r>
      <w:r>
        <w:rPr>
          <w:rFonts w:hint="eastAsia" w:ascii="Times New Roman" w:hAnsi="Times New Roman" w:eastAsia="方正仿宋_GBK" w:cs="Times New Roman"/>
          <w:b w:val="0"/>
          <w:color w:val="000000"/>
          <w:sz w:val="28"/>
          <w:lang w:val="en-US" w:eastAsia="zh-CN"/>
        </w:rPr>
        <w:t>21</w:t>
      </w:r>
      <w:r>
        <w:rPr>
          <w:rFonts w:hint="eastAsia" w:ascii="Times New Roman" w:hAnsi="Times New Roman" w:eastAsia="方正仿宋_GBK" w:cs="Times New Roman"/>
          <w:b w:val="0"/>
          <w:color w:val="000000"/>
          <w:sz w:val="28"/>
        </w:rPr>
        <w:t>年预算</w:t>
      </w:r>
      <w:r>
        <w:rPr>
          <w:rFonts w:hint="eastAsia" w:ascii="Times New Roman" w:hAnsi="Times New Roman" w:eastAsia="方正仿宋_GBK" w:cs="Times New Roman"/>
          <w:b w:val="0"/>
          <w:color w:val="000000"/>
          <w:sz w:val="28"/>
          <w:lang w:val="en-US" w:eastAsia="zh-CN"/>
        </w:rPr>
        <w:t>增加439.08</w:t>
      </w:r>
      <w:r>
        <w:rPr>
          <w:rFonts w:hint="eastAsia" w:ascii="Times New Roman" w:hAnsi="Times New Roman" w:eastAsia="方正仿宋_GBK" w:cs="Times New Roman"/>
          <w:b w:val="0"/>
          <w:color w:val="000000"/>
          <w:sz w:val="28"/>
        </w:rPr>
        <w:t>万元，主要</w:t>
      </w:r>
      <w:r>
        <w:rPr>
          <w:rFonts w:hint="eastAsia" w:ascii="Times New Roman" w:hAnsi="Times New Roman" w:eastAsia="方正仿宋_GBK" w:cs="Times New Roman"/>
          <w:b w:val="0"/>
          <w:color w:val="000000"/>
          <w:sz w:val="28"/>
          <w:lang w:eastAsia="zh-CN"/>
        </w:rPr>
        <w:t>2022</w:t>
      </w:r>
      <w:r>
        <w:rPr>
          <w:rFonts w:hint="eastAsia" w:ascii="Times New Roman" w:hAnsi="Times New Roman" w:eastAsia="方正仿宋_GBK" w:cs="Times New Roman"/>
          <w:b w:val="0"/>
          <w:color w:val="000000"/>
          <w:sz w:val="28"/>
        </w:rPr>
        <w:t>年提前下达专款</w:t>
      </w:r>
      <w:r>
        <w:rPr>
          <w:rFonts w:hint="eastAsia" w:ascii="Times New Roman" w:hAnsi="Times New Roman" w:eastAsia="方正仿宋_GBK" w:cs="Times New Roman"/>
          <w:b w:val="0"/>
          <w:color w:val="000000"/>
          <w:sz w:val="28"/>
          <w:lang w:val="en-US" w:eastAsia="zh-CN"/>
        </w:rPr>
        <w:t>增加</w:t>
      </w:r>
      <w:r>
        <w:rPr>
          <w:rFonts w:hint="eastAsia" w:ascii="Times New Roman" w:hAnsi="Times New Roman" w:eastAsia="方正仿宋_GBK" w:cs="Times New Roman"/>
          <w:b w:val="0"/>
          <w:color w:val="000000"/>
          <w:sz w:val="28"/>
        </w:rPr>
        <w:t>。</w:t>
      </w:r>
    </w:p>
    <w:p>
      <w:pPr>
        <w:keepNext w:val="0"/>
        <w:keepLines w:val="0"/>
        <w:pageBreakBefore w:val="0"/>
        <w:widowControl/>
        <w:numPr>
          <w:ilvl w:val="0"/>
          <w:numId w:val="1"/>
        </w:numPr>
        <w:kinsoku/>
        <w:wordWrap/>
        <w:overflowPunct/>
        <w:topLinePunct w:val="0"/>
        <w:bidi w:val="0"/>
        <w:snapToGrid/>
        <w:spacing w:line="56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机关运行经费安排情况</w:t>
      </w:r>
    </w:p>
    <w:p>
      <w:pPr>
        <w:keepNext w:val="0"/>
        <w:keepLines w:val="0"/>
        <w:pageBreakBefore w:val="0"/>
        <w:widowControl/>
        <w:kinsoku/>
        <w:wordWrap/>
        <w:overflowPunct/>
        <w:topLinePunct w:val="0"/>
        <w:autoSpaceDE w:val="0"/>
        <w:autoSpaceDN w:val="0"/>
        <w:bidi w:val="0"/>
        <w:adjustRightInd w:val="0"/>
        <w:snapToGrid/>
        <w:spacing w:line="560" w:lineRule="exact"/>
        <w:ind w:left="198" w:firstLine="640" w:firstLineChars="200"/>
        <w:jc w:val="left"/>
        <w:textAlignment w:val="auto"/>
        <w:rPr>
          <w:rFonts w:hint="eastAsia" w:ascii="Times New Roman" w:hAnsi="Times New Roman" w:eastAsia="方正仿宋_GBK" w:cs="Times New Roman"/>
          <w:b w:val="0"/>
          <w:color w:val="000000"/>
          <w:sz w:val="28"/>
        </w:rPr>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b w:val="0"/>
          <w:color w:val="000000"/>
          <w:sz w:val="28"/>
        </w:rPr>
        <w:t>机关运行经费共计安排</w:t>
      </w:r>
      <w:r>
        <w:rPr>
          <w:rFonts w:hint="eastAsia" w:ascii="Times New Roman" w:hAnsi="Times New Roman" w:eastAsia="方正仿宋_GBK" w:cs="Times New Roman"/>
          <w:b w:val="0"/>
          <w:color w:val="000000"/>
          <w:sz w:val="28"/>
          <w:lang w:val="en-US" w:eastAsia="zh-CN"/>
        </w:rPr>
        <w:t>91.8</w:t>
      </w:r>
      <w:r>
        <w:rPr>
          <w:rFonts w:hint="eastAsia" w:ascii="Times New Roman" w:hAnsi="Times New Roman" w:eastAsia="方正仿宋_GBK" w:cs="Times New Roman"/>
          <w:b w:val="0"/>
          <w:color w:val="000000"/>
          <w:sz w:val="28"/>
        </w:rPr>
        <w:t>万元，主要用于办公区的日常维修、办公用房水电费、邮电费、办公用房取暖费、办公用房物业管理费等日常运行支出。</w:t>
      </w:r>
    </w:p>
    <w:p>
      <w:pPr>
        <w:keepNext w:val="0"/>
        <w:keepLines w:val="0"/>
        <w:pageBreakBefore w:val="0"/>
        <w:widowControl/>
        <w:kinsoku/>
        <w:wordWrap/>
        <w:overflowPunct/>
        <w:topLinePunct w:val="0"/>
        <w:autoSpaceDE w:val="0"/>
        <w:autoSpaceDN w:val="0"/>
        <w:bidi w:val="0"/>
        <w:adjustRightInd w:val="0"/>
        <w:snapToGrid/>
        <w:spacing w:line="560" w:lineRule="exact"/>
        <w:ind w:left="198" w:firstLine="560" w:firstLineChars="200"/>
        <w:jc w:val="left"/>
        <w:textAlignment w:val="auto"/>
        <w:rPr>
          <w:rFonts w:hint="eastAsia" w:ascii="Times New Roman" w:hAnsi="Times New Roman" w:eastAsia="方正仿宋_GBK" w:cs="Times New Roman"/>
          <w:b w:val="0"/>
          <w:color w:val="000000"/>
          <w:sz w:val="28"/>
        </w:rPr>
      </w:pPr>
    </w:p>
    <w:p>
      <w:pPr>
        <w:keepNext w:val="0"/>
        <w:keepLines w:val="0"/>
        <w:pageBreakBefore w:val="0"/>
        <w:widowControl/>
        <w:numPr>
          <w:ilvl w:val="0"/>
          <w:numId w:val="1"/>
        </w:numPr>
        <w:kinsoku/>
        <w:wordWrap/>
        <w:overflowPunct/>
        <w:topLinePunct w:val="0"/>
        <w:bidi w:val="0"/>
        <w:snapToGrid/>
        <w:spacing w:line="560" w:lineRule="exact"/>
        <w:ind w:left="0" w:leftChars="0" w:firstLine="640" w:firstLineChars="0"/>
        <w:jc w:val="left"/>
        <w:textAlignment w:val="auto"/>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lang w:eastAsia="zh-CN"/>
        </w:rPr>
        <w:t>2022</w:t>
      </w:r>
      <w:r>
        <w:rPr>
          <w:rFonts w:hint="eastAsia" w:ascii="Times New Roman" w:hAnsi="Times New Roman" w:eastAsia="方正仿宋_GBK" w:cs="Times New Roman"/>
          <w:b w:val="0"/>
          <w:color w:val="000000"/>
          <w:sz w:val="28"/>
        </w:rPr>
        <w:t>年度“三公”预算支出</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万元，其中：因公出国（境）费零元，与上年</w:t>
      </w:r>
      <w:r>
        <w:rPr>
          <w:rFonts w:hint="eastAsia" w:eastAsia="方正仿宋_GBK" w:cs="Times New Roman"/>
          <w:b w:val="0"/>
          <w:color w:val="000000"/>
          <w:sz w:val="28"/>
          <w:lang w:eastAsia="zh-CN"/>
        </w:rPr>
        <w:t>持</w:t>
      </w:r>
      <w:r>
        <w:rPr>
          <w:rFonts w:hint="eastAsia" w:ascii="Times New Roman" w:hAnsi="Times New Roman" w:eastAsia="方正仿宋_GBK" w:cs="Times New Roman"/>
          <w:b w:val="0"/>
          <w:color w:val="000000"/>
          <w:sz w:val="28"/>
        </w:rPr>
        <w:t>平；安排公务用车维护费</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万元。（其中：公务用车购置费零元，与上年</w:t>
      </w:r>
      <w:r>
        <w:rPr>
          <w:rFonts w:hint="eastAsia" w:eastAsia="方正仿宋_GBK" w:cs="Times New Roman"/>
          <w:b w:val="0"/>
          <w:color w:val="000000"/>
          <w:sz w:val="28"/>
          <w:lang w:eastAsia="zh-CN"/>
        </w:rPr>
        <w:t>持</w:t>
      </w:r>
      <w:r>
        <w:rPr>
          <w:rFonts w:hint="eastAsia" w:ascii="Times New Roman" w:hAnsi="Times New Roman" w:eastAsia="方正仿宋_GBK" w:cs="Times New Roman"/>
          <w:b w:val="0"/>
          <w:color w:val="000000"/>
          <w:sz w:val="28"/>
        </w:rPr>
        <w:t>平；公务用车运行维护费</w:t>
      </w:r>
      <w:r>
        <w:rPr>
          <w:rFonts w:hint="eastAsia" w:ascii="Times New Roman" w:hAnsi="Times New Roman"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万元，较上年</w:t>
      </w:r>
      <w:r>
        <w:rPr>
          <w:rFonts w:hint="eastAsia" w:ascii="Times New Roman" w:hAnsi="Times New Roman" w:eastAsia="方正仿宋_GBK" w:cs="Times New Roman"/>
          <w:b w:val="0"/>
          <w:color w:val="000000"/>
          <w:sz w:val="28"/>
          <w:lang w:val="en-US" w:eastAsia="zh-CN"/>
        </w:rPr>
        <w:t>减少25</w:t>
      </w:r>
      <w:r>
        <w:rPr>
          <w:rFonts w:hint="eastAsia" w:ascii="Times New Roman" w:hAnsi="Times New Roman" w:eastAsia="方正仿宋_GBK" w:cs="Times New Roman"/>
          <w:b w:val="0"/>
          <w:color w:val="000000"/>
          <w:sz w:val="28"/>
        </w:rPr>
        <w:t>%，主要原因为</w:t>
      </w:r>
      <w:r>
        <w:rPr>
          <w:rFonts w:hint="eastAsia" w:ascii="Times New Roman" w:hAnsi="Times New Roman" w:eastAsia="方正仿宋_GBK" w:cs="Times New Roman"/>
          <w:b w:val="0"/>
          <w:color w:val="000000"/>
          <w:sz w:val="28"/>
          <w:lang w:val="en-US" w:eastAsia="zh-CN"/>
        </w:rPr>
        <w:t>严格遵守八项规定，减少支出</w:t>
      </w:r>
      <w:r>
        <w:rPr>
          <w:rFonts w:hint="eastAsia" w:ascii="Times New Roman" w:hAnsi="Times New Roman" w:eastAsia="方正仿宋_GBK" w:cs="Times New Roman"/>
          <w:b w:val="0"/>
          <w:color w:val="000000"/>
          <w:sz w:val="28"/>
        </w:rPr>
        <w:t>。）公务接等费0万元，与上年持平。</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color w:val="000000"/>
          <w:sz w:val="28"/>
        </w:rPr>
      </w:pPr>
    </w:p>
    <w:p>
      <w:pPr>
        <w:keepNext w:val="0"/>
        <w:keepLines w:val="0"/>
        <w:pageBreakBefore w:val="0"/>
        <w:widowControl/>
        <w:numPr>
          <w:ilvl w:val="0"/>
          <w:numId w:val="1"/>
        </w:numPr>
        <w:kinsoku/>
        <w:wordWrap/>
        <w:overflowPunct/>
        <w:topLinePunct w:val="0"/>
        <w:bidi w:val="0"/>
        <w:snapToGrid/>
        <w:spacing w:line="560" w:lineRule="exact"/>
        <w:ind w:left="0" w:leftChars="0" w:firstLine="640" w:firstLineChars="0"/>
        <w:jc w:val="left"/>
        <w:textAlignment w:val="auto"/>
        <w:outlineLvl w:val="5"/>
        <w:rPr>
          <w:rFonts w:ascii="黑体" w:hAnsi="黑体" w:eastAsia="黑体" w:cs="黑体"/>
          <w:color w:val="000000"/>
          <w:sz w:val="32"/>
          <w:highlight w:val="none"/>
        </w:rPr>
      </w:pPr>
      <w:r>
        <w:rPr>
          <w:rFonts w:ascii="黑体" w:hAnsi="黑体" w:eastAsia="黑体" w:cs="黑体"/>
          <w:color w:val="000000"/>
          <w:sz w:val="32"/>
          <w:highlight w:val="none"/>
        </w:rPr>
        <w:t>预算绩效信息</w:t>
      </w:r>
    </w:p>
    <w:p>
      <w:pPr>
        <w:keepNext w:val="0"/>
        <w:keepLines w:val="0"/>
        <w:pageBreakBefore w:val="0"/>
        <w:widowControl/>
        <w:numPr>
          <w:ilvl w:val="0"/>
          <w:numId w:val="0"/>
        </w:numPr>
        <w:kinsoku/>
        <w:wordWrap/>
        <w:overflowPunct/>
        <w:topLinePunct w:val="0"/>
        <w:bidi w:val="0"/>
        <w:snapToGrid/>
        <w:spacing w:line="560" w:lineRule="exact"/>
        <w:jc w:val="left"/>
        <w:textAlignment w:val="auto"/>
        <w:outlineLvl w:val="5"/>
        <w:rPr>
          <w:rFonts w:ascii="黑体" w:hAnsi="黑体" w:eastAsia="黑体" w:cs="黑体"/>
          <w:color w:val="000000"/>
          <w:sz w:val="32"/>
          <w:highlight w:val="yellow"/>
        </w:rPr>
      </w:pPr>
    </w:p>
    <w:p>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方正楷体_GBK" w:eastAsia="方正楷体_GBK"/>
          <w:b/>
          <w:sz w:val="28"/>
        </w:rPr>
      </w:pPr>
      <w:r>
        <w:rPr>
          <w:rFonts w:hint="eastAsia" w:ascii="黑体" w:hAnsi="黑体" w:eastAsia="黑体" w:cs="黑体"/>
          <w:color w:val="000000"/>
          <w:sz w:val="32"/>
          <w:highlight w:val="none"/>
          <w:lang w:val="en-US" w:eastAsia="zh-CN"/>
        </w:rPr>
        <w:t xml:space="preserve">   </w:t>
      </w:r>
      <w:r>
        <w:rPr>
          <w:rFonts w:hint="eastAsia" w:ascii="方正楷体_GBK" w:eastAsia="方正楷体_GBK"/>
          <w:b/>
          <w:sz w:val="28"/>
        </w:rPr>
        <w:t>年度发展规划目标</w:t>
      </w:r>
    </w:p>
    <w:p>
      <w:pPr>
        <w:keepNext w:val="0"/>
        <w:keepLines w:val="0"/>
        <w:pageBreakBefore w:val="0"/>
        <w:widowControl/>
        <w:kinsoku/>
        <w:wordWrap/>
        <w:overflowPunct/>
        <w:topLinePunct w:val="0"/>
        <w:bidi w:val="0"/>
        <w:snapToGrid/>
        <w:spacing w:line="560" w:lineRule="exact"/>
        <w:ind w:firstLine="1124" w:firstLineChars="400"/>
        <w:jc w:val="left"/>
        <w:textAlignment w:val="auto"/>
        <w:rPr>
          <w:rFonts w:hint="eastAsia" w:ascii="方正楷体_GBK" w:eastAsia="方正楷体_GBK"/>
          <w:b/>
          <w:sz w:val="28"/>
        </w:rPr>
      </w:pPr>
      <w:r>
        <w:rPr>
          <w:rFonts w:hint="eastAsia" w:ascii="方正楷体_GBK" w:eastAsia="方正楷体_GBK"/>
          <w:b/>
          <w:sz w:val="28"/>
        </w:rPr>
        <w:t>总体目标：</w:t>
      </w:r>
    </w:p>
    <w:p>
      <w:pPr>
        <w:pStyle w:val="2"/>
        <w:keepNext w:val="0"/>
        <w:keepLines w:val="0"/>
        <w:pageBreakBefore w:val="0"/>
        <w:widowControl/>
        <w:kinsoku/>
        <w:wordWrap/>
        <w:overflowPunct/>
        <w:topLinePunct w:val="0"/>
        <w:bidi w:val="0"/>
        <w:snapToGrid/>
        <w:spacing w:after="0" w:line="560" w:lineRule="exact"/>
        <w:ind w:firstLine="560" w:firstLineChars="200"/>
        <w:textAlignment w:val="auto"/>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202</w:t>
      </w:r>
      <w:r>
        <w:rPr>
          <w:rFonts w:hint="eastAsia" w:ascii="Times New Roman" w:hAnsi="Times New Roman" w:eastAsia="方正仿宋_GBK" w:cs="Times New Roman"/>
          <w:b w:val="0"/>
          <w:color w:val="000000"/>
          <w:sz w:val="28"/>
          <w:szCs w:val="24"/>
          <w:lang w:val="en-US" w:eastAsia="zh-CN" w:bidi="ar-SA"/>
        </w:rPr>
        <w:t>2</w:t>
      </w:r>
      <w:r>
        <w:rPr>
          <w:rFonts w:hint="eastAsia" w:ascii="Times New Roman" w:hAnsi="Times New Roman" w:eastAsia="方正仿宋_GBK" w:cs="Times New Roman"/>
          <w:b w:val="0"/>
          <w:color w:val="000000"/>
          <w:sz w:val="28"/>
          <w:szCs w:val="24"/>
          <w:lang w:val="en-US" w:eastAsia="uk-UA" w:bidi="ar-SA"/>
        </w:rPr>
        <w:t>我局将立足文化旅游强市建设总体目标，围绕不断满足人民群众日益增长的美好生活需要工作目标，深入贯彻落实党的精神和</w:t>
      </w:r>
      <w:r>
        <w:rPr>
          <w:rFonts w:hint="eastAsia" w:ascii="Times New Roman" w:hAnsi="Times New Roman" w:eastAsia="方正仿宋_GBK" w:cs="Times New Roman"/>
          <w:b w:val="0"/>
          <w:color w:val="000000"/>
          <w:sz w:val="28"/>
          <w:szCs w:val="24"/>
          <w:lang w:val="en-US" w:eastAsia="zh-CN" w:bidi="ar-SA"/>
        </w:rPr>
        <w:t>县委县政府</w:t>
      </w:r>
      <w:r>
        <w:rPr>
          <w:rFonts w:hint="eastAsia" w:ascii="Times New Roman" w:hAnsi="Times New Roman" w:eastAsia="方正仿宋_GBK" w:cs="Times New Roman"/>
          <w:b w:val="0"/>
          <w:color w:val="000000"/>
          <w:sz w:val="28"/>
          <w:szCs w:val="24"/>
          <w:lang w:val="en-US" w:eastAsia="uk-UA" w:bidi="ar-SA"/>
        </w:rPr>
        <w:t>部署，重点做好以下工作，切实把“不忘初心、</w:t>
      </w:r>
      <w:bookmarkStart w:id="1" w:name="_GoBack"/>
      <w:bookmarkEnd w:id="1"/>
      <w:r>
        <w:rPr>
          <w:rFonts w:hint="eastAsia" w:ascii="Times New Roman" w:hAnsi="Times New Roman" w:eastAsia="方正仿宋_GBK" w:cs="Times New Roman"/>
          <w:b w:val="0"/>
          <w:color w:val="000000"/>
          <w:sz w:val="28"/>
          <w:szCs w:val="24"/>
          <w:lang w:val="en-US" w:eastAsia="uk-UA" w:bidi="ar-SA"/>
        </w:rPr>
        <w:t>牢记使命”主题教育成果转化为工作实效。</w:t>
      </w:r>
    </w:p>
    <w:p>
      <w:pPr>
        <w:keepNext w:val="0"/>
        <w:keepLines w:val="0"/>
        <w:pageBreakBefore w:val="0"/>
        <w:widowControl/>
        <w:kinsoku/>
        <w:wordWrap/>
        <w:overflowPunct/>
        <w:topLinePunct w:val="0"/>
        <w:bidi w:val="0"/>
        <w:snapToGrid/>
        <w:spacing w:line="560" w:lineRule="exact"/>
        <w:jc w:val="left"/>
        <w:textAlignment w:val="auto"/>
        <w:rPr>
          <w:rFonts w:hint="eastAsia" w:ascii="仿宋_GB2312" w:hAnsi="仿宋_GB2312" w:eastAsia="仿宋_GB2312" w:cs="仿宋_GB2312"/>
          <w:sz w:val="32"/>
          <w:szCs w:val="32"/>
        </w:rPr>
      </w:pPr>
      <w:r>
        <w:rPr>
          <w:rFonts w:hint="eastAsia" w:ascii="方正楷体_GBK" w:eastAsia="方正楷体_GBK"/>
          <w:b/>
          <w:sz w:val="28"/>
        </w:rPr>
        <w:t xml:space="preserve"> </w:t>
      </w:r>
      <w:r>
        <w:rPr>
          <w:rFonts w:hint="eastAsia" w:ascii="方正楷体_GBK" w:eastAsia="方正楷体_GBK"/>
          <w:b/>
          <w:sz w:val="28"/>
          <w:lang w:val="en-US" w:eastAsia="zh-CN"/>
        </w:rPr>
        <w:t xml:space="preserve">   </w:t>
      </w:r>
      <w:r>
        <w:rPr>
          <w:rFonts w:hint="eastAsia" w:ascii="方正楷体_GBK" w:eastAsia="方正楷体_GBK"/>
          <w:b/>
          <w:sz w:val="28"/>
        </w:rPr>
        <w:t xml:space="preserve"> </w:t>
      </w:r>
      <w:r>
        <w:rPr>
          <w:rFonts w:hint="eastAsia" w:ascii="方正楷体_GBK" w:eastAsia="方正楷体_GBK"/>
          <w:b/>
          <w:sz w:val="28"/>
          <w:lang w:val="en-US" w:eastAsia="zh-CN"/>
        </w:rPr>
        <w:t xml:space="preserve">       </w:t>
      </w:r>
      <w:r>
        <w:rPr>
          <w:rFonts w:hint="eastAsia" w:ascii="方正楷体_GBK" w:eastAsia="方正楷体_GBK"/>
          <w:b/>
          <w:sz w:val="28"/>
        </w:rPr>
        <w:t>职责分类绩效目标：</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部门职责分类绩效目标</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color w:val="000000"/>
          <w:sz w:val="28"/>
        </w:rPr>
      </w:pPr>
      <w:r>
        <w:rPr>
          <w:rFonts w:hint="eastAsia" w:eastAsia="方正仿宋_GBK" w:cs="Times New Roman"/>
          <w:b w:val="0"/>
          <w:color w:val="000000"/>
          <w:sz w:val="28"/>
          <w:lang w:val="en-US" w:eastAsia="zh-CN"/>
        </w:rPr>
        <w:t>1</w:t>
      </w:r>
      <w:r>
        <w:rPr>
          <w:rFonts w:hint="eastAsia" w:ascii="Times New Roman" w:hAnsi="Times New Roman" w:eastAsia="方正仿宋_GBK" w:cs="Times New Roman"/>
          <w:b w:val="0"/>
          <w:color w:val="000000"/>
          <w:sz w:val="28"/>
        </w:rPr>
        <w:t>、公共文化服务管理工作绩效目标。加快构建现代公共文化服务体系建设，积极推进重点文化项目、文化设施建设。</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color w:val="000000"/>
          <w:sz w:val="28"/>
          <w:lang w:val="en-US" w:eastAsia="zh-CN"/>
        </w:rPr>
      </w:pPr>
      <w:r>
        <w:rPr>
          <w:rFonts w:hint="eastAsia" w:eastAsia="方正仿宋_GBK" w:cs="Times New Roman"/>
          <w:b w:val="0"/>
          <w:color w:val="000000"/>
          <w:sz w:val="28"/>
          <w:lang w:val="en-US" w:eastAsia="zh-CN"/>
        </w:rPr>
        <w:t>2</w:t>
      </w:r>
      <w:r>
        <w:rPr>
          <w:rFonts w:hint="eastAsia" w:ascii="Times New Roman" w:hAnsi="Times New Roman" w:eastAsia="方正仿宋_GBK" w:cs="Times New Roman"/>
          <w:b w:val="0"/>
          <w:color w:val="000000"/>
          <w:sz w:val="28"/>
        </w:rPr>
        <w:t>、艺术管理工作绩效目标。深入实施重点文化惠民工程，提升群众对文化的满意度。</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color w:val="000000"/>
          <w:sz w:val="28"/>
        </w:rPr>
      </w:pPr>
      <w:r>
        <w:rPr>
          <w:rFonts w:hint="eastAsia" w:eastAsia="方正仿宋_GBK" w:cs="Times New Roman"/>
          <w:b w:val="0"/>
          <w:color w:val="000000"/>
          <w:sz w:val="28"/>
          <w:lang w:val="en-US" w:eastAsia="zh-CN"/>
        </w:rPr>
        <w:t>3</w:t>
      </w:r>
      <w:r>
        <w:rPr>
          <w:rFonts w:hint="eastAsia" w:ascii="Times New Roman" w:hAnsi="Times New Roman" w:eastAsia="方正仿宋_GBK" w:cs="Times New Roman"/>
          <w:b w:val="0"/>
          <w:color w:val="000000"/>
          <w:sz w:val="28"/>
        </w:rPr>
        <w:t>、文物保护工作绩效目标。推动文化遗产保护利用“五个一”。</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4</w:t>
      </w:r>
      <w:r>
        <w:rPr>
          <w:rFonts w:hint="eastAsia" w:ascii="Times New Roman" w:hAnsi="Times New Roman" w:eastAsia="方正仿宋_GBK" w:cs="Times New Roman"/>
          <w:b w:val="0"/>
          <w:color w:val="000000"/>
          <w:sz w:val="28"/>
        </w:rPr>
        <w:t>、文化市场和产业管理工作绩效目标。开展邯郸市“阳光娱乐”系列活动，群众满意度达95%以上。</w:t>
      </w:r>
    </w:p>
    <w:p>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sz w:val="32"/>
          <w:szCs w:val="32"/>
        </w:rPr>
        <w:t>实现年度发展规划目标的保障措施</w:t>
      </w:r>
    </w:p>
    <w:p>
      <w:pPr>
        <w:pStyle w:val="2"/>
        <w:keepNext w:val="0"/>
        <w:keepLines w:val="0"/>
        <w:pageBreakBefore w:val="0"/>
        <w:widowControl/>
        <w:numPr>
          <w:ilvl w:val="0"/>
          <w:numId w:val="2"/>
        </w:numPr>
        <w:kinsoku/>
        <w:wordWrap/>
        <w:overflowPunct/>
        <w:topLinePunct w:val="0"/>
        <w:autoSpaceDE/>
        <w:autoSpaceDN/>
        <w:bidi w:val="0"/>
        <w:adjustRightInd/>
        <w:snapToGrid/>
        <w:spacing w:after="0" w:line="560" w:lineRule="exact"/>
        <w:ind w:firstLine="560" w:firstLineChars="200"/>
        <w:textAlignment w:val="auto"/>
        <w:rPr>
          <w:rFonts w:hint="eastAsia"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uk-UA" w:bidi="ar-SA"/>
        </w:rPr>
        <w:t>高质量举办重大节会。以“彰文化、活旅游、聚产业、促发展、惠民生”为宗旨，高质量举办</w:t>
      </w:r>
      <w:r>
        <w:rPr>
          <w:rFonts w:hint="eastAsia" w:ascii="Times New Roman" w:hAnsi="Times New Roman" w:eastAsia="方正仿宋_GBK" w:cs="Times New Roman"/>
          <w:b w:val="0"/>
          <w:color w:val="000000"/>
          <w:sz w:val="28"/>
          <w:szCs w:val="24"/>
          <w:lang w:val="en-US" w:eastAsia="zh-CN" w:bidi="ar-SA"/>
        </w:rPr>
        <w:t>成安红色</w:t>
      </w:r>
      <w:r>
        <w:rPr>
          <w:rFonts w:hint="eastAsia" w:ascii="Times New Roman" w:hAnsi="Times New Roman" w:eastAsia="方正仿宋_GBK" w:cs="Times New Roman"/>
          <w:b w:val="0"/>
          <w:color w:val="000000"/>
          <w:sz w:val="28"/>
          <w:szCs w:val="24"/>
          <w:lang w:val="en-US" w:eastAsia="uk-UA" w:bidi="ar-SA"/>
        </w:rPr>
        <w:t>旅游</w:t>
      </w:r>
      <w:r>
        <w:rPr>
          <w:rFonts w:hint="eastAsia" w:ascii="Times New Roman" w:hAnsi="Times New Roman" w:eastAsia="方正仿宋_GBK" w:cs="Times New Roman"/>
          <w:b w:val="0"/>
          <w:color w:val="000000"/>
          <w:sz w:val="28"/>
          <w:szCs w:val="24"/>
          <w:lang w:val="en-US" w:eastAsia="zh-CN" w:bidi="ar-SA"/>
        </w:rPr>
        <w:t>节</w:t>
      </w:r>
      <w:r>
        <w:rPr>
          <w:rFonts w:hint="eastAsia" w:ascii="Times New Roman" w:hAnsi="Times New Roman" w:eastAsia="方正仿宋_GBK" w:cs="Times New Roman"/>
          <w:b w:val="0"/>
          <w:color w:val="000000"/>
          <w:sz w:val="28"/>
          <w:szCs w:val="24"/>
          <w:lang w:val="en-US" w:eastAsia="uk-UA" w:bidi="ar-SA"/>
        </w:rPr>
        <w:t>，进一步搭建文化旅游产业发展平台，提升</w:t>
      </w:r>
      <w:r>
        <w:rPr>
          <w:rFonts w:hint="eastAsia" w:ascii="Times New Roman" w:hAnsi="Times New Roman" w:eastAsia="方正仿宋_GBK" w:cs="Times New Roman"/>
          <w:b w:val="0"/>
          <w:color w:val="000000"/>
          <w:sz w:val="28"/>
          <w:szCs w:val="24"/>
          <w:lang w:val="en-US" w:eastAsia="zh-CN" w:bidi="ar-SA"/>
        </w:rPr>
        <w:t>成安</w:t>
      </w:r>
      <w:r>
        <w:rPr>
          <w:rFonts w:hint="eastAsia" w:ascii="Times New Roman" w:hAnsi="Times New Roman" w:eastAsia="方正仿宋_GBK" w:cs="Times New Roman"/>
          <w:b w:val="0"/>
          <w:color w:val="000000"/>
          <w:sz w:val="28"/>
          <w:szCs w:val="24"/>
          <w:lang w:val="en-US" w:eastAsia="uk-UA" w:bidi="ar-SA"/>
        </w:rPr>
        <w:t>知名度、美誉度，扩大</w:t>
      </w:r>
      <w:r>
        <w:rPr>
          <w:rFonts w:hint="eastAsia" w:ascii="Times New Roman" w:hAnsi="Times New Roman" w:eastAsia="方正仿宋_GBK" w:cs="Times New Roman"/>
          <w:b w:val="0"/>
          <w:color w:val="000000"/>
          <w:sz w:val="28"/>
          <w:szCs w:val="24"/>
          <w:lang w:val="en-US" w:eastAsia="zh-CN" w:bidi="ar-SA"/>
        </w:rPr>
        <w:t>成安</w:t>
      </w:r>
      <w:r>
        <w:rPr>
          <w:rFonts w:hint="eastAsia" w:ascii="Times New Roman" w:hAnsi="Times New Roman" w:eastAsia="方正仿宋_GBK" w:cs="Times New Roman"/>
          <w:b w:val="0"/>
          <w:color w:val="000000"/>
          <w:sz w:val="28"/>
          <w:szCs w:val="24"/>
          <w:lang w:val="en-US" w:eastAsia="uk-UA" w:bidi="ar-SA"/>
        </w:rPr>
        <w:t>文旅品牌影响力。同时积极探索创新市场化、社会化办会机制，精准对接市场需求，带动有效投资，确保可持续发展。</w:t>
      </w:r>
      <w:r>
        <w:rPr>
          <w:rFonts w:hint="eastAsia" w:ascii="Times New Roman" w:hAnsi="Times New Roman" w:eastAsia="方正仿宋_GBK" w:cs="Times New Roman"/>
          <w:b w:val="0"/>
          <w:color w:val="000000"/>
          <w:sz w:val="28"/>
          <w:szCs w:val="24"/>
          <w:lang w:val="en-US" w:eastAsia="zh-CN" w:bidi="ar-SA"/>
        </w:rPr>
        <w:t xml:space="preserve">   </w:t>
      </w:r>
    </w:p>
    <w:p>
      <w:pPr>
        <w:pStyle w:val="2"/>
        <w:keepNext w:val="0"/>
        <w:keepLines w:val="0"/>
        <w:pageBreakBefore w:val="0"/>
        <w:widowControl/>
        <w:numPr>
          <w:ilvl w:val="0"/>
          <w:numId w:val="2"/>
        </w:numPr>
        <w:kinsoku/>
        <w:wordWrap/>
        <w:overflowPunct/>
        <w:topLinePunct w:val="0"/>
        <w:autoSpaceDE/>
        <w:autoSpaceDN/>
        <w:bidi w:val="0"/>
        <w:adjustRightInd/>
        <w:snapToGrid/>
        <w:spacing w:after="0" w:line="560" w:lineRule="exact"/>
        <w:ind w:firstLine="560" w:firstLineChars="200"/>
        <w:textAlignment w:val="auto"/>
        <w:rPr>
          <w:rFonts w:hint="default"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uk-UA" w:bidi="ar-SA"/>
        </w:rPr>
        <w:t>加快推进重点项目建设。</w:t>
      </w:r>
      <w:r>
        <w:rPr>
          <w:rFonts w:hint="eastAsia" w:ascii="Times New Roman" w:hAnsi="Times New Roman" w:eastAsia="方正仿宋_GBK" w:cs="Times New Roman"/>
          <w:b w:val="0"/>
          <w:color w:val="000000"/>
          <w:sz w:val="28"/>
          <w:szCs w:val="24"/>
          <w:lang w:val="en-US" w:eastAsia="zh-CN" w:bidi="ar-SA"/>
        </w:rPr>
        <w:t>推进图书馆定级，进一步完善县文化馆,图书馆以及乡镇文化站的免费开放.</w:t>
      </w:r>
      <w:r>
        <w:rPr>
          <w:rFonts w:hint="eastAsia" w:ascii="Times New Roman" w:hAnsi="Times New Roman" w:eastAsia="方正仿宋_GBK" w:cs="Times New Roman"/>
          <w:b w:val="0"/>
          <w:color w:val="000000"/>
          <w:sz w:val="28"/>
          <w:szCs w:val="24"/>
          <w:lang w:val="en-US" w:eastAsia="uk-UA" w:bidi="ar-SA"/>
        </w:rPr>
        <w:t>持续推进旅游“厕所革命”，促进旅游交通标识牌、旅游集散与咨询服务体系建设，持续完善公共服务设施网络。积极推进文化公园建设，提升人文品位，彰显文化特色。</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w:t>
      </w:r>
      <w:r>
        <w:rPr>
          <w:rFonts w:hint="eastAsia" w:ascii="Times New Roman" w:hAnsi="Times New Roman" w:eastAsia="方正仿宋_GBK" w:cs="Times New Roman"/>
          <w:b w:val="0"/>
          <w:color w:val="000000"/>
          <w:sz w:val="28"/>
          <w:szCs w:val="24"/>
          <w:lang w:val="en-US" w:eastAsia="zh-CN" w:bidi="ar-SA"/>
        </w:rPr>
        <w:t>三</w:t>
      </w:r>
      <w:r>
        <w:rPr>
          <w:rFonts w:hint="eastAsia" w:ascii="Times New Roman" w:hAnsi="Times New Roman" w:eastAsia="方正仿宋_GBK" w:cs="Times New Roman"/>
          <w:b w:val="0"/>
          <w:color w:val="000000"/>
          <w:sz w:val="28"/>
          <w:szCs w:val="24"/>
          <w:lang w:val="en-US" w:eastAsia="uk-UA" w:bidi="ar-SA"/>
        </w:rPr>
        <w:t xml:space="preserve">）深入实施文化惠民工程。持续办好“周周有好戏”、彩色周末、送戏下乡、广播电视户户通、旅游惠民一卡通、“七进”演出等文化惠民工程，开发系列独居邯郸特色的研学旅游产品，扎实推进旅游扶贫，不断满足人民群众日益增长的美好生活需要。推进公共文化服务设施免费开放，支持邯郸大剧院大力引进国内外优秀剧目，满足市民文化欣赏需求。深化拓展“阳光娱乐”系列活动，谋划开展“阳光娱乐”文化惠民卡试点工作。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outlineLvl w:val="5"/>
        <w:rPr>
          <w:rFonts w:hint="default" w:ascii="Times New Roman" w:hAnsi="Times New Roman" w:eastAsia="方正仿宋_GBK" w:cs="Times New Roman"/>
          <w:b w:val="0"/>
          <w:color w:val="000000"/>
          <w:sz w:val="28"/>
          <w:szCs w:val="24"/>
          <w:lang w:val="en-US" w:eastAsia="zh-CN" w:bidi="ar-SA"/>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1、成安县文广旅局关于申请主题教育党建馆资金的报告绩效目标表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墙体密度板造型，墙面等平方数</w:t>
            </w:r>
          </w:p>
        </w:tc>
        <w:tc>
          <w:tcPr>
            <w:tcW w:w="2835" w:type="dxa"/>
            <w:vAlign w:val="center"/>
          </w:tcPr>
          <w:p>
            <w:pPr>
              <w:pStyle w:val="16"/>
            </w:pPr>
            <w:r>
              <w:t>墙体密度板造型，墙面等平方数</w:t>
            </w:r>
          </w:p>
        </w:tc>
        <w:tc>
          <w:tcPr>
            <w:tcW w:w="2551" w:type="dxa"/>
            <w:vAlign w:val="center"/>
          </w:tcPr>
          <w:p>
            <w:pPr>
              <w:pStyle w:val="16"/>
            </w:pPr>
            <w:r>
              <w:t>125.2平方米</w:t>
            </w:r>
          </w:p>
        </w:tc>
        <w:tc>
          <w:tcPr>
            <w:tcW w:w="2268" w:type="dxa"/>
            <w:vAlign w:val="center"/>
          </w:tcPr>
          <w:p>
            <w:pPr>
              <w:pStyle w:val="16"/>
            </w:pPr>
            <w:r>
              <w:t>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验收合格率</w:t>
            </w:r>
          </w:p>
        </w:tc>
        <w:tc>
          <w:tcPr>
            <w:tcW w:w="2835" w:type="dxa"/>
            <w:vAlign w:val="center"/>
          </w:tcPr>
          <w:p>
            <w:pPr>
              <w:pStyle w:val="16"/>
            </w:pPr>
            <w:r>
              <w:t>工程验收合格率</w:t>
            </w:r>
          </w:p>
        </w:tc>
        <w:tc>
          <w:tcPr>
            <w:tcW w:w="2551" w:type="dxa"/>
            <w:vAlign w:val="center"/>
          </w:tcPr>
          <w:p>
            <w:pPr>
              <w:pStyle w:val="16"/>
            </w:pPr>
            <w:r>
              <w:t>≥98验收表</w:t>
            </w:r>
          </w:p>
        </w:tc>
        <w:tc>
          <w:tcPr>
            <w:tcW w:w="2268" w:type="dxa"/>
            <w:vAlign w:val="center"/>
          </w:tcPr>
          <w:p>
            <w:pPr>
              <w:pStyle w:val="16"/>
            </w:pPr>
            <w:r>
              <w:t>工程验收单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工程周期</w:t>
            </w:r>
          </w:p>
        </w:tc>
        <w:tc>
          <w:tcPr>
            <w:tcW w:w="2835" w:type="dxa"/>
            <w:vAlign w:val="center"/>
          </w:tcPr>
          <w:p>
            <w:pPr>
              <w:pStyle w:val="16"/>
            </w:pPr>
            <w:r>
              <w:t>该项目进行周期</w:t>
            </w:r>
          </w:p>
        </w:tc>
        <w:tc>
          <w:tcPr>
            <w:tcW w:w="2551" w:type="dxa"/>
            <w:vAlign w:val="center"/>
          </w:tcPr>
          <w:p>
            <w:pPr>
              <w:pStyle w:val="16"/>
            </w:pPr>
            <w:r>
              <w:t>85天</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墙体密度板造型，墙面等每平方单价</w:t>
            </w:r>
          </w:p>
        </w:tc>
        <w:tc>
          <w:tcPr>
            <w:tcW w:w="2835" w:type="dxa"/>
            <w:vAlign w:val="center"/>
          </w:tcPr>
          <w:p>
            <w:pPr>
              <w:pStyle w:val="16"/>
            </w:pPr>
            <w:r>
              <w:t>墙体密度板造型，墙面等每平方单价</w:t>
            </w:r>
          </w:p>
        </w:tc>
        <w:tc>
          <w:tcPr>
            <w:tcW w:w="2551" w:type="dxa"/>
            <w:vAlign w:val="center"/>
          </w:tcPr>
          <w:p>
            <w:pPr>
              <w:pStyle w:val="16"/>
            </w:pPr>
            <w:r>
              <w:t>228元</w:t>
            </w:r>
          </w:p>
        </w:tc>
        <w:tc>
          <w:tcPr>
            <w:tcW w:w="2268" w:type="dxa"/>
            <w:vAlign w:val="center"/>
          </w:tcPr>
          <w:p>
            <w:pPr>
              <w:pStyle w:val="16"/>
            </w:pPr>
            <w:r>
              <w:t>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党史宣传普及度</w:t>
            </w:r>
          </w:p>
        </w:tc>
        <w:tc>
          <w:tcPr>
            <w:tcW w:w="2835" w:type="dxa"/>
            <w:vAlign w:val="center"/>
          </w:tcPr>
          <w:p>
            <w:pPr>
              <w:pStyle w:val="16"/>
            </w:pPr>
            <w:r>
              <w:t>党史宣传普及面大范围提升</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党史文化得到很好的宣传</w:t>
            </w:r>
          </w:p>
        </w:tc>
        <w:tc>
          <w:tcPr>
            <w:tcW w:w="2835" w:type="dxa"/>
            <w:vAlign w:val="center"/>
          </w:tcPr>
          <w:p>
            <w:pPr>
              <w:pStyle w:val="16"/>
            </w:pPr>
            <w:r>
              <w:t>党史文化得到很好的宣传</w:t>
            </w:r>
          </w:p>
        </w:tc>
        <w:tc>
          <w:tcPr>
            <w:tcW w:w="2551" w:type="dxa"/>
            <w:vAlign w:val="center"/>
          </w:tcPr>
          <w:p>
            <w:pPr>
              <w:pStyle w:val="16"/>
            </w:pPr>
            <w:r>
              <w:t>大力宣传</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2、成安县文化广电和旅游局关于申请文物保护经费的报告绩效目标表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文物下乡普查的次数</w:t>
            </w:r>
          </w:p>
        </w:tc>
        <w:tc>
          <w:tcPr>
            <w:tcW w:w="2835" w:type="dxa"/>
            <w:vAlign w:val="center"/>
          </w:tcPr>
          <w:p>
            <w:pPr>
              <w:pStyle w:val="16"/>
            </w:pPr>
            <w:r>
              <w:t>每年下乡文物普查的次数</w:t>
            </w:r>
          </w:p>
        </w:tc>
        <w:tc>
          <w:tcPr>
            <w:tcW w:w="2551" w:type="dxa"/>
            <w:vAlign w:val="center"/>
          </w:tcPr>
          <w:p>
            <w:pPr>
              <w:pStyle w:val="16"/>
            </w:pPr>
            <w:r>
              <w:t>2次</w:t>
            </w:r>
          </w:p>
        </w:tc>
        <w:tc>
          <w:tcPr>
            <w:tcW w:w="2268" w:type="dxa"/>
            <w:vAlign w:val="center"/>
          </w:tcPr>
          <w:p>
            <w:pPr>
              <w:pStyle w:val="16"/>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发放看护费工资的人数</w:t>
            </w:r>
          </w:p>
        </w:tc>
        <w:tc>
          <w:tcPr>
            <w:tcW w:w="2835" w:type="dxa"/>
            <w:vAlign w:val="center"/>
          </w:tcPr>
          <w:p>
            <w:pPr>
              <w:pStyle w:val="16"/>
            </w:pPr>
            <w:r>
              <w:t>发放看护费工资的人数</w:t>
            </w:r>
          </w:p>
        </w:tc>
        <w:tc>
          <w:tcPr>
            <w:tcW w:w="2551" w:type="dxa"/>
            <w:vAlign w:val="center"/>
          </w:tcPr>
          <w:p>
            <w:pPr>
              <w:pStyle w:val="16"/>
            </w:pPr>
            <w:r>
              <w:t>18人</w:t>
            </w:r>
          </w:p>
        </w:tc>
        <w:tc>
          <w:tcPr>
            <w:tcW w:w="2268" w:type="dxa"/>
            <w:vAlign w:val="center"/>
          </w:tcPr>
          <w:p>
            <w:pPr>
              <w:pStyle w:val="16"/>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所保管文物的完好率</w:t>
            </w:r>
          </w:p>
        </w:tc>
        <w:tc>
          <w:tcPr>
            <w:tcW w:w="2835" w:type="dxa"/>
            <w:vAlign w:val="center"/>
          </w:tcPr>
          <w:p>
            <w:pPr>
              <w:pStyle w:val="16"/>
            </w:pPr>
            <w:r>
              <w:t>所保管文物的完好率</w:t>
            </w:r>
          </w:p>
        </w:tc>
        <w:tc>
          <w:tcPr>
            <w:tcW w:w="2551" w:type="dxa"/>
            <w:vAlign w:val="center"/>
          </w:tcPr>
          <w:p>
            <w:pPr>
              <w:pStyle w:val="16"/>
            </w:pPr>
            <w:r>
              <w:t>≥98百分比</w:t>
            </w:r>
          </w:p>
        </w:tc>
        <w:tc>
          <w:tcPr>
            <w:tcW w:w="2268" w:type="dxa"/>
            <w:vAlign w:val="center"/>
          </w:tcPr>
          <w:p>
            <w:pPr>
              <w:pStyle w:val="16"/>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文物下乡普查的周期</w:t>
            </w:r>
          </w:p>
        </w:tc>
        <w:tc>
          <w:tcPr>
            <w:tcW w:w="2835" w:type="dxa"/>
            <w:vAlign w:val="center"/>
          </w:tcPr>
          <w:p>
            <w:pPr>
              <w:pStyle w:val="16"/>
            </w:pPr>
            <w:r>
              <w:t>每次下乡文物普查的周期</w:t>
            </w:r>
          </w:p>
        </w:tc>
        <w:tc>
          <w:tcPr>
            <w:tcW w:w="2551" w:type="dxa"/>
            <w:vAlign w:val="center"/>
          </w:tcPr>
          <w:p>
            <w:pPr>
              <w:pStyle w:val="16"/>
            </w:pPr>
            <w:r>
              <w:t>60天</w:t>
            </w:r>
          </w:p>
        </w:tc>
        <w:tc>
          <w:tcPr>
            <w:tcW w:w="2268" w:type="dxa"/>
            <w:vAlign w:val="center"/>
          </w:tcPr>
          <w:p>
            <w:pPr>
              <w:pStyle w:val="16"/>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文物下乡普查租车费</w:t>
            </w:r>
          </w:p>
        </w:tc>
        <w:tc>
          <w:tcPr>
            <w:tcW w:w="2835" w:type="dxa"/>
            <w:vAlign w:val="center"/>
          </w:tcPr>
          <w:p>
            <w:pPr>
              <w:pStyle w:val="16"/>
            </w:pPr>
            <w:r>
              <w:t>每次下乡文物普查租车费</w:t>
            </w:r>
          </w:p>
        </w:tc>
        <w:tc>
          <w:tcPr>
            <w:tcW w:w="2551" w:type="dxa"/>
            <w:vAlign w:val="center"/>
          </w:tcPr>
          <w:p>
            <w:pPr>
              <w:pStyle w:val="16"/>
            </w:pPr>
            <w:r>
              <w:t>9000元</w:t>
            </w:r>
          </w:p>
        </w:tc>
        <w:tc>
          <w:tcPr>
            <w:tcW w:w="2268" w:type="dxa"/>
            <w:vAlign w:val="center"/>
          </w:tcPr>
          <w:p>
            <w:pPr>
              <w:pStyle w:val="16"/>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文物保护利用成果的社会效果</w:t>
            </w:r>
          </w:p>
        </w:tc>
        <w:tc>
          <w:tcPr>
            <w:tcW w:w="2835" w:type="dxa"/>
            <w:vAlign w:val="center"/>
          </w:tcPr>
          <w:p>
            <w:pPr>
              <w:pStyle w:val="16"/>
            </w:pPr>
            <w:r>
              <w:t>文物保护利用成果的社会效果</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推动文物保护长远发展</w:t>
            </w:r>
          </w:p>
        </w:tc>
        <w:tc>
          <w:tcPr>
            <w:tcW w:w="2835" w:type="dxa"/>
            <w:vAlign w:val="center"/>
          </w:tcPr>
          <w:p>
            <w:pPr>
              <w:pStyle w:val="16"/>
            </w:pPr>
            <w:r>
              <w:t>推动文物保护长远发展</w:t>
            </w:r>
          </w:p>
        </w:tc>
        <w:tc>
          <w:tcPr>
            <w:tcW w:w="2551" w:type="dxa"/>
            <w:vAlign w:val="center"/>
          </w:tcPr>
          <w:p>
            <w:pPr>
              <w:pStyle w:val="16"/>
            </w:pPr>
            <w:r>
              <w:t>大力推动</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3、成安县文化广电和旅游局申请毛主席纪念馆工作经费绩效目标表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支付工资的人数</w:t>
            </w:r>
          </w:p>
        </w:tc>
        <w:tc>
          <w:tcPr>
            <w:tcW w:w="2835" w:type="dxa"/>
            <w:vAlign w:val="center"/>
          </w:tcPr>
          <w:p>
            <w:pPr>
              <w:pStyle w:val="16"/>
            </w:pPr>
            <w:r>
              <w:t>支付工资的人数</w:t>
            </w:r>
          </w:p>
        </w:tc>
        <w:tc>
          <w:tcPr>
            <w:tcW w:w="2551" w:type="dxa"/>
            <w:vAlign w:val="center"/>
          </w:tcPr>
          <w:p>
            <w:pPr>
              <w:pStyle w:val="16"/>
            </w:pPr>
            <w:r>
              <w:t>9人</w:t>
            </w:r>
          </w:p>
        </w:tc>
        <w:tc>
          <w:tcPr>
            <w:tcW w:w="2268" w:type="dxa"/>
            <w:vAlign w:val="center"/>
          </w:tcPr>
          <w:p>
            <w:pPr>
              <w:pStyle w:val="16"/>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工资发放保障率</w:t>
            </w:r>
          </w:p>
        </w:tc>
        <w:tc>
          <w:tcPr>
            <w:tcW w:w="2835" w:type="dxa"/>
            <w:vAlign w:val="center"/>
          </w:tcPr>
          <w:p>
            <w:pPr>
              <w:pStyle w:val="16"/>
            </w:pPr>
            <w:r>
              <w:t>保障工资发放到位率</w:t>
            </w:r>
          </w:p>
        </w:tc>
        <w:tc>
          <w:tcPr>
            <w:tcW w:w="2551" w:type="dxa"/>
            <w:vAlign w:val="center"/>
          </w:tcPr>
          <w:p>
            <w:pPr>
              <w:pStyle w:val="16"/>
            </w:pPr>
            <w:r>
              <w:t>100百分比</w:t>
            </w:r>
          </w:p>
        </w:tc>
        <w:tc>
          <w:tcPr>
            <w:tcW w:w="2268" w:type="dxa"/>
            <w:vAlign w:val="center"/>
          </w:tcPr>
          <w:p>
            <w:pPr>
              <w:pStyle w:val="16"/>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保障纪念馆正常运行周期</w:t>
            </w:r>
          </w:p>
        </w:tc>
        <w:tc>
          <w:tcPr>
            <w:tcW w:w="2835" w:type="dxa"/>
            <w:vAlign w:val="center"/>
          </w:tcPr>
          <w:p>
            <w:pPr>
              <w:pStyle w:val="16"/>
            </w:pPr>
            <w:r>
              <w:t>纪念馆正常运行周期</w:t>
            </w:r>
          </w:p>
        </w:tc>
        <w:tc>
          <w:tcPr>
            <w:tcW w:w="2551" w:type="dxa"/>
            <w:vAlign w:val="center"/>
          </w:tcPr>
          <w:p>
            <w:pPr>
              <w:pStyle w:val="16"/>
            </w:pPr>
            <w:r>
              <w:t>1年</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摆放花坛的完整率</w:t>
            </w:r>
          </w:p>
        </w:tc>
        <w:tc>
          <w:tcPr>
            <w:tcW w:w="2835" w:type="dxa"/>
            <w:vAlign w:val="center"/>
          </w:tcPr>
          <w:p>
            <w:pPr>
              <w:pStyle w:val="16"/>
            </w:pPr>
            <w:r>
              <w:t>租摆的花坛的成活率及完整率</w:t>
            </w:r>
          </w:p>
        </w:tc>
        <w:tc>
          <w:tcPr>
            <w:tcW w:w="2551" w:type="dxa"/>
            <w:vAlign w:val="center"/>
          </w:tcPr>
          <w:p>
            <w:pPr>
              <w:pStyle w:val="16"/>
            </w:pPr>
            <w:r>
              <w:t>100百分比</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花坛摆设费</w:t>
            </w:r>
          </w:p>
        </w:tc>
        <w:tc>
          <w:tcPr>
            <w:tcW w:w="2835" w:type="dxa"/>
            <w:vAlign w:val="center"/>
          </w:tcPr>
          <w:p>
            <w:pPr>
              <w:pStyle w:val="16"/>
            </w:pPr>
            <w:r>
              <w:t>月花坛摆放费</w:t>
            </w:r>
          </w:p>
        </w:tc>
        <w:tc>
          <w:tcPr>
            <w:tcW w:w="2551" w:type="dxa"/>
            <w:vAlign w:val="center"/>
          </w:tcPr>
          <w:p>
            <w:pPr>
              <w:pStyle w:val="16"/>
            </w:pPr>
            <w:r>
              <w:t>3000元</w:t>
            </w:r>
          </w:p>
        </w:tc>
        <w:tc>
          <w:tcPr>
            <w:tcW w:w="2268" w:type="dxa"/>
            <w:vAlign w:val="center"/>
          </w:tcPr>
          <w:p>
            <w:pPr>
              <w:pStyle w:val="16"/>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提升红色文化服务水平</w:t>
            </w:r>
          </w:p>
        </w:tc>
        <w:tc>
          <w:tcPr>
            <w:tcW w:w="2835" w:type="dxa"/>
            <w:vAlign w:val="center"/>
          </w:tcPr>
          <w:p>
            <w:pPr>
              <w:pStyle w:val="16"/>
            </w:pPr>
            <w:r>
              <w:t>提升红色文化服务水平</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红色文化得到更好的传承</w:t>
            </w:r>
          </w:p>
        </w:tc>
        <w:tc>
          <w:tcPr>
            <w:tcW w:w="2835" w:type="dxa"/>
            <w:vAlign w:val="center"/>
          </w:tcPr>
          <w:p>
            <w:pPr>
              <w:pStyle w:val="16"/>
            </w:pPr>
            <w:r>
              <w:t>红色文化得到更好的传承</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4、冀财教【2018】117号中央补助地方美术馆公共图书馆 文化馆（站）免费开放专项资金绩效目标表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配备文化用品行政村数量</w:t>
            </w:r>
          </w:p>
        </w:tc>
        <w:tc>
          <w:tcPr>
            <w:tcW w:w="2835" w:type="dxa"/>
            <w:vAlign w:val="center"/>
          </w:tcPr>
          <w:p>
            <w:pPr>
              <w:pStyle w:val="16"/>
            </w:pPr>
            <w:r>
              <w:t>所配备文化用品行政村的数量</w:t>
            </w:r>
          </w:p>
        </w:tc>
        <w:tc>
          <w:tcPr>
            <w:tcW w:w="2551" w:type="dxa"/>
            <w:vAlign w:val="center"/>
          </w:tcPr>
          <w:p>
            <w:pPr>
              <w:pStyle w:val="16"/>
            </w:pPr>
            <w:r>
              <w:t>45个</w:t>
            </w:r>
          </w:p>
        </w:tc>
        <w:tc>
          <w:tcPr>
            <w:tcW w:w="2268" w:type="dxa"/>
            <w:vAlign w:val="center"/>
          </w:tcPr>
          <w:p>
            <w:pPr>
              <w:pStyle w:val="16"/>
            </w:pPr>
            <w:r>
              <w:t>资产移交清单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采购文化用品合格率</w:t>
            </w:r>
          </w:p>
        </w:tc>
        <w:tc>
          <w:tcPr>
            <w:tcW w:w="2835" w:type="dxa"/>
            <w:vAlign w:val="center"/>
          </w:tcPr>
          <w:p>
            <w:pPr>
              <w:pStyle w:val="16"/>
            </w:pPr>
            <w:r>
              <w:t>所采购文化用品的合格率</w:t>
            </w:r>
          </w:p>
        </w:tc>
        <w:tc>
          <w:tcPr>
            <w:tcW w:w="2551" w:type="dxa"/>
            <w:vAlign w:val="center"/>
          </w:tcPr>
          <w:p>
            <w:pPr>
              <w:pStyle w:val="16"/>
            </w:pPr>
            <w:r>
              <w:t>≥98百分比</w:t>
            </w:r>
          </w:p>
        </w:tc>
        <w:tc>
          <w:tcPr>
            <w:tcW w:w="2268" w:type="dxa"/>
            <w:vAlign w:val="center"/>
          </w:tcPr>
          <w:p>
            <w:pPr>
              <w:pStyle w:val="16"/>
            </w:pPr>
            <w: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采购的周期</w:t>
            </w:r>
          </w:p>
        </w:tc>
        <w:tc>
          <w:tcPr>
            <w:tcW w:w="2835" w:type="dxa"/>
            <w:vAlign w:val="center"/>
          </w:tcPr>
          <w:p>
            <w:pPr>
              <w:pStyle w:val="16"/>
            </w:pPr>
            <w:r>
              <w:t>采购文化用品的周期</w:t>
            </w:r>
          </w:p>
        </w:tc>
        <w:tc>
          <w:tcPr>
            <w:tcW w:w="2551" w:type="dxa"/>
            <w:vAlign w:val="center"/>
          </w:tcPr>
          <w:p>
            <w:pPr>
              <w:pStyle w:val="16"/>
            </w:pPr>
            <w:r>
              <w:t>≥2月</w:t>
            </w:r>
          </w:p>
        </w:tc>
        <w:tc>
          <w:tcPr>
            <w:tcW w:w="2268" w:type="dxa"/>
            <w:vAlign w:val="center"/>
          </w:tcPr>
          <w:p>
            <w:pPr>
              <w:pStyle w:val="16"/>
            </w:pPr>
            <w:r>
              <w:t>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采购电脑的单价</w:t>
            </w:r>
          </w:p>
        </w:tc>
        <w:tc>
          <w:tcPr>
            <w:tcW w:w="2835" w:type="dxa"/>
            <w:vAlign w:val="center"/>
          </w:tcPr>
          <w:p>
            <w:pPr>
              <w:pStyle w:val="16"/>
            </w:pPr>
            <w:r>
              <w:t>所采购电脑的单价</w:t>
            </w:r>
          </w:p>
        </w:tc>
        <w:tc>
          <w:tcPr>
            <w:tcW w:w="2551" w:type="dxa"/>
            <w:vAlign w:val="center"/>
          </w:tcPr>
          <w:p>
            <w:pPr>
              <w:pStyle w:val="16"/>
            </w:pPr>
            <w:r>
              <w:t>≥4000元</w:t>
            </w:r>
          </w:p>
        </w:tc>
        <w:tc>
          <w:tcPr>
            <w:tcW w:w="2268" w:type="dxa"/>
            <w:vAlign w:val="center"/>
          </w:tcPr>
          <w:p>
            <w:pPr>
              <w:pStyle w:val="16"/>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基层文化服务水平稳步上升</w:t>
            </w:r>
          </w:p>
        </w:tc>
        <w:tc>
          <w:tcPr>
            <w:tcW w:w="2835" w:type="dxa"/>
            <w:vAlign w:val="center"/>
          </w:tcPr>
          <w:p>
            <w:pPr>
              <w:pStyle w:val="16"/>
            </w:pPr>
            <w:r>
              <w:t>基层文化服务水平稳步上升</w:t>
            </w:r>
          </w:p>
        </w:tc>
        <w:tc>
          <w:tcPr>
            <w:tcW w:w="2551" w:type="dxa"/>
            <w:vAlign w:val="center"/>
          </w:tcPr>
          <w:p>
            <w:pPr>
              <w:pStyle w:val="16"/>
            </w:pPr>
            <w:r>
              <w:t>稳步上升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传播推广群众文化</w:t>
            </w:r>
          </w:p>
        </w:tc>
        <w:tc>
          <w:tcPr>
            <w:tcW w:w="2835" w:type="dxa"/>
            <w:vAlign w:val="center"/>
          </w:tcPr>
          <w:p>
            <w:pPr>
              <w:pStyle w:val="16"/>
            </w:pPr>
            <w:r>
              <w:t>传播推广群众文化</w:t>
            </w:r>
          </w:p>
        </w:tc>
        <w:tc>
          <w:tcPr>
            <w:tcW w:w="2551" w:type="dxa"/>
            <w:vAlign w:val="center"/>
          </w:tcPr>
          <w:p>
            <w:pPr>
              <w:pStyle w:val="16"/>
            </w:pPr>
            <w:r>
              <w:t>有效传播</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5、冀财教【2018】156号提前下达2019年省级宣传文化（发展）专项资金的通知绩效目标表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采购文化用品的种类</w:t>
            </w:r>
          </w:p>
        </w:tc>
        <w:tc>
          <w:tcPr>
            <w:tcW w:w="2835" w:type="dxa"/>
            <w:vAlign w:val="center"/>
          </w:tcPr>
          <w:p>
            <w:pPr>
              <w:pStyle w:val="16"/>
            </w:pPr>
            <w:r>
              <w:t>所采购文化用品的种类</w:t>
            </w:r>
          </w:p>
        </w:tc>
        <w:tc>
          <w:tcPr>
            <w:tcW w:w="2551" w:type="dxa"/>
            <w:vAlign w:val="center"/>
          </w:tcPr>
          <w:p>
            <w:pPr>
              <w:pStyle w:val="16"/>
            </w:pPr>
            <w:r>
              <w:t>6种</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采购用品合格率</w:t>
            </w:r>
          </w:p>
        </w:tc>
        <w:tc>
          <w:tcPr>
            <w:tcW w:w="2835" w:type="dxa"/>
            <w:vAlign w:val="center"/>
          </w:tcPr>
          <w:p>
            <w:pPr>
              <w:pStyle w:val="16"/>
            </w:pPr>
            <w:r>
              <w:t>所采购的文化用品合格率</w:t>
            </w:r>
          </w:p>
        </w:tc>
        <w:tc>
          <w:tcPr>
            <w:tcW w:w="2551" w:type="dxa"/>
            <w:vAlign w:val="center"/>
          </w:tcPr>
          <w:p>
            <w:pPr>
              <w:pStyle w:val="16"/>
            </w:pPr>
            <w:r>
              <w:t>≥98百分比</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采购用品的周期</w:t>
            </w:r>
          </w:p>
        </w:tc>
        <w:tc>
          <w:tcPr>
            <w:tcW w:w="2835" w:type="dxa"/>
            <w:vAlign w:val="center"/>
          </w:tcPr>
          <w:p>
            <w:pPr>
              <w:pStyle w:val="16"/>
            </w:pPr>
            <w:r>
              <w:t>采购文化用品的周期</w:t>
            </w:r>
          </w:p>
        </w:tc>
        <w:tc>
          <w:tcPr>
            <w:tcW w:w="2551" w:type="dxa"/>
            <w:vAlign w:val="center"/>
          </w:tcPr>
          <w:p>
            <w:pPr>
              <w:pStyle w:val="16"/>
            </w:pPr>
            <w:r>
              <w:t>≥3月</w:t>
            </w:r>
          </w:p>
        </w:tc>
        <w:tc>
          <w:tcPr>
            <w:tcW w:w="2268" w:type="dxa"/>
            <w:vAlign w:val="center"/>
          </w:tcPr>
          <w:p>
            <w:pPr>
              <w:pStyle w:val="16"/>
            </w:pPr>
            <w:r>
              <w:t>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采购笔记本电脑的单价</w:t>
            </w:r>
          </w:p>
        </w:tc>
        <w:tc>
          <w:tcPr>
            <w:tcW w:w="2835" w:type="dxa"/>
            <w:vAlign w:val="center"/>
          </w:tcPr>
          <w:p>
            <w:pPr>
              <w:pStyle w:val="16"/>
            </w:pPr>
            <w:r>
              <w:t>所采购笔记本电脑的单价</w:t>
            </w:r>
          </w:p>
        </w:tc>
        <w:tc>
          <w:tcPr>
            <w:tcW w:w="2551" w:type="dxa"/>
            <w:vAlign w:val="center"/>
          </w:tcPr>
          <w:p>
            <w:pPr>
              <w:pStyle w:val="16"/>
            </w:pPr>
            <w:r>
              <w:t>≥5300元</w:t>
            </w:r>
          </w:p>
        </w:tc>
        <w:tc>
          <w:tcPr>
            <w:tcW w:w="2268" w:type="dxa"/>
            <w:vAlign w:val="center"/>
          </w:tcPr>
          <w:p>
            <w:pPr>
              <w:pStyle w:val="16"/>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文化服务水平提升</w:t>
            </w:r>
          </w:p>
        </w:tc>
        <w:tc>
          <w:tcPr>
            <w:tcW w:w="2835" w:type="dxa"/>
            <w:vAlign w:val="center"/>
          </w:tcPr>
          <w:p>
            <w:pPr>
              <w:pStyle w:val="16"/>
            </w:pPr>
            <w:r>
              <w:t>我县文化服务水平得到提升</w:t>
            </w:r>
          </w:p>
        </w:tc>
        <w:tc>
          <w:tcPr>
            <w:tcW w:w="2551" w:type="dxa"/>
            <w:vAlign w:val="center"/>
          </w:tcPr>
          <w:p>
            <w:pPr>
              <w:pStyle w:val="16"/>
            </w:pPr>
            <w:r>
              <w:t>大力提升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文化艺术中心免费开放的运转率</w:t>
            </w:r>
          </w:p>
        </w:tc>
        <w:tc>
          <w:tcPr>
            <w:tcW w:w="2835" w:type="dxa"/>
            <w:vAlign w:val="center"/>
          </w:tcPr>
          <w:p>
            <w:pPr>
              <w:pStyle w:val="16"/>
            </w:pPr>
            <w:r>
              <w:t>文化艺术中心免费开放的运转率</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6、冀财教【2019】134号提前下达2020中央补助地方公共文化服务体系建设专项资金绩效目标表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配备文化用品行政村的数量</w:t>
            </w:r>
          </w:p>
        </w:tc>
        <w:tc>
          <w:tcPr>
            <w:tcW w:w="2835" w:type="dxa"/>
            <w:vAlign w:val="center"/>
          </w:tcPr>
          <w:p>
            <w:pPr>
              <w:pStyle w:val="16"/>
            </w:pPr>
            <w:r>
              <w:t>需配备文化用品的行政村数量</w:t>
            </w:r>
          </w:p>
        </w:tc>
        <w:tc>
          <w:tcPr>
            <w:tcW w:w="2551" w:type="dxa"/>
            <w:vAlign w:val="center"/>
          </w:tcPr>
          <w:p>
            <w:pPr>
              <w:pStyle w:val="16"/>
            </w:pPr>
            <w:r>
              <w:t>54个</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文化用品合格率</w:t>
            </w:r>
          </w:p>
        </w:tc>
        <w:tc>
          <w:tcPr>
            <w:tcW w:w="2835" w:type="dxa"/>
            <w:vAlign w:val="center"/>
          </w:tcPr>
          <w:p>
            <w:pPr>
              <w:pStyle w:val="16"/>
            </w:pPr>
            <w:r>
              <w:t>购买文化用品合格率</w:t>
            </w:r>
          </w:p>
        </w:tc>
        <w:tc>
          <w:tcPr>
            <w:tcW w:w="2551" w:type="dxa"/>
            <w:vAlign w:val="center"/>
          </w:tcPr>
          <w:p>
            <w:pPr>
              <w:pStyle w:val="16"/>
            </w:pPr>
            <w:r>
              <w:t>≥98百分比</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文化用品购买周期</w:t>
            </w:r>
          </w:p>
        </w:tc>
        <w:tc>
          <w:tcPr>
            <w:tcW w:w="2835" w:type="dxa"/>
            <w:vAlign w:val="center"/>
          </w:tcPr>
          <w:p>
            <w:pPr>
              <w:pStyle w:val="16"/>
            </w:pPr>
            <w:r>
              <w:t>购买文化用品所需周期</w:t>
            </w:r>
          </w:p>
        </w:tc>
        <w:tc>
          <w:tcPr>
            <w:tcW w:w="2551" w:type="dxa"/>
            <w:vAlign w:val="center"/>
          </w:tcPr>
          <w:p>
            <w:pPr>
              <w:pStyle w:val="16"/>
            </w:pPr>
            <w:r>
              <w:t>≥3月</w:t>
            </w:r>
          </w:p>
        </w:tc>
        <w:tc>
          <w:tcPr>
            <w:tcW w:w="2268" w:type="dxa"/>
            <w:vAlign w:val="center"/>
          </w:tcPr>
          <w:p>
            <w:pPr>
              <w:pStyle w:val="16"/>
            </w:pPr>
            <w:r>
              <w:t>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广场舞服的单价</w:t>
            </w:r>
          </w:p>
        </w:tc>
        <w:tc>
          <w:tcPr>
            <w:tcW w:w="2835" w:type="dxa"/>
            <w:vAlign w:val="center"/>
          </w:tcPr>
          <w:p>
            <w:pPr>
              <w:pStyle w:val="16"/>
            </w:pPr>
            <w:r>
              <w:t>购买广场舞服的单价</w:t>
            </w:r>
          </w:p>
        </w:tc>
        <w:tc>
          <w:tcPr>
            <w:tcW w:w="2551" w:type="dxa"/>
            <w:vAlign w:val="center"/>
          </w:tcPr>
          <w:p>
            <w:pPr>
              <w:pStyle w:val="16"/>
            </w:pPr>
            <w:r>
              <w:t>182元</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基层文化服务水平提升</w:t>
            </w:r>
          </w:p>
        </w:tc>
        <w:tc>
          <w:tcPr>
            <w:tcW w:w="2835" w:type="dxa"/>
            <w:vAlign w:val="center"/>
          </w:tcPr>
          <w:p>
            <w:pPr>
              <w:pStyle w:val="16"/>
            </w:pPr>
            <w:r>
              <w:t>基层文化服务水平得到提升</w:t>
            </w:r>
          </w:p>
        </w:tc>
        <w:tc>
          <w:tcPr>
            <w:tcW w:w="2551" w:type="dxa"/>
            <w:vAlign w:val="center"/>
          </w:tcPr>
          <w:p>
            <w:pPr>
              <w:pStyle w:val="16"/>
            </w:pPr>
            <w:r>
              <w:t>大力提升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群众文化得到推广</w:t>
            </w:r>
          </w:p>
        </w:tc>
        <w:tc>
          <w:tcPr>
            <w:tcW w:w="2835" w:type="dxa"/>
            <w:vAlign w:val="center"/>
          </w:tcPr>
          <w:p>
            <w:pPr>
              <w:pStyle w:val="16"/>
            </w:pPr>
            <w:r>
              <w:t>群众文化得到推广</w:t>
            </w:r>
          </w:p>
        </w:tc>
        <w:tc>
          <w:tcPr>
            <w:tcW w:w="2551" w:type="dxa"/>
            <w:vAlign w:val="center"/>
          </w:tcPr>
          <w:p>
            <w:pPr>
              <w:pStyle w:val="16"/>
            </w:pPr>
            <w:r>
              <w:t>大力推广</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服务对象的满意度</w:t>
            </w:r>
          </w:p>
        </w:tc>
        <w:tc>
          <w:tcPr>
            <w:tcW w:w="2835" w:type="dxa"/>
            <w:vAlign w:val="center"/>
          </w:tcPr>
          <w:p>
            <w:pPr>
              <w:pStyle w:val="16"/>
            </w:pPr>
            <w:r>
              <w:t>服务对象的满意度</w:t>
            </w:r>
          </w:p>
        </w:tc>
        <w:tc>
          <w:tcPr>
            <w:tcW w:w="2551" w:type="dxa"/>
            <w:vAlign w:val="center"/>
          </w:tcPr>
          <w:p>
            <w:pPr>
              <w:pStyle w:val="16"/>
            </w:pPr>
            <w:r>
              <w:t>≥98百分比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7、冀财教【2020】96号下达2020年中央支持地方公共文化服务体系建设补助资金的通知绩效目标表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所购买文化用品的种类</w:t>
            </w:r>
          </w:p>
        </w:tc>
        <w:tc>
          <w:tcPr>
            <w:tcW w:w="2835" w:type="dxa"/>
            <w:vAlign w:val="center"/>
          </w:tcPr>
          <w:p>
            <w:pPr>
              <w:pStyle w:val="16"/>
            </w:pPr>
            <w:r>
              <w:t>所购买文化用品的种类</w:t>
            </w:r>
          </w:p>
        </w:tc>
        <w:tc>
          <w:tcPr>
            <w:tcW w:w="2551" w:type="dxa"/>
            <w:vAlign w:val="center"/>
          </w:tcPr>
          <w:p>
            <w:pPr>
              <w:pStyle w:val="16"/>
            </w:pPr>
            <w:r>
              <w:t>3种</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文化用品合格率</w:t>
            </w:r>
          </w:p>
        </w:tc>
        <w:tc>
          <w:tcPr>
            <w:tcW w:w="2835" w:type="dxa"/>
            <w:vAlign w:val="center"/>
          </w:tcPr>
          <w:p>
            <w:pPr>
              <w:pStyle w:val="16"/>
            </w:pPr>
            <w:r>
              <w:t>文化用品验收合格率</w:t>
            </w:r>
          </w:p>
        </w:tc>
        <w:tc>
          <w:tcPr>
            <w:tcW w:w="2551" w:type="dxa"/>
            <w:vAlign w:val="center"/>
          </w:tcPr>
          <w:p>
            <w:pPr>
              <w:pStyle w:val="16"/>
            </w:pPr>
            <w:r>
              <w:t>≥98百分比</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购买文化用品的周期</w:t>
            </w:r>
          </w:p>
        </w:tc>
        <w:tc>
          <w:tcPr>
            <w:tcW w:w="2835" w:type="dxa"/>
            <w:vAlign w:val="center"/>
          </w:tcPr>
          <w:p>
            <w:pPr>
              <w:pStyle w:val="16"/>
            </w:pPr>
            <w:r>
              <w:t>购买文化用品的时间</w:t>
            </w:r>
          </w:p>
        </w:tc>
        <w:tc>
          <w:tcPr>
            <w:tcW w:w="2551" w:type="dxa"/>
            <w:vAlign w:val="center"/>
          </w:tcPr>
          <w:p>
            <w:pPr>
              <w:pStyle w:val="16"/>
            </w:pPr>
            <w:r>
              <w:t>≥2月</w:t>
            </w:r>
          </w:p>
        </w:tc>
        <w:tc>
          <w:tcPr>
            <w:tcW w:w="2268" w:type="dxa"/>
            <w:vAlign w:val="center"/>
          </w:tcPr>
          <w:p>
            <w:pPr>
              <w:pStyle w:val="16"/>
            </w:pPr>
            <w:r>
              <w:t>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购买演出服的单价</w:t>
            </w:r>
          </w:p>
        </w:tc>
        <w:tc>
          <w:tcPr>
            <w:tcW w:w="2835" w:type="dxa"/>
            <w:vAlign w:val="center"/>
          </w:tcPr>
          <w:p>
            <w:pPr>
              <w:pStyle w:val="16"/>
            </w:pPr>
            <w:r>
              <w:t>购买广场舞演出服的单价</w:t>
            </w:r>
          </w:p>
        </w:tc>
        <w:tc>
          <w:tcPr>
            <w:tcW w:w="2551" w:type="dxa"/>
            <w:vAlign w:val="center"/>
          </w:tcPr>
          <w:p>
            <w:pPr>
              <w:pStyle w:val="16"/>
            </w:pPr>
            <w:r>
              <w:t>182元</w:t>
            </w:r>
          </w:p>
        </w:tc>
        <w:tc>
          <w:tcPr>
            <w:tcW w:w="2268" w:type="dxa"/>
            <w:vAlign w:val="center"/>
          </w:tcPr>
          <w:p>
            <w:pPr>
              <w:pStyle w:val="16"/>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基层公共文化服务水平提升</w:t>
            </w:r>
          </w:p>
        </w:tc>
        <w:tc>
          <w:tcPr>
            <w:tcW w:w="2835" w:type="dxa"/>
            <w:vAlign w:val="center"/>
          </w:tcPr>
          <w:p>
            <w:pPr>
              <w:pStyle w:val="16"/>
            </w:pPr>
            <w:r>
              <w:t>基层公共文化服务水平</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人民生活幸福指数</w:t>
            </w:r>
          </w:p>
        </w:tc>
        <w:tc>
          <w:tcPr>
            <w:tcW w:w="2835" w:type="dxa"/>
            <w:vAlign w:val="center"/>
          </w:tcPr>
          <w:p>
            <w:pPr>
              <w:pStyle w:val="16"/>
            </w:pPr>
            <w:r>
              <w:t>基层人民生活指数得到提升</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群众文化得到推广</w:t>
            </w:r>
          </w:p>
        </w:tc>
        <w:tc>
          <w:tcPr>
            <w:tcW w:w="2835" w:type="dxa"/>
            <w:vAlign w:val="center"/>
          </w:tcPr>
          <w:p>
            <w:pPr>
              <w:pStyle w:val="16"/>
            </w:pPr>
            <w:r>
              <w:t>群众文化得到推广</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8、冀财教【2021】138号提前下达2022年中央补助地方公共文化服务体系建设专项资金绩效目标表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进行数字文化平台建设的行政村</w:t>
            </w:r>
          </w:p>
        </w:tc>
        <w:tc>
          <w:tcPr>
            <w:tcW w:w="2835" w:type="dxa"/>
            <w:vAlign w:val="center"/>
          </w:tcPr>
          <w:p>
            <w:pPr>
              <w:pStyle w:val="16"/>
            </w:pPr>
            <w:r>
              <w:t>进行数字文化平台建设的行政村数量</w:t>
            </w:r>
          </w:p>
        </w:tc>
        <w:tc>
          <w:tcPr>
            <w:tcW w:w="2551" w:type="dxa"/>
            <w:vAlign w:val="center"/>
          </w:tcPr>
          <w:p>
            <w:pPr>
              <w:pStyle w:val="16"/>
            </w:pPr>
            <w:r>
              <w:t>20个</w:t>
            </w:r>
          </w:p>
        </w:tc>
        <w:tc>
          <w:tcPr>
            <w:tcW w:w="2268"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补助资金到位率</w:t>
            </w:r>
          </w:p>
        </w:tc>
        <w:tc>
          <w:tcPr>
            <w:tcW w:w="2835" w:type="dxa"/>
            <w:vAlign w:val="center"/>
          </w:tcPr>
          <w:p>
            <w:pPr>
              <w:pStyle w:val="16"/>
            </w:pPr>
            <w:r>
              <w:t>补助资金到位率</w:t>
            </w:r>
          </w:p>
        </w:tc>
        <w:tc>
          <w:tcPr>
            <w:tcW w:w="2551" w:type="dxa"/>
            <w:vAlign w:val="center"/>
          </w:tcPr>
          <w:p>
            <w:pPr>
              <w:pStyle w:val="16"/>
            </w:pPr>
            <w:r>
              <w:t>100百分比</w:t>
            </w:r>
          </w:p>
        </w:tc>
        <w:tc>
          <w:tcPr>
            <w:tcW w:w="2268" w:type="dxa"/>
            <w:vAlign w:val="center"/>
          </w:tcPr>
          <w:p>
            <w:pPr>
              <w:pStyle w:val="16"/>
            </w:pPr>
            <w:r>
              <w:t>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文化活动按期完成率</w:t>
            </w:r>
          </w:p>
        </w:tc>
        <w:tc>
          <w:tcPr>
            <w:tcW w:w="2835" w:type="dxa"/>
            <w:vAlign w:val="center"/>
          </w:tcPr>
          <w:p>
            <w:pPr>
              <w:pStyle w:val="16"/>
            </w:pPr>
            <w:r>
              <w:t>文化活动按期完成率</w:t>
            </w:r>
          </w:p>
        </w:tc>
        <w:tc>
          <w:tcPr>
            <w:tcW w:w="2551" w:type="dxa"/>
            <w:vAlign w:val="center"/>
          </w:tcPr>
          <w:p>
            <w:pPr>
              <w:pStyle w:val="16"/>
            </w:pPr>
            <w:r>
              <w:t>≥95百分比</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≤139.85万元</w:t>
            </w:r>
          </w:p>
        </w:tc>
        <w:tc>
          <w:tcPr>
            <w:tcW w:w="2268" w:type="dxa"/>
            <w:vAlign w:val="center"/>
          </w:tcPr>
          <w:p>
            <w:pPr>
              <w:pStyle w:val="16"/>
            </w:pPr>
            <w:r>
              <w:t>专项资金文件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提升基层文化服务水平</w:t>
            </w:r>
          </w:p>
        </w:tc>
        <w:tc>
          <w:tcPr>
            <w:tcW w:w="2835" w:type="dxa"/>
            <w:vAlign w:val="center"/>
          </w:tcPr>
          <w:p>
            <w:pPr>
              <w:pStyle w:val="16"/>
            </w:pPr>
            <w:r>
              <w:t>基层文化服务水平提升</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传播推广群众文化</w:t>
            </w:r>
          </w:p>
        </w:tc>
        <w:tc>
          <w:tcPr>
            <w:tcW w:w="2835" w:type="dxa"/>
            <w:vAlign w:val="center"/>
          </w:tcPr>
          <w:p>
            <w:pPr>
              <w:pStyle w:val="16"/>
            </w:pPr>
            <w:r>
              <w:t>传播推广群众文化</w:t>
            </w:r>
          </w:p>
        </w:tc>
        <w:tc>
          <w:tcPr>
            <w:tcW w:w="2551" w:type="dxa"/>
            <w:vAlign w:val="center"/>
          </w:tcPr>
          <w:p>
            <w:pPr>
              <w:pStyle w:val="16"/>
            </w:pPr>
            <w:r>
              <w:t>大力传播</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9、冀财教【2021】141号提前下达2022中央补助地方美术馆 公共图书馆 文化馆免费开放资金的通知绩效目标表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免费开放的乡镇文化站数量</w:t>
            </w:r>
          </w:p>
        </w:tc>
        <w:tc>
          <w:tcPr>
            <w:tcW w:w="2835" w:type="dxa"/>
            <w:vAlign w:val="center"/>
          </w:tcPr>
          <w:p>
            <w:pPr>
              <w:pStyle w:val="16"/>
            </w:pPr>
            <w:r>
              <w:t>免费开放的乡镇文化站的数量</w:t>
            </w:r>
          </w:p>
        </w:tc>
        <w:tc>
          <w:tcPr>
            <w:tcW w:w="2551" w:type="dxa"/>
            <w:vAlign w:val="center"/>
          </w:tcPr>
          <w:p>
            <w:pPr>
              <w:pStyle w:val="16"/>
            </w:pPr>
            <w:r>
              <w:t>10个</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举办文化活动较上年增长率</w:t>
            </w:r>
          </w:p>
        </w:tc>
        <w:tc>
          <w:tcPr>
            <w:tcW w:w="2835" w:type="dxa"/>
            <w:vAlign w:val="center"/>
          </w:tcPr>
          <w:p>
            <w:pPr>
              <w:pStyle w:val="16"/>
            </w:pPr>
            <w:r>
              <w:t>举办文化活动较上年增长率</w:t>
            </w:r>
          </w:p>
        </w:tc>
        <w:tc>
          <w:tcPr>
            <w:tcW w:w="2551" w:type="dxa"/>
            <w:vAlign w:val="center"/>
          </w:tcPr>
          <w:p>
            <w:pPr>
              <w:pStyle w:val="16"/>
            </w:pPr>
            <w:r>
              <w:t>≥5百分比</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免费开放的周期</w:t>
            </w:r>
          </w:p>
        </w:tc>
        <w:tc>
          <w:tcPr>
            <w:tcW w:w="2835" w:type="dxa"/>
            <w:vAlign w:val="center"/>
          </w:tcPr>
          <w:p>
            <w:pPr>
              <w:pStyle w:val="16"/>
            </w:pPr>
            <w:r>
              <w:t>文化站免费开放的周期</w:t>
            </w:r>
          </w:p>
        </w:tc>
        <w:tc>
          <w:tcPr>
            <w:tcW w:w="2551" w:type="dxa"/>
            <w:vAlign w:val="center"/>
          </w:tcPr>
          <w:p>
            <w:pPr>
              <w:pStyle w:val="16"/>
            </w:pPr>
            <w:r>
              <w:t>1年</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每个文化站补助标准</w:t>
            </w:r>
          </w:p>
        </w:tc>
        <w:tc>
          <w:tcPr>
            <w:tcW w:w="2835" w:type="dxa"/>
            <w:vAlign w:val="center"/>
          </w:tcPr>
          <w:p>
            <w:pPr>
              <w:pStyle w:val="16"/>
            </w:pPr>
            <w:r>
              <w:t>每个乡镇文化站补助补助</w:t>
            </w:r>
          </w:p>
        </w:tc>
        <w:tc>
          <w:tcPr>
            <w:tcW w:w="2551" w:type="dxa"/>
            <w:vAlign w:val="center"/>
          </w:tcPr>
          <w:p>
            <w:pPr>
              <w:pStyle w:val="16"/>
            </w:pPr>
            <w:r>
              <w:t>3万元</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免费开放服务水平稳步提升</w:t>
            </w:r>
          </w:p>
        </w:tc>
        <w:tc>
          <w:tcPr>
            <w:tcW w:w="2835" w:type="dxa"/>
            <w:vAlign w:val="center"/>
          </w:tcPr>
          <w:p>
            <w:pPr>
              <w:pStyle w:val="16"/>
            </w:pPr>
            <w:r>
              <w:t>免费开放服务水平稳步提升</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免费开放文化场馆正常运转</w:t>
            </w:r>
          </w:p>
        </w:tc>
        <w:tc>
          <w:tcPr>
            <w:tcW w:w="2835" w:type="dxa"/>
            <w:vAlign w:val="center"/>
          </w:tcPr>
          <w:p>
            <w:pPr>
              <w:pStyle w:val="16"/>
            </w:pPr>
            <w:r>
              <w:t>免费开放文化站正常运转率</w:t>
            </w:r>
          </w:p>
        </w:tc>
        <w:tc>
          <w:tcPr>
            <w:tcW w:w="2551" w:type="dxa"/>
            <w:vAlign w:val="center"/>
          </w:tcPr>
          <w:p>
            <w:pPr>
              <w:pStyle w:val="16"/>
            </w:pPr>
            <w:r>
              <w:t>≥95百分比</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10、冀财教【2021】155号提前下达2022省级三馆一站免费开放补助资金绩效目标表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补助资金到位率</w:t>
            </w:r>
          </w:p>
        </w:tc>
        <w:tc>
          <w:tcPr>
            <w:tcW w:w="2835" w:type="dxa"/>
            <w:vAlign w:val="center"/>
          </w:tcPr>
          <w:p>
            <w:pPr>
              <w:pStyle w:val="16"/>
            </w:pPr>
            <w:r>
              <w:t>补助资金到位率</w:t>
            </w:r>
          </w:p>
        </w:tc>
        <w:tc>
          <w:tcPr>
            <w:tcW w:w="2551" w:type="dxa"/>
            <w:vAlign w:val="center"/>
          </w:tcPr>
          <w:p>
            <w:pPr>
              <w:pStyle w:val="16"/>
            </w:pPr>
            <w:r>
              <w:t>100百分比</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举办文化活动较上年增长率</w:t>
            </w:r>
          </w:p>
        </w:tc>
        <w:tc>
          <w:tcPr>
            <w:tcW w:w="2835" w:type="dxa"/>
            <w:vAlign w:val="center"/>
          </w:tcPr>
          <w:p>
            <w:pPr>
              <w:pStyle w:val="16"/>
            </w:pPr>
            <w:r>
              <w:t>举办文化活动较上年增长率</w:t>
            </w:r>
          </w:p>
        </w:tc>
        <w:tc>
          <w:tcPr>
            <w:tcW w:w="2551" w:type="dxa"/>
            <w:vAlign w:val="center"/>
          </w:tcPr>
          <w:p>
            <w:pPr>
              <w:pStyle w:val="16"/>
            </w:pPr>
            <w:r>
              <w:t>≥5百分比</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免费开放的周期</w:t>
            </w:r>
          </w:p>
        </w:tc>
        <w:tc>
          <w:tcPr>
            <w:tcW w:w="2835" w:type="dxa"/>
            <w:vAlign w:val="center"/>
          </w:tcPr>
          <w:p>
            <w:pPr>
              <w:pStyle w:val="16"/>
            </w:pPr>
            <w:r>
              <w:t>免费开放的周期</w:t>
            </w:r>
          </w:p>
        </w:tc>
        <w:tc>
          <w:tcPr>
            <w:tcW w:w="2551" w:type="dxa"/>
            <w:vAlign w:val="center"/>
          </w:tcPr>
          <w:p>
            <w:pPr>
              <w:pStyle w:val="16"/>
            </w:pPr>
            <w:r>
              <w:t>1年</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每个乡镇文化站的补助标准</w:t>
            </w:r>
          </w:p>
        </w:tc>
        <w:tc>
          <w:tcPr>
            <w:tcW w:w="2835" w:type="dxa"/>
            <w:vAlign w:val="center"/>
          </w:tcPr>
          <w:p>
            <w:pPr>
              <w:pStyle w:val="16"/>
            </w:pPr>
            <w:r>
              <w:t>每个乡镇文化站的补助标准</w:t>
            </w:r>
          </w:p>
        </w:tc>
        <w:tc>
          <w:tcPr>
            <w:tcW w:w="2551" w:type="dxa"/>
            <w:vAlign w:val="center"/>
          </w:tcPr>
          <w:p>
            <w:pPr>
              <w:pStyle w:val="16"/>
            </w:pPr>
            <w:r>
              <w:t>0.5万元</w:t>
            </w:r>
          </w:p>
        </w:tc>
        <w:tc>
          <w:tcPr>
            <w:tcW w:w="2268" w:type="dxa"/>
            <w:vAlign w:val="center"/>
          </w:tcPr>
          <w:p>
            <w:pPr>
              <w:pStyle w:val="16"/>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免费开放服务水平稳步提升</w:t>
            </w:r>
          </w:p>
        </w:tc>
        <w:tc>
          <w:tcPr>
            <w:tcW w:w="2835" w:type="dxa"/>
            <w:vAlign w:val="center"/>
          </w:tcPr>
          <w:p>
            <w:pPr>
              <w:pStyle w:val="16"/>
            </w:pPr>
            <w:r>
              <w:t>免费开放服务水平稳步提升</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免费开放服务水平稳步提升</w:t>
            </w:r>
          </w:p>
        </w:tc>
        <w:tc>
          <w:tcPr>
            <w:tcW w:w="2835" w:type="dxa"/>
            <w:vAlign w:val="center"/>
          </w:tcPr>
          <w:p>
            <w:pPr>
              <w:pStyle w:val="16"/>
            </w:pPr>
            <w:r>
              <w:t>免费开放服务水平稳步提升</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≥98百分百</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11、毛主席视察纪念馆老馆主馆修缮项目绩效目标表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地面走廊混凝土厚度</w:t>
            </w:r>
          </w:p>
        </w:tc>
        <w:tc>
          <w:tcPr>
            <w:tcW w:w="2835" w:type="dxa"/>
            <w:vAlign w:val="center"/>
          </w:tcPr>
          <w:p>
            <w:pPr>
              <w:pStyle w:val="16"/>
            </w:pPr>
            <w:r>
              <w:t>地面走廊混凝土垫层的厚度</w:t>
            </w:r>
          </w:p>
        </w:tc>
        <w:tc>
          <w:tcPr>
            <w:tcW w:w="2551" w:type="dxa"/>
            <w:vAlign w:val="center"/>
          </w:tcPr>
          <w:p>
            <w:pPr>
              <w:pStyle w:val="16"/>
            </w:pPr>
            <w:r>
              <w:t>60mm</w:t>
            </w:r>
          </w:p>
        </w:tc>
        <w:tc>
          <w:tcPr>
            <w:tcW w:w="2268" w:type="dxa"/>
            <w:vAlign w:val="center"/>
          </w:tcPr>
          <w:p>
            <w:pPr>
              <w:pStyle w:val="16"/>
            </w:pPr>
            <w:r>
              <w:t>工程签证单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工程验收合格率</w:t>
            </w:r>
          </w:p>
        </w:tc>
        <w:tc>
          <w:tcPr>
            <w:tcW w:w="2835" w:type="dxa"/>
            <w:vAlign w:val="center"/>
          </w:tcPr>
          <w:p>
            <w:pPr>
              <w:pStyle w:val="16"/>
            </w:pPr>
            <w:r>
              <w:t>工程验收合格率</w:t>
            </w:r>
          </w:p>
        </w:tc>
        <w:tc>
          <w:tcPr>
            <w:tcW w:w="2551" w:type="dxa"/>
            <w:vAlign w:val="center"/>
          </w:tcPr>
          <w:p>
            <w:pPr>
              <w:pStyle w:val="16"/>
            </w:pPr>
            <w:r>
              <w:t>≥98百分比</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工程进行时间</w:t>
            </w:r>
          </w:p>
        </w:tc>
        <w:tc>
          <w:tcPr>
            <w:tcW w:w="2835" w:type="dxa"/>
            <w:vAlign w:val="center"/>
          </w:tcPr>
          <w:p>
            <w:pPr>
              <w:pStyle w:val="16"/>
            </w:pPr>
            <w:r>
              <w:t>工程进行时间</w:t>
            </w:r>
          </w:p>
        </w:tc>
        <w:tc>
          <w:tcPr>
            <w:tcW w:w="2551" w:type="dxa"/>
            <w:vAlign w:val="center"/>
          </w:tcPr>
          <w:p>
            <w:pPr>
              <w:pStyle w:val="16"/>
            </w:pPr>
            <w:r>
              <w:t>2月</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人工费成本</w:t>
            </w:r>
          </w:p>
        </w:tc>
        <w:tc>
          <w:tcPr>
            <w:tcW w:w="2835" w:type="dxa"/>
            <w:vAlign w:val="center"/>
          </w:tcPr>
          <w:p>
            <w:pPr>
              <w:pStyle w:val="16"/>
            </w:pPr>
            <w:r>
              <w:t>整个工程人工费合计</w:t>
            </w:r>
          </w:p>
        </w:tc>
        <w:tc>
          <w:tcPr>
            <w:tcW w:w="2551" w:type="dxa"/>
            <w:vAlign w:val="center"/>
          </w:tcPr>
          <w:p>
            <w:pPr>
              <w:pStyle w:val="16"/>
            </w:pPr>
            <w:r>
              <w:t>≤50667.78元</w:t>
            </w:r>
          </w:p>
        </w:tc>
        <w:tc>
          <w:tcPr>
            <w:tcW w:w="2268" w:type="dxa"/>
            <w:vAlign w:val="center"/>
          </w:tcPr>
          <w:p>
            <w:pPr>
              <w:pStyle w:val="16"/>
            </w:pPr>
            <w:r>
              <w:t>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提升红色文化服务水平</w:t>
            </w:r>
          </w:p>
        </w:tc>
        <w:tc>
          <w:tcPr>
            <w:tcW w:w="2835" w:type="dxa"/>
            <w:vAlign w:val="center"/>
          </w:tcPr>
          <w:p>
            <w:pPr>
              <w:pStyle w:val="16"/>
            </w:pPr>
            <w:r>
              <w:t>提升红色文化服务水平</w:t>
            </w:r>
          </w:p>
        </w:tc>
        <w:tc>
          <w:tcPr>
            <w:tcW w:w="2551" w:type="dxa"/>
            <w:vAlign w:val="center"/>
          </w:tcPr>
          <w:p>
            <w:pPr>
              <w:pStyle w:val="16"/>
            </w:pPr>
            <w:r>
              <w:t>稳步提升</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纪念馆的使用寿命</w:t>
            </w:r>
          </w:p>
        </w:tc>
        <w:tc>
          <w:tcPr>
            <w:tcW w:w="2835" w:type="dxa"/>
            <w:vAlign w:val="center"/>
          </w:tcPr>
          <w:p>
            <w:pPr>
              <w:pStyle w:val="16"/>
            </w:pPr>
            <w:r>
              <w:t>毛主席视察成安纪念馆老馆使用寿命延长</w:t>
            </w:r>
          </w:p>
        </w:tc>
        <w:tc>
          <w:tcPr>
            <w:tcW w:w="2551" w:type="dxa"/>
            <w:vAlign w:val="center"/>
          </w:tcPr>
          <w:p>
            <w:pPr>
              <w:pStyle w:val="16"/>
            </w:pPr>
            <w:r>
              <w:t>延长使用时间</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12、文广旅局关于申请毛主席纪念馆公厕建设资金的报告绩效目标表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抹墙真石漆平方数</w:t>
            </w:r>
          </w:p>
        </w:tc>
        <w:tc>
          <w:tcPr>
            <w:tcW w:w="2835" w:type="dxa"/>
            <w:vAlign w:val="center"/>
          </w:tcPr>
          <w:p>
            <w:pPr>
              <w:pStyle w:val="16"/>
            </w:pPr>
            <w:r>
              <w:t>公厕外墙面涂抹真石漆平方数</w:t>
            </w:r>
          </w:p>
        </w:tc>
        <w:tc>
          <w:tcPr>
            <w:tcW w:w="2551" w:type="dxa"/>
            <w:vAlign w:val="center"/>
          </w:tcPr>
          <w:p>
            <w:pPr>
              <w:pStyle w:val="16"/>
            </w:pPr>
            <w:r>
              <w:t>≥186.8平方米</w:t>
            </w:r>
          </w:p>
        </w:tc>
        <w:tc>
          <w:tcPr>
            <w:tcW w:w="2268" w:type="dxa"/>
            <w:vAlign w:val="center"/>
          </w:tcPr>
          <w:p>
            <w:pPr>
              <w:pStyle w:val="16"/>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工程验收合格率</w:t>
            </w:r>
          </w:p>
        </w:tc>
        <w:tc>
          <w:tcPr>
            <w:tcW w:w="2835" w:type="dxa"/>
            <w:vAlign w:val="center"/>
          </w:tcPr>
          <w:p>
            <w:pPr>
              <w:pStyle w:val="16"/>
            </w:pPr>
            <w:r>
              <w:t>公厕建设工程验收合格率</w:t>
            </w:r>
          </w:p>
        </w:tc>
        <w:tc>
          <w:tcPr>
            <w:tcW w:w="2551" w:type="dxa"/>
            <w:vAlign w:val="center"/>
          </w:tcPr>
          <w:p>
            <w:pPr>
              <w:pStyle w:val="16"/>
            </w:pPr>
            <w:r>
              <w:t>≥98百分比</w:t>
            </w:r>
          </w:p>
        </w:tc>
        <w:tc>
          <w:tcPr>
            <w:tcW w:w="2268" w:type="dxa"/>
            <w:vAlign w:val="center"/>
          </w:tcPr>
          <w:p>
            <w:pPr>
              <w:pStyle w:val="16"/>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建设公厕的周期</w:t>
            </w:r>
          </w:p>
        </w:tc>
        <w:tc>
          <w:tcPr>
            <w:tcW w:w="2835" w:type="dxa"/>
            <w:vAlign w:val="center"/>
          </w:tcPr>
          <w:p>
            <w:pPr>
              <w:pStyle w:val="16"/>
            </w:pPr>
            <w:r>
              <w:t>公厕建设的时间</w:t>
            </w:r>
          </w:p>
        </w:tc>
        <w:tc>
          <w:tcPr>
            <w:tcW w:w="2551" w:type="dxa"/>
            <w:vAlign w:val="center"/>
          </w:tcPr>
          <w:p>
            <w:pPr>
              <w:pStyle w:val="16"/>
            </w:pPr>
            <w:r>
              <w:t>≥3月</w:t>
            </w:r>
          </w:p>
        </w:tc>
        <w:tc>
          <w:tcPr>
            <w:tcW w:w="2268" w:type="dxa"/>
            <w:vAlign w:val="center"/>
          </w:tcPr>
          <w:p>
            <w:pPr>
              <w:pStyle w:val="16"/>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≥27.5万元</w:t>
            </w:r>
          </w:p>
        </w:tc>
        <w:tc>
          <w:tcPr>
            <w:tcW w:w="2268" w:type="dxa"/>
            <w:vAlign w:val="center"/>
          </w:tcPr>
          <w:p>
            <w:pPr>
              <w:pStyle w:val="16"/>
            </w:pPr>
            <w:r>
              <w:t>发票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不涉及</w:t>
            </w:r>
          </w:p>
        </w:tc>
        <w:tc>
          <w:tcPr>
            <w:tcW w:w="2835" w:type="dxa"/>
            <w:vAlign w:val="center"/>
          </w:tcPr>
          <w:p>
            <w:pPr>
              <w:pStyle w:val="16"/>
            </w:pPr>
            <w:r>
              <w:t>不涉及</w:t>
            </w:r>
          </w:p>
        </w:tc>
        <w:tc>
          <w:tcPr>
            <w:tcW w:w="2551" w:type="dxa"/>
            <w:vAlign w:val="center"/>
          </w:tcPr>
          <w:p>
            <w:pPr>
              <w:pStyle w:val="16"/>
            </w:pPr>
            <w:r>
              <w:t>不涉及</w:t>
            </w:r>
          </w:p>
        </w:tc>
        <w:tc>
          <w:tcPr>
            <w:tcW w:w="2268"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提升红色文化服务水平</w:t>
            </w:r>
          </w:p>
        </w:tc>
        <w:tc>
          <w:tcPr>
            <w:tcW w:w="2835" w:type="dxa"/>
            <w:vAlign w:val="center"/>
          </w:tcPr>
          <w:p>
            <w:pPr>
              <w:pStyle w:val="16"/>
            </w:pPr>
            <w:r>
              <w:t>提升红色文化服务水平</w:t>
            </w:r>
          </w:p>
        </w:tc>
        <w:tc>
          <w:tcPr>
            <w:tcW w:w="2551" w:type="dxa"/>
            <w:vAlign w:val="center"/>
          </w:tcPr>
          <w:p>
            <w:pPr>
              <w:pStyle w:val="16"/>
            </w:pPr>
            <w:r>
              <w:t>大力提升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改善毛主席视察成安纪念馆的生态环境</w:t>
            </w:r>
          </w:p>
        </w:tc>
        <w:tc>
          <w:tcPr>
            <w:tcW w:w="2835" w:type="dxa"/>
            <w:vAlign w:val="center"/>
          </w:tcPr>
          <w:p>
            <w:pPr>
              <w:pStyle w:val="16"/>
            </w:pPr>
            <w:r>
              <w:t>对毛主席视察成安纪念馆的生态环境改善</w:t>
            </w:r>
          </w:p>
        </w:tc>
        <w:tc>
          <w:tcPr>
            <w:tcW w:w="2551" w:type="dxa"/>
            <w:vAlign w:val="center"/>
          </w:tcPr>
          <w:p>
            <w:pPr>
              <w:pStyle w:val="16"/>
            </w:pPr>
            <w:r>
              <w:t>改善生态环境</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红色文化传承</w:t>
            </w:r>
          </w:p>
        </w:tc>
        <w:tc>
          <w:tcPr>
            <w:tcW w:w="2835" w:type="dxa"/>
            <w:vAlign w:val="center"/>
          </w:tcPr>
          <w:p>
            <w:pPr>
              <w:pStyle w:val="16"/>
            </w:pPr>
            <w:r>
              <w:t>红色文化传承率大大提升</w:t>
            </w:r>
          </w:p>
        </w:tc>
        <w:tc>
          <w:tcPr>
            <w:tcW w:w="2551" w:type="dxa"/>
            <w:vAlign w:val="center"/>
          </w:tcPr>
          <w:p>
            <w:pPr>
              <w:pStyle w:val="16"/>
            </w:pPr>
            <w:r>
              <w:t>稳步提升</w:t>
            </w:r>
          </w:p>
        </w:tc>
        <w:tc>
          <w:tcPr>
            <w:tcW w:w="2268" w:type="dxa"/>
            <w:vAlign w:val="center"/>
          </w:tcPr>
          <w:p>
            <w:pPr>
              <w:pStyle w:val="16"/>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≥98百分比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pPr>
      <w:r>
        <w:rPr>
          <w:rFonts w:ascii="黑体" w:hAnsi="黑体" w:eastAsia="黑体" w:cs="黑体"/>
          <w:color w:val="000000"/>
          <w:sz w:val="32"/>
        </w:rPr>
        <w:t>六、政府采购预算情况</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2022年，成安县文化广电和旅游局本级安排政府采购预算0.00万元。具体内容见下表。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821001成安县文化广电和旅游局本级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pPr>
      <w:r>
        <w:rPr>
          <w:rFonts w:ascii="黑体" w:hAnsi="黑体" w:eastAsia="黑体" w:cs="黑体"/>
          <w:color w:val="000000"/>
          <w:sz w:val="32"/>
        </w:rPr>
        <w:t>七、国有资产信息</w:t>
      </w:r>
    </w:p>
    <w:p>
      <w:pPr>
        <w:spacing w:line="560" w:lineRule="exact"/>
        <w:ind w:firstLine="640"/>
        <w:rPr>
          <w:rFonts w:ascii="仿宋" w:hAnsi="仿宋" w:eastAsia="仿宋" w:cs="Times New Roman"/>
          <w:sz w:val="32"/>
          <w:szCs w:val="32"/>
        </w:rPr>
      </w:pPr>
      <w:r>
        <w:rPr>
          <w:rFonts w:hint="eastAsia" w:ascii="仿宋" w:hAnsi="仿宋" w:eastAsia="仿宋" w:cs="仿宋_GB2312"/>
          <w:sz w:val="32"/>
          <w:szCs w:val="32"/>
        </w:rPr>
        <w:t>文化广电和旅游局，上年末固定资产金额为19.7万元，本年度拟购置固定资产</w:t>
      </w:r>
      <w:r>
        <w:rPr>
          <w:rFonts w:hint="eastAsia" w:ascii="仿宋" w:hAnsi="仿宋" w:eastAsia="仿宋" w:cs="仿宋_GB2312"/>
          <w:sz w:val="32"/>
          <w:szCs w:val="32"/>
          <w:lang w:val="en-US" w:eastAsia="zh-CN"/>
        </w:rPr>
        <w:t>0万元</w:t>
      </w:r>
      <w:r>
        <w:rPr>
          <w:rFonts w:hint="eastAsia" w:ascii="仿宋" w:hAnsi="仿宋" w:eastAsia="仿宋" w:cs="仿宋_GB2312"/>
          <w:sz w:val="32"/>
          <w:szCs w:val="32"/>
        </w:rPr>
        <w:t>。办公地点占用文化馆100平方米。详见下表。</w:t>
      </w:r>
    </w:p>
    <w:p>
      <w:pPr>
        <w:spacing w:before="0" w:after="0" w:line="240" w:lineRule="auto"/>
        <w:ind w:firstLine="0"/>
        <w:jc w:val="center"/>
        <w:outlineLvl w:val="9"/>
        <w:rPr>
          <w:rFonts w:ascii="方正小标宋_GBK" w:hAnsi="方正小标宋_GBK" w:eastAsia="方正小标宋_GBK" w:cs="方正小标宋_GBK"/>
          <w:color w:val="000000"/>
          <w:sz w:val="36"/>
          <w:highlight w:val="none"/>
        </w:rPr>
      </w:pPr>
    </w:p>
    <w:p>
      <w:pPr>
        <w:spacing w:before="0" w:after="0" w:line="240" w:lineRule="auto"/>
        <w:ind w:firstLine="0"/>
        <w:jc w:val="center"/>
        <w:outlineLvl w:val="9"/>
        <w:rPr>
          <w:rFonts w:ascii="方正小标宋_GBK" w:hAnsi="方正小标宋_GBK" w:eastAsia="方正小标宋_GBK" w:cs="方正小标宋_GBK"/>
          <w:color w:val="000000"/>
          <w:sz w:val="36"/>
          <w:highlight w:val="none"/>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p>
    <w:tbl>
      <w:tblPr>
        <w:tblStyle w:val="8"/>
        <w:tblW w:w="10063" w:type="dxa"/>
        <w:tblInd w:w="1951" w:type="dxa"/>
        <w:tblLayout w:type="fixed"/>
        <w:tblCellMar>
          <w:top w:w="0" w:type="dxa"/>
          <w:left w:w="108" w:type="dxa"/>
          <w:bottom w:w="0" w:type="dxa"/>
          <w:right w:w="108" w:type="dxa"/>
        </w:tblCellMar>
      </w:tblPr>
      <w:tblGrid>
        <w:gridCol w:w="4802"/>
        <w:gridCol w:w="1417"/>
        <w:gridCol w:w="3844"/>
      </w:tblGrid>
      <w:tr>
        <w:tblPrEx>
          <w:tblCellMar>
            <w:top w:w="0" w:type="dxa"/>
            <w:left w:w="108" w:type="dxa"/>
            <w:bottom w:w="0" w:type="dxa"/>
            <w:right w:w="108" w:type="dxa"/>
          </w:tblCellMar>
        </w:tblPrEx>
        <w:trPr>
          <w:trHeight w:val="705" w:hRule="atLeast"/>
        </w:trPr>
        <w:tc>
          <w:tcPr>
            <w:tcW w:w="10063" w:type="dxa"/>
            <w:gridSpan w:val="3"/>
            <w:tcBorders>
              <w:top w:val="nil"/>
              <w:left w:val="nil"/>
              <w:bottom w:val="nil"/>
              <w:right w:val="nil"/>
            </w:tcBorders>
            <w:vAlign w:val="center"/>
          </w:tcPr>
          <w:p>
            <w:pPr>
              <w:widowControl/>
              <w:jc w:val="center"/>
              <w:rPr>
                <w:rFonts w:ascii="仿宋" w:hAnsi="仿宋" w:eastAsia="仿宋" w:cs="Times New Roman"/>
                <w:b/>
                <w:bCs/>
                <w:kern w:val="0"/>
                <w:sz w:val="32"/>
                <w:szCs w:val="32"/>
              </w:rPr>
            </w:pPr>
          </w:p>
          <w:p>
            <w:pPr>
              <w:widowControl/>
              <w:jc w:val="center"/>
              <w:rPr>
                <w:rFonts w:ascii="楷体" w:hAnsi="楷体" w:eastAsia="楷体" w:cs="Times New Roman"/>
                <w:b/>
                <w:bCs/>
                <w:kern w:val="0"/>
                <w:sz w:val="32"/>
                <w:szCs w:val="32"/>
              </w:rPr>
            </w:pPr>
            <w:r>
              <w:rPr>
                <w:rFonts w:hint="eastAsia" w:ascii="楷体" w:hAnsi="楷体" w:eastAsia="楷体" w:cs="宋体"/>
                <w:b/>
                <w:bCs/>
                <w:kern w:val="0"/>
                <w:sz w:val="32"/>
                <w:szCs w:val="32"/>
                <w:lang w:eastAsia="zh-CN"/>
              </w:rPr>
              <w:t>单位</w:t>
            </w:r>
            <w:r>
              <w:rPr>
                <w:rFonts w:hint="eastAsia" w:ascii="楷体" w:hAnsi="楷体" w:eastAsia="楷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6219" w:type="dxa"/>
            <w:gridSpan w:val="2"/>
            <w:tcBorders>
              <w:top w:val="nil"/>
              <w:left w:val="nil"/>
              <w:bottom w:val="nil"/>
              <w:right w:val="nil"/>
            </w:tcBorders>
            <w:vAlign w:val="center"/>
          </w:tcPr>
          <w:p>
            <w:pPr>
              <w:widowControl/>
              <w:jc w:val="left"/>
              <w:rPr>
                <w:rFonts w:cs="Times New Roman" w:asciiTheme="minorEastAsia" w:hAnsiTheme="minorEastAsia"/>
                <w:kern w:val="0"/>
              </w:rPr>
            </w:pPr>
            <w:r>
              <w:rPr>
                <w:rFonts w:hint="eastAsia" w:cs="宋体" w:asciiTheme="minorEastAsia" w:hAnsiTheme="minorEastAsia"/>
                <w:kern w:val="0"/>
              </w:rPr>
              <w:t>编制部门：成安县文化广电和旅游局</w:t>
            </w:r>
          </w:p>
        </w:tc>
        <w:tc>
          <w:tcPr>
            <w:tcW w:w="3844" w:type="dxa"/>
            <w:tcBorders>
              <w:top w:val="nil"/>
              <w:left w:val="nil"/>
              <w:bottom w:val="nil"/>
              <w:right w:val="nil"/>
            </w:tcBorders>
            <w:vAlign w:val="center"/>
          </w:tcPr>
          <w:p>
            <w:pPr>
              <w:widowControl/>
              <w:ind w:firstLine="600" w:firstLineChars="250"/>
              <w:jc w:val="left"/>
              <w:rPr>
                <w:rFonts w:cs="宋体" w:asciiTheme="minorEastAsia" w:hAnsiTheme="minorEastAsia"/>
                <w:kern w:val="0"/>
              </w:rPr>
            </w:pPr>
            <w:r>
              <w:rPr>
                <w:rFonts w:hint="eastAsia" w:cs="宋体" w:asciiTheme="minorEastAsia" w:hAnsiTheme="minorEastAsia"/>
                <w:kern w:val="0"/>
              </w:rPr>
              <w:t>截止时间：20</w:t>
            </w:r>
            <w:r>
              <w:rPr>
                <w:rFonts w:hint="eastAsia" w:cs="宋体" w:asciiTheme="minorEastAsia" w:hAnsiTheme="minorEastAsia"/>
                <w:kern w:val="0"/>
                <w:lang w:val="en-US" w:eastAsia="zh-CN"/>
              </w:rPr>
              <w:t>21</w:t>
            </w:r>
            <w:r>
              <w:rPr>
                <w:rFonts w:hint="eastAsia" w:cs="宋体" w:asciiTheme="minorEastAsia" w:hAnsiTheme="minorEastAsia"/>
                <w:kern w:val="0"/>
              </w:rPr>
              <w:t>年</w:t>
            </w:r>
            <w:r>
              <w:rPr>
                <w:rFonts w:cs="宋体" w:asciiTheme="minorEastAsia" w:hAnsiTheme="minorEastAsia"/>
                <w:kern w:val="0"/>
              </w:rPr>
              <w:t>12</w:t>
            </w:r>
            <w:r>
              <w:rPr>
                <w:rFonts w:hint="eastAsia" w:cs="宋体" w:asciiTheme="minorEastAsia" w:hAnsiTheme="minorEastAsia"/>
                <w:kern w:val="0"/>
              </w:rPr>
              <w:t>月</w:t>
            </w:r>
            <w:r>
              <w:rPr>
                <w:rFonts w:cs="宋体" w:asciiTheme="minorEastAsia" w:hAnsiTheme="minorEastAsia"/>
                <w:kern w:val="0"/>
              </w:rPr>
              <w:t>31</w:t>
            </w:r>
            <w:r>
              <w:rPr>
                <w:rFonts w:hint="eastAsia" w:cs="宋体" w:asciiTheme="minorEastAsia" w:hAnsiTheme="minorEastAsia"/>
                <w:kern w:val="0"/>
              </w:rPr>
              <w:t>日</w:t>
            </w:r>
          </w:p>
        </w:tc>
      </w:tr>
      <w:tr>
        <w:tblPrEx>
          <w:tblCellMar>
            <w:top w:w="0" w:type="dxa"/>
            <w:left w:w="108" w:type="dxa"/>
            <w:bottom w:w="0" w:type="dxa"/>
            <w:right w:w="108" w:type="dxa"/>
          </w:tblCellMar>
        </w:tblPrEx>
        <w:trPr>
          <w:trHeight w:val="645" w:hRule="atLeast"/>
        </w:trPr>
        <w:tc>
          <w:tcPr>
            <w:tcW w:w="4802" w:type="dxa"/>
            <w:tcBorders>
              <w:top w:val="single" w:color="auto" w:sz="4" w:space="0"/>
              <w:left w:val="single" w:color="auto" w:sz="4" w:space="0"/>
              <w:bottom w:val="single" w:color="auto" w:sz="4" w:space="0"/>
              <w:right w:val="single" w:color="auto" w:sz="4" w:space="0"/>
            </w:tcBorders>
            <w:vAlign w:val="center"/>
          </w:tcPr>
          <w:p>
            <w:pPr>
              <w:widowControl/>
              <w:jc w:val="center"/>
              <w:rPr>
                <w:rFonts w:cs="Times New Roman" w:asciiTheme="minorEastAsia" w:hAnsiTheme="minorEastAsia"/>
                <w:b/>
                <w:bCs/>
                <w:kern w:val="0"/>
              </w:rPr>
            </w:pPr>
            <w:r>
              <w:rPr>
                <w:rFonts w:hint="eastAsia" w:cs="宋体" w:asciiTheme="minorEastAsia" w:hAnsiTheme="minorEastAsia"/>
                <w:b/>
                <w:bCs/>
                <w:kern w:val="0"/>
              </w:rPr>
              <w:t>项目</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cs="Times New Roman" w:asciiTheme="minorEastAsia" w:hAnsiTheme="minorEastAsia"/>
                <w:b/>
                <w:bCs/>
                <w:kern w:val="0"/>
              </w:rPr>
            </w:pPr>
            <w:r>
              <w:rPr>
                <w:rFonts w:hint="eastAsia" w:cs="宋体" w:asciiTheme="minorEastAsia" w:hAnsiTheme="minorEastAsia"/>
                <w:b/>
                <w:bCs/>
                <w:kern w:val="0"/>
              </w:rPr>
              <w:t>数量</w:t>
            </w:r>
          </w:p>
        </w:tc>
        <w:tc>
          <w:tcPr>
            <w:tcW w:w="3844" w:type="dxa"/>
            <w:tcBorders>
              <w:top w:val="single" w:color="auto" w:sz="4" w:space="0"/>
              <w:left w:val="nil"/>
              <w:bottom w:val="single" w:color="auto" w:sz="4" w:space="0"/>
              <w:right w:val="single" w:color="auto" w:sz="4" w:space="0"/>
            </w:tcBorders>
            <w:vAlign w:val="center"/>
          </w:tcPr>
          <w:p>
            <w:pPr>
              <w:widowControl/>
              <w:jc w:val="center"/>
              <w:rPr>
                <w:rFonts w:cs="Times New Roman" w:asciiTheme="minorEastAsia" w:hAnsiTheme="minorEastAsia"/>
                <w:b/>
                <w:bCs/>
                <w:kern w:val="0"/>
              </w:rPr>
            </w:pPr>
            <w:r>
              <w:rPr>
                <w:rFonts w:hint="eastAsia" w:cs="宋体" w:asciiTheme="minorEastAsia" w:hAnsiTheme="minorEastAsia"/>
                <w:b/>
                <w:bCs/>
                <w:kern w:val="0"/>
              </w:rPr>
              <w:t>价值（金额单位：万元）</w:t>
            </w:r>
          </w:p>
        </w:tc>
      </w:tr>
      <w:tr>
        <w:tblPrEx>
          <w:tblCellMar>
            <w:top w:w="0" w:type="dxa"/>
            <w:left w:w="108" w:type="dxa"/>
            <w:bottom w:w="0" w:type="dxa"/>
            <w:right w:w="108" w:type="dxa"/>
          </w:tblCellMar>
        </w:tblPrEx>
        <w:trPr>
          <w:trHeight w:val="645" w:hRule="atLeast"/>
        </w:trPr>
        <w:tc>
          <w:tcPr>
            <w:tcW w:w="4802" w:type="dxa"/>
            <w:tcBorders>
              <w:top w:val="nil"/>
              <w:left w:val="single" w:color="auto" w:sz="4" w:space="0"/>
              <w:bottom w:val="single" w:color="auto" w:sz="4" w:space="0"/>
              <w:right w:val="single" w:color="auto" w:sz="4" w:space="0"/>
            </w:tcBorders>
            <w:vAlign w:val="center"/>
          </w:tcPr>
          <w:p>
            <w:pPr>
              <w:widowControl/>
              <w:jc w:val="center"/>
              <w:rPr>
                <w:rFonts w:cs="Times New Roman" w:asciiTheme="minorEastAsia" w:hAnsiTheme="minorEastAsia"/>
                <w:kern w:val="0"/>
              </w:rPr>
            </w:pPr>
            <w:r>
              <w:rPr>
                <w:rFonts w:hint="eastAsia" w:cs="宋体" w:asciiTheme="minorEastAsia" w:hAnsiTheme="minorEastAsia"/>
                <w:kern w:val="0"/>
              </w:rPr>
              <w:t>资产总额</w:t>
            </w:r>
          </w:p>
        </w:tc>
        <w:tc>
          <w:tcPr>
            <w:tcW w:w="1417"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rPr>
            </w:pPr>
            <w:r>
              <w:rPr>
                <w:rFonts w:cs="宋体" w:asciiTheme="minorEastAsia" w:hAnsiTheme="minorEastAsia"/>
                <w:kern w:val="0"/>
              </w:rPr>
              <w:t>——</w:t>
            </w:r>
          </w:p>
        </w:tc>
        <w:tc>
          <w:tcPr>
            <w:tcW w:w="3844"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kern w:val="0"/>
              </w:rPr>
            </w:pPr>
            <w:r>
              <w:rPr>
                <w:rFonts w:hint="eastAsia" w:cs="宋体" w:asciiTheme="minorEastAsia" w:hAnsiTheme="minorEastAsia"/>
                <w:kern w:val="0"/>
              </w:rPr>
              <w:t>19.7</w:t>
            </w:r>
          </w:p>
        </w:tc>
      </w:tr>
      <w:tr>
        <w:tblPrEx>
          <w:tblCellMar>
            <w:top w:w="0" w:type="dxa"/>
            <w:left w:w="108" w:type="dxa"/>
            <w:bottom w:w="0" w:type="dxa"/>
            <w:right w:w="108" w:type="dxa"/>
          </w:tblCellMar>
        </w:tblPrEx>
        <w:trPr>
          <w:trHeight w:val="645" w:hRule="atLeast"/>
        </w:trPr>
        <w:tc>
          <w:tcPr>
            <w:tcW w:w="4802" w:type="dxa"/>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rPr>
            </w:pPr>
            <w:r>
              <w:rPr>
                <w:rFonts w:cs="宋体" w:asciiTheme="minorEastAsia" w:hAnsiTheme="minorEastAsia"/>
                <w:kern w:val="0"/>
              </w:rPr>
              <w:t>1</w:t>
            </w:r>
            <w:r>
              <w:rPr>
                <w:rFonts w:hint="eastAsia" w:cs="宋体" w:asciiTheme="minorEastAsia" w:hAnsiTheme="minorEastAsia"/>
                <w:kern w:val="0"/>
              </w:rPr>
              <w:t>、房屋（平方米）</w:t>
            </w:r>
          </w:p>
        </w:tc>
        <w:tc>
          <w:tcPr>
            <w:tcW w:w="1417" w:type="dxa"/>
            <w:tcBorders>
              <w:top w:val="nil"/>
              <w:left w:val="nil"/>
              <w:bottom w:val="single" w:color="auto" w:sz="4" w:space="0"/>
              <w:right w:val="single" w:color="auto" w:sz="4" w:space="0"/>
            </w:tcBorders>
            <w:vAlign w:val="center"/>
          </w:tcPr>
          <w:p>
            <w:pPr>
              <w:widowControl/>
              <w:jc w:val="center"/>
              <w:rPr>
                <w:rFonts w:cs="Times New Roman" w:asciiTheme="minorEastAsia" w:hAnsiTheme="minorEastAsia"/>
                <w:kern w:val="0"/>
              </w:rPr>
            </w:pPr>
            <w:r>
              <w:rPr>
                <w:rFonts w:hint="eastAsia" w:cs="Times New Roman" w:asciiTheme="minorEastAsia" w:hAnsiTheme="minorEastAsia"/>
                <w:kern w:val="0"/>
              </w:rPr>
              <w:t>100</w:t>
            </w:r>
          </w:p>
        </w:tc>
        <w:tc>
          <w:tcPr>
            <w:tcW w:w="3844" w:type="dxa"/>
            <w:tcBorders>
              <w:top w:val="nil"/>
              <w:left w:val="nil"/>
              <w:bottom w:val="single" w:color="auto" w:sz="4" w:space="0"/>
              <w:right w:val="single" w:color="auto" w:sz="4" w:space="0"/>
            </w:tcBorders>
            <w:vAlign w:val="center"/>
          </w:tcPr>
          <w:p>
            <w:pPr>
              <w:widowControl/>
              <w:jc w:val="center"/>
              <w:rPr>
                <w:rFonts w:cs="Times New Roman" w:asciiTheme="minorEastAsia" w:hAnsiTheme="minorEastAsia"/>
                <w:kern w:val="0"/>
              </w:rPr>
            </w:pPr>
            <w:r>
              <w:rPr>
                <w:rFonts w:hint="eastAsia" w:cs="Times New Roman" w:asciiTheme="minorEastAsia" w:hAnsiTheme="minorEastAsia"/>
                <w:kern w:val="0"/>
              </w:rPr>
              <w:t>占用文化馆100平方米办公</w:t>
            </w:r>
          </w:p>
        </w:tc>
      </w:tr>
      <w:tr>
        <w:tblPrEx>
          <w:tblCellMar>
            <w:top w:w="0" w:type="dxa"/>
            <w:left w:w="108" w:type="dxa"/>
            <w:bottom w:w="0" w:type="dxa"/>
            <w:right w:w="108" w:type="dxa"/>
          </w:tblCellMar>
        </w:tblPrEx>
        <w:trPr>
          <w:trHeight w:val="645" w:hRule="atLeast"/>
        </w:trPr>
        <w:tc>
          <w:tcPr>
            <w:tcW w:w="4802" w:type="dxa"/>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rPr>
            </w:pPr>
            <w:r>
              <w:rPr>
                <w:rFonts w:hint="eastAsia" w:cs="宋体" w:asciiTheme="minorEastAsia" w:hAnsiTheme="minorEastAsia"/>
                <w:kern w:val="0"/>
              </w:rPr>
              <w:t>其中：办公用房（平方米）</w:t>
            </w:r>
          </w:p>
        </w:tc>
        <w:tc>
          <w:tcPr>
            <w:tcW w:w="1417" w:type="dxa"/>
            <w:tcBorders>
              <w:top w:val="nil"/>
              <w:left w:val="nil"/>
              <w:bottom w:val="single" w:color="auto" w:sz="4" w:space="0"/>
              <w:right w:val="single" w:color="auto" w:sz="4" w:space="0"/>
            </w:tcBorders>
            <w:vAlign w:val="center"/>
          </w:tcPr>
          <w:p>
            <w:pPr>
              <w:widowControl/>
              <w:jc w:val="center"/>
              <w:rPr>
                <w:rFonts w:cs="Times New Roman" w:asciiTheme="minorEastAsia" w:hAnsiTheme="minorEastAsia"/>
                <w:kern w:val="0"/>
              </w:rPr>
            </w:pPr>
            <w:r>
              <w:rPr>
                <w:rFonts w:hint="eastAsia" w:cs="Times New Roman" w:asciiTheme="minorEastAsia" w:hAnsiTheme="minorEastAsia"/>
                <w:kern w:val="0"/>
              </w:rPr>
              <w:t>100</w:t>
            </w:r>
          </w:p>
        </w:tc>
        <w:tc>
          <w:tcPr>
            <w:tcW w:w="3844" w:type="dxa"/>
            <w:tcBorders>
              <w:top w:val="nil"/>
              <w:left w:val="nil"/>
              <w:bottom w:val="single" w:color="auto" w:sz="4" w:space="0"/>
              <w:right w:val="single" w:color="auto" w:sz="4" w:space="0"/>
            </w:tcBorders>
            <w:vAlign w:val="center"/>
          </w:tcPr>
          <w:p>
            <w:pPr>
              <w:widowControl/>
              <w:jc w:val="center"/>
              <w:rPr>
                <w:rFonts w:cs="Times New Roman" w:asciiTheme="minorEastAsia" w:hAnsiTheme="minorEastAsia"/>
                <w:kern w:val="0"/>
              </w:rPr>
            </w:pPr>
          </w:p>
        </w:tc>
      </w:tr>
      <w:tr>
        <w:tblPrEx>
          <w:tblCellMar>
            <w:top w:w="0" w:type="dxa"/>
            <w:left w:w="108" w:type="dxa"/>
            <w:bottom w:w="0" w:type="dxa"/>
            <w:right w:w="108" w:type="dxa"/>
          </w:tblCellMar>
        </w:tblPrEx>
        <w:trPr>
          <w:trHeight w:val="645" w:hRule="atLeast"/>
        </w:trPr>
        <w:tc>
          <w:tcPr>
            <w:tcW w:w="4802" w:type="dxa"/>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rPr>
            </w:pPr>
            <w:r>
              <w:rPr>
                <w:rFonts w:cs="宋体" w:asciiTheme="minorEastAsia" w:hAnsiTheme="minorEastAsia"/>
                <w:kern w:val="0"/>
              </w:rPr>
              <w:t>2</w:t>
            </w:r>
            <w:r>
              <w:rPr>
                <w:rFonts w:hint="eastAsia" w:cs="宋体" w:asciiTheme="minorEastAsia" w:hAnsiTheme="minorEastAsia"/>
                <w:kern w:val="0"/>
              </w:rPr>
              <w:t>、车辆（台、辆）</w:t>
            </w:r>
          </w:p>
        </w:tc>
        <w:tc>
          <w:tcPr>
            <w:tcW w:w="1417" w:type="dxa"/>
            <w:tcBorders>
              <w:top w:val="nil"/>
              <w:left w:val="nil"/>
              <w:bottom w:val="single" w:color="auto" w:sz="4" w:space="0"/>
              <w:right w:val="single" w:color="auto" w:sz="4" w:space="0"/>
            </w:tcBorders>
            <w:vAlign w:val="center"/>
          </w:tcPr>
          <w:p>
            <w:pPr>
              <w:widowControl/>
              <w:jc w:val="center"/>
              <w:rPr>
                <w:rFonts w:cs="Times New Roman" w:asciiTheme="minorEastAsia" w:hAnsiTheme="minorEastAsia"/>
                <w:kern w:val="0"/>
              </w:rPr>
            </w:pPr>
            <w:r>
              <w:rPr>
                <w:rFonts w:hint="eastAsia" w:cs="Times New Roman" w:asciiTheme="minorEastAsia" w:hAnsiTheme="minorEastAsia"/>
                <w:kern w:val="0"/>
              </w:rPr>
              <w:t>1</w:t>
            </w:r>
          </w:p>
        </w:tc>
        <w:tc>
          <w:tcPr>
            <w:tcW w:w="3844" w:type="dxa"/>
            <w:tcBorders>
              <w:top w:val="nil"/>
              <w:left w:val="nil"/>
              <w:bottom w:val="single" w:color="auto" w:sz="4" w:space="0"/>
              <w:right w:val="single" w:color="auto" w:sz="4" w:space="0"/>
            </w:tcBorders>
            <w:vAlign w:val="center"/>
          </w:tcPr>
          <w:p>
            <w:pPr>
              <w:widowControl/>
              <w:jc w:val="center"/>
              <w:rPr>
                <w:rFonts w:cs="Times New Roman" w:asciiTheme="minorEastAsia" w:hAnsiTheme="minorEastAsia"/>
                <w:kern w:val="0"/>
              </w:rPr>
            </w:pPr>
            <w:r>
              <w:rPr>
                <w:rFonts w:hint="eastAsia" w:cs="Times New Roman" w:asciiTheme="minorEastAsia" w:hAnsiTheme="minorEastAsia"/>
                <w:kern w:val="0"/>
              </w:rPr>
              <w:t>13.2</w:t>
            </w:r>
          </w:p>
        </w:tc>
      </w:tr>
      <w:tr>
        <w:tblPrEx>
          <w:tblCellMar>
            <w:top w:w="0" w:type="dxa"/>
            <w:left w:w="108" w:type="dxa"/>
            <w:bottom w:w="0" w:type="dxa"/>
            <w:right w:w="108" w:type="dxa"/>
          </w:tblCellMar>
        </w:tblPrEx>
        <w:trPr>
          <w:trHeight w:val="645" w:hRule="atLeast"/>
        </w:trPr>
        <w:tc>
          <w:tcPr>
            <w:tcW w:w="4802" w:type="dxa"/>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rPr>
            </w:pPr>
            <w:r>
              <w:rPr>
                <w:rFonts w:cs="宋体" w:asciiTheme="minorEastAsia" w:hAnsiTheme="minorEastAsia"/>
                <w:kern w:val="0"/>
              </w:rPr>
              <w:t>3</w:t>
            </w:r>
            <w:r>
              <w:rPr>
                <w:rFonts w:hint="eastAsia" w:cs="宋体" w:asciiTheme="minorEastAsia" w:hAnsiTheme="minorEastAsia"/>
                <w:kern w:val="0"/>
              </w:rPr>
              <w:t>、单价在</w:t>
            </w:r>
            <w:r>
              <w:rPr>
                <w:rFonts w:cs="宋体" w:asciiTheme="minorEastAsia" w:hAnsiTheme="minorEastAsia"/>
                <w:kern w:val="0"/>
              </w:rPr>
              <w:t>50</w:t>
            </w:r>
            <w:r>
              <w:rPr>
                <w:rFonts w:hint="eastAsia" w:cs="宋体" w:asciiTheme="minorEastAsia" w:hAnsiTheme="minorEastAsia"/>
                <w:kern w:val="0"/>
              </w:rPr>
              <w:t>万元以上的设备</w:t>
            </w:r>
          </w:p>
        </w:tc>
        <w:tc>
          <w:tcPr>
            <w:tcW w:w="1417" w:type="dxa"/>
            <w:tcBorders>
              <w:top w:val="nil"/>
              <w:left w:val="nil"/>
              <w:bottom w:val="single" w:color="auto" w:sz="4" w:space="0"/>
              <w:right w:val="single" w:color="auto" w:sz="4" w:space="0"/>
            </w:tcBorders>
            <w:vAlign w:val="center"/>
          </w:tcPr>
          <w:p>
            <w:pPr>
              <w:widowControl/>
              <w:jc w:val="center"/>
              <w:rPr>
                <w:rFonts w:cs="Times New Roman" w:asciiTheme="minorEastAsia" w:hAnsiTheme="minorEastAsia"/>
                <w:kern w:val="0"/>
              </w:rPr>
            </w:pPr>
          </w:p>
        </w:tc>
        <w:tc>
          <w:tcPr>
            <w:tcW w:w="3844" w:type="dxa"/>
            <w:tcBorders>
              <w:top w:val="nil"/>
              <w:left w:val="nil"/>
              <w:bottom w:val="single" w:color="auto" w:sz="4" w:space="0"/>
              <w:right w:val="single" w:color="auto" w:sz="4" w:space="0"/>
            </w:tcBorders>
            <w:vAlign w:val="center"/>
          </w:tcPr>
          <w:p>
            <w:pPr>
              <w:widowControl/>
              <w:jc w:val="center"/>
              <w:rPr>
                <w:rFonts w:cs="Times New Roman" w:asciiTheme="minorEastAsia" w:hAnsiTheme="minorEastAsia"/>
                <w:kern w:val="0"/>
              </w:rPr>
            </w:pPr>
          </w:p>
        </w:tc>
      </w:tr>
      <w:tr>
        <w:tblPrEx>
          <w:tblCellMar>
            <w:top w:w="0" w:type="dxa"/>
            <w:left w:w="108" w:type="dxa"/>
            <w:bottom w:w="0" w:type="dxa"/>
            <w:right w:w="108" w:type="dxa"/>
          </w:tblCellMar>
        </w:tblPrEx>
        <w:trPr>
          <w:trHeight w:val="645" w:hRule="atLeast"/>
        </w:trPr>
        <w:tc>
          <w:tcPr>
            <w:tcW w:w="4802" w:type="dxa"/>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rPr>
            </w:pPr>
            <w:r>
              <w:rPr>
                <w:rFonts w:cs="宋体" w:asciiTheme="minorEastAsia" w:hAnsiTheme="minorEastAsia"/>
                <w:kern w:val="0"/>
              </w:rPr>
              <w:t>4</w:t>
            </w:r>
            <w:r>
              <w:rPr>
                <w:rFonts w:hint="eastAsia" w:cs="宋体" w:asciiTheme="minorEastAsia" w:hAnsiTheme="minorEastAsia"/>
                <w:kern w:val="0"/>
              </w:rPr>
              <w:t>、其他固定资产</w:t>
            </w:r>
          </w:p>
        </w:tc>
        <w:tc>
          <w:tcPr>
            <w:tcW w:w="1417" w:type="dxa"/>
            <w:tcBorders>
              <w:top w:val="nil"/>
              <w:left w:val="nil"/>
              <w:bottom w:val="single" w:color="auto" w:sz="4" w:space="0"/>
              <w:right w:val="single" w:color="auto" w:sz="4" w:space="0"/>
            </w:tcBorders>
            <w:vAlign w:val="center"/>
          </w:tcPr>
          <w:p>
            <w:pPr>
              <w:widowControl/>
              <w:jc w:val="center"/>
              <w:rPr>
                <w:rFonts w:cs="Times New Roman" w:asciiTheme="minorEastAsia" w:hAnsiTheme="minorEastAsia"/>
                <w:kern w:val="0"/>
              </w:rPr>
            </w:pPr>
            <w:r>
              <w:rPr>
                <w:rFonts w:hint="eastAsia" w:cs="Times New Roman" w:asciiTheme="minorEastAsia" w:hAnsiTheme="minorEastAsia"/>
                <w:kern w:val="0"/>
              </w:rPr>
              <w:t>10</w:t>
            </w:r>
          </w:p>
        </w:tc>
        <w:tc>
          <w:tcPr>
            <w:tcW w:w="3844" w:type="dxa"/>
            <w:tcBorders>
              <w:top w:val="nil"/>
              <w:left w:val="nil"/>
              <w:bottom w:val="single" w:color="auto" w:sz="4" w:space="0"/>
              <w:right w:val="single" w:color="auto" w:sz="4" w:space="0"/>
            </w:tcBorders>
            <w:vAlign w:val="center"/>
          </w:tcPr>
          <w:p>
            <w:pPr>
              <w:widowControl/>
              <w:jc w:val="center"/>
              <w:rPr>
                <w:rFonts w:cs="Times New Roman" w:asciiTheme="minorEastAsia" w:hAnsiTheme="minorEastAsia"/>
                <w:kern w:val="0"/>
              </w:rPr>
            </w:pPr>
            <w:r>
              <w:rPr>
                <w:rFonts w:hint="eastAsia" w:cs="Times New Roman" w:asciiTheme="minorEastAsia" w:hAnsiTheme="minorEastAsia"/>
                <w:kern w:val="0"/>
              </w:rPr>
              <w:t>6.5</w:t>
            </w:r>
          </w:p>
        </w:tc>
      </w:tr>
    </w:tbl>
    <w:p>
      <w:pPr>
        <w:widowControl/>
        <w:spacing w:line="360" w:lineRule="auto"/>
        <w:ind w:firstLine="960" w:firstLineChars="300"/>
        <w:jc w:val="left"/>
        <w:rPr>
          <w:rFonts w:ascii="黑体" w:hAnsi="黑体" w:eastAsia="黑体" w:cs="仿宋"/>
          <w:kern w:val="0"/>
          <w:sz w:val="32"/>
          <w:szCs w:val="32"/>
        </w:rPr>
      </w:pPr>
      <w:r>
        <w:rPr>
          <w:rFonts w:hint="eastAsia" w:ascii="黑体" w:hAnsi="黑体" w:eastAsia="黑体" w:cs="仿宋_GB2312"/>
          <w:kern w:val="0"/>
          <w:sz w:val="32"/>
          <w:szCs w:val="32"/>
        </w:rPr>
        <w:t>八、</w:t>
      </w:r>
      <w:r>
        <w:rPr>
          <w:rFonts w:hint="eastAsia" w:ascii="黑体" w:hAnsi="黑体" w:eastAsia="黑体" w:cs="仿宋"/>
          <w:kern w:val="0"/>
          <w:sz w:val="32"/>
          <w:szCs w:val="32"/>
        </w:rPr>
        <w:t>名词解释</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rPr>
          <w:rFonts w:ascii="黑体" w:hAnsi="黑体" w:eastAsia="黑体" w:cs="黑体"/>
          <w:color w:val="000000"/>
          <w:sz w:val="32"/>
        </w:rPr>
      </w:pP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rPr>
          <w:rFonts w:ascii="Times New Roman" w:hAnsi="Times New Roman" w:eastAsia="方正仿宋_GBK" w:cs="Times New Roman"/>
          <w:b w:val="0"/>
          <w:color w:val="000000"/>
          <w:sz w:val="28"/>
        </w:rPr>
      </w:pP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5"/>
      </w:pPr>
      <w:r>
        <w:rPr>
          <w:rFonts w:ascii="黑体" w:hAnsi="黑体" w:eastAsia="黑体" w:cs="黑体"/>
          <w:color w:val="000000"/>
          <w:sz w:val="32"/>
        </w:rPr>
        <w:t>九、其他需要说明的事项</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4721B"/>
    <w:multiLevelType w:val="singleLevel"/>
    <w:tmpl w:val="97B4721B"/>
    <w:lvl w:ilvl="0" w:tentative="0">
      <w:start w:val="1"/>
      <w:numFmt w:val="chineseCounting"/>
      <w:suff w:val="nothing"/>
      <w:lvlText w:val="（%1）"/>
      <w:lvlJc w:val="left"/>
      <w:rPr>
        <w:rFonts w:hint="eastAsia"/>
      </w:rPr>
    </w:lvl>
  </w:abstractNum>
  <w:abstractNum w:abstractNumId="1">
    <w:nsid w:val="BC7D8983"/>
    <w:multiLevelType w:val="singleLevel"/>
    <w:tmpl w:val="BC7D898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displayHorizontalDrawingGridEvery w:val="1"/>
  <w:displayVerticalDrawingGridEvery w:val="1"/>
  <w:noPunctuationKerning w:val="true"/>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IyYjVkM2Q3OGI3NjgyMmRhNzc4Mzg1ZjJiNjZhOGYifQ=="/>
  </w:docVars>
  <w:rsids>
    <w:rsidRoot w:val="00000000"/>
    <w:rsid w:val="006535FE"/>
    <w:rsid w:val="039A5D8E"/>
    <w:rsid w:val="03A569EC"/>
    <w:rsid w:val="03D81528"/>
    <w:rsid w:val="03E27E9F"/>
    <w:rsid w:val="05C432C0"/>
    <w:rsid w:val="07533A79"/>
    <w:rsid w:val="08311D88"/>
    <w:rsid w:val="0AAF7892"/>
    <w:rsid w:val="0B530CA8"/>
    <w:rsid w:val="1CD7747E"/>
    <w:rsid w:val="22687088"/>
    <w:rsid w:val="26700B1B"/>
    <w:rsid w:val="298452FD"/>
    <w:rsid w:val="29D44EBC"/>
    <w:rsid w:val="29F029E0"/>
    <w:rsid w:val="30224D9D"/>
    <w:rsid w:val="34795F18"/>
    <w:rsid w:val="39087F98"/>
    <w:rsid w:val="3A54487C"/>
    <w:rsid w:val="3AE93CCE"/>
    <w:rsid w:val="3D83454E"/>
    <w:rsid w:val="41E44B72"/>
    <w:rsid w:val="43D441A9"/>
    <w:rsid w:val="526F68FC"/>
    <w:rsid w:val="543D1653"/>
    <w:rsid w:val="54D24ABF"/>
    <w:rsid w:val="54ED4C48"/>
    <w:rsid w:val="56242D6E"/>
    <w:rsid w:val="629E217A"/>
    <w:rsid w:val="65B02D21"/>
    <w:rsid w:val="680975BA"/>
    <w:rsid w:val="684F009B"/>
    <w:rsid w:val="6B554016"/>
    <w:rsid w:val="6C8D40DA"/>
    <w:rsid w:val="73474F4B"/>
    <w:rsid w:val="738952DC"/>
    <w:rsid w:val="76C6463F"/>
    <w:rsid w:val="789619E5"/>
    <w:rsid w:val="79210E86"/>
    <w:rsid w:val="7A681935"/>
    <w:rsid w:val="7D8370C8"/>
    <w:rsid w:val="7F361298"/>
    <w:rsid w:val="FFDE5D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toc 3"/>
    <w:basedOn w:val="1"/>
    <w:next w:val="1"/>
    <w:qFormat/>
    <w:uiPriority w:val="0"/>
    <w:pPr>
      <w:ind w:left="480"/>
    </w:pPr>
  </w:style>
  <w:style w:type="paragraph" w:styleId="4">
    <w:name w:val="Plain Text"/>
    <w:basedOn w:val="1"/>
    <w:unhideWhenUsed/>
    <w:qFormat/>
    <w:uiPriority w:val="0"/>
    <w:rPr>
      <w:rFonts w:ascii="宋体" w:hAnsi="Courier New" w:eastAsia="宋体" w:cs="Courier New"/>
      <w:kern w:val="0"/>
      <w:sz w:val="20"/>
      <w:szCs w:val="21"/>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10838</Words>
  <Characters>12440</Characters>
  <TotalTime>0</TotalTime>
  <ScaleCrop>false</ScaleCrop>
  <LinksUpToDate>false</LinksUpToDate>
  <CharactersWithSpaces>12831</CharactersWithSpaces>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2022-03-18T00:18:00Z</dcterms:created>
  <dc:creator>Administrator</dc:creator>
  <cp:lastModifiedBy>langchao</cp:lastModifiedBy>
  <dcterms:modified xsi:type="dcterms:W3CDTF">2023-06-05T10:19:22Z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D16348724F3949CFA70F5AE01D10E6FB</vt:lpwstr>
  </property>
</Properties>
</file>