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pPr>
        <w:rPr>
          <w:rFonts w:ascii="方正楷体_GBK" w:hAnsi="方正楷体_GBK" w:eastAsia="方正楷体_GBK" w:cs="方正楷体_GBK"/>
          <w:b/>
          <w:color w:val="000000"/>
          <w:sz w:val="28"/>
        </w:rPr>
      </w:pPr>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"_Toc159854631" </w:instrText>
      </w:r>
      <w:r>
        <w:fldChar w:fldCharType="separate"/>
      </w:r>
      <w:r>
        <w:rPr>
          <w:rFonts w:hint="eastAsia"/>
        </w:rPr>
        <w:t>部门预算收支总表</w:t>
      </w:r>
      <w:r>
        <w:tab/>
      </w:r>
      <w:r>
        <w:fldChar w:fldCharType="begin"/>
      </w:r>
      <w:r>
        <w:instrText xml:space="preserve"> PAGEREF _Toc159854631 \h </w:instrText>
      </w:r>
      <w:r>
        <w:fldChar w:fldCharType="separate"/>
      </w:r>
      <w:r>
        <w:t>1</w:t>
      </w:r>
      <w:r>
        <w:fldChar w:fldCharType="end"/>
      </w:r>
      <w:r>
        <w:fldChar w:fldCharType="end"/>
      </w:r>
    </w:p>
    <w:p>
      <w:pPr>
        <w:pStyle w:val="30"/>
        <w:tabs>
          <w:tab w:val="right" w:leader="dot" w:pos="14562"/>
        </w:tabs>
      </w:pPr>
      <w:r>
        <w:fldChar w:fldCharType="begin"/>
      </w:r>
      <w:r>
        <w:instrText xml:space="preserve"> HYPERLINK \l "_Toc159854632" </w:instrText>
      </w:r>
      <w:r>
        <w:fldChar w:fldCharType="separate"/>
      </w:r>
      <w:r>
        <w:rPr>
          <w:rFonts w:hint="eastAsia"/>
        </w:rPr>
        <w:t>部门预算收入总表</w:t>
      </w:r>
      <w:r>
        <w:tab/>
      </w:r>
      <w:r>
        <w:fldChar w:fldCharType="begin"/>
      </w:r>
      <w:r>
        <w:instrText xml:space="preserve"> PAGEREF _Toc159854632 \h </w:instrText>
      </w:r>
      <w:r>
        <w:fldChar w:fldCharType="separate"/>
      </w:r>
      <w:r>
        <w:t>3</w:t>
      </w:r>
      <w:r>
        <w:fldChar w:fldCharType="end"/>
      </w:r>
      <w:r>
        <w:fldChar w:fldCharType="end"/>
      </w:r>
    </w:p>
    <w:p>
      <w:pPr>
        <w:pStyle w:val="30"/>
        <w:tabs>
          <w:tab w:val="right" w:leader="dot" w:pos="14562"/>
        </w:tabs>
      </w:pPr>
      <w:r>
        <w:fldChar w:fldCharType="begin"/>
      </w:r>
      <w:r>
        <w:instrText xml:space="preserve"> HYPERLINK \l "_Toc159854633" </w:instrText>
      </w:r>
      <w:r>
        <w:fldChar w:fldCharType="separate"/>
      </w:r>
      <w:r>
        <w:rPr>
          <w:rFonts w:hint="eastAsia"/>
        </w:rPr>
        <w:t>部门预算支出总表</w:t>
      </w:r>
      <w:r>
        <w:tab/>
      </w:r>
      <w:r>
        <w:fldChar w:fldCharType="begin"/>
      </w:r>
      <w:r>
        <w:instrText xml:space="preserve"> PAGEREF _Toc159854633 \h </w:instrText>
      </w:r>
      <w:r>
        <w:fldChar w:fldCharType="separate"/>
      </w:r>
      <w:r>
        <w:t>5</w:t>
      </w:r>
      <w:r>
        <w:fldChar w:fldCharType="end"/>
      </w:r>
      <w:r>
        <w:fldChar w:fldCharType="end"/>
      </w:r>
    </w:p>
    <w:p>
      <w:pPr>
        <w:pStyle w:val="30"/>
        <w:tabs>
          <w:tab w:val="right" w:leader="dot" w:pos="14562"/>
        </w:tabs>
      </w:pPr>
      <w:r>
        <w:fldChar w:fldCharType="begin"/>
      </w:r>
      <w:r>
        <w:instrText xml:space="preserve"> HYPERLINK \l "_Toc159854634" </w:instrText>
      </w:r>
      <w:r>
        <w:fldChar w:fldCharType="separate"/>
      </w:r>
      <w:r>
        <w:rPr>
          <w:rFonts w:hint="eastAsia"/>
        </w:rPr>
        <w:t>部门预算财政拨款收支总表</w:t>
      </w:r>
      <w:r>
        <w:tab/>
      </w:r>
      <w:r>
        <w:fldChar w:fldCharType="begin"/>
      </w:r>
      <w:r>
        <w:instrText xml:space="preserve"> PAGEREF _Toc159854634 \h </w:instrText>
      </w:r>
      <w:r>
        <w:fldChar w:fldCharType="separate"/>
      </w:r>
      <w:r>
        <w:t>6</w:t>
      </w:r>
      <w:r>
        <w:fldChar w:fldCharType="end"/>
      </w:r>
      <w:r>
        <w:fldChar w:fldCharType="end"/>
      </w:r>
    </w:p>
    <w:p>
      <w:pPr>
        <w:pStyle w:val="30"/>
        <w:tabs>
          <w:tab w:val="right" w:leader="dot" w:pos="14562"/>
        </w:tabs>
      </w:pPr>
      <w:r>
        <w:fldChar w:fldCharType="begin"/>
      </w:r>
      <w:r>
        <w:instrText xml:space="preserve"> HYPERLINK \l "_Toc159854635" </w:instrText>
      </w:r>
      <w:r>
        <w:fldChar w:fldCharType="separate"/>
      </w:r>
      <w:r>
        <w:rPr>
          <w:rFonts w:hint="eastAsia"/>
        </w:rPr>
        <w:t>部门预算一般公共预算财政拨款支出表</w:t>
      </w:r>
      <w:r>
        <w:tab/>
      </w:r>
      <w:r>
        <w:fldChar w:fldCharType="begin"/>
      </w:r>
      <w:r>
        <w:instrText xml:space="preserve"> PAGEREF _Toc159854635 \h </w:instrText>
      </w:r>
      <w:r>
        <w:fldChar w:fldCharType="separate"/>
      </w:r>
      <w:r>
        <w:t>8</w:t>
      </w:r>
      <w:r>
        <w:fldChar w:fldCharType="end"/>
      </w:r>
      <w:r>
        <w:fldChar w:fldCharType="end"/>
      </w:r>
    </w:p>
    <w:p>
      <w:pPr>
        <w:pStyle w:val="30"/>
        <w:tabs>
          <w:tab w:val="right" w:leader="dot" w:pos="14562"/>
        </w:tabs>
      </w:pPr>
      <w:r>
        <w:fldChar w:fldCharType="begin"/>
      </w:r>
      <w:r>
        <w:instrText xml:space="preserve"> HYPERLINK \l "_Toc159854636" </w:instrText>
      </w:r>
      <w:r>
        <w:fldChar w:fldCharType="separate"/>
      </w:r>
      <w:r>
        <w:rPr>
          <w:rFonts w:hint="eastAsia"/>
        </w:rPr>
        <w:t>部门预算一般公共预算财政拨款基本支出表</w:t>
      </w:r>
      <w:r>
        <w:tab/>
      </w:r>
      <w:r>
        <w:fldChar w:fldCharType="begin"/>
      </w:r>
      <w:r>
        <w:instrText xml:space="preserve"> PAGEREF _Toc159854636 \h </w:instrText>
      </w:r>
      <w:r>
        <w:fldChar w:fldCharType="separate"/>
      </w:r>
      <w:r>
        <w:t>9</w:t>
      </w:r>
      <w:r>
        <w:fldChar w:fldCharType="end"/>
      </w:r>
      <w:r>
        <w:fldChar w:fldCharType="end"/>
      </w:r>
    </w:p>
    <w:p>
      <w:pPr>
        <w:pStyle w:val="30"/>
        <w:tabs>
          <w:tab w:val="right" w:leader="dot" w:pos="14562"/>
        </w:tabs>
      </w:pPr>
      <w:r>
        <w:fldChar w:fldCharType="begin"/>
      </w:r>
      <w:r>
        <w:instrText xml:space="preserve"> HYPERLINK \l "_Toc159854637" </w:instrText>
      </w:r>
      <w:r>
        <w:fldChar w:fldCharType="separate"/>
      </w:r>
      <w:r>
        <w:rPr>
          <w:rFonts w:hint="eastAsia"/>
        </w:rPr>
        <w:t>部门预算政府性基金预算财政拨款支出表</w:t>
      </w:r>
      <w:r>
        <w:tab/>
      </w:r>
      <w:r>
        <w:fldChar w:fldCharType="begin"/>
      </w:r>
      <w:r>
        <w:instrText xml:space="preserve"> PAGEREF _Toc159854637 \h </w:instrText>
      </w:r>
      <w:r>
        <w:fldChar w:fldCharType="separate"/>
      </w:r>
      <w:r>
        <w:t>10</w:t>
      </w:r>
      <w:r>
        <w:fldChar w:fldCharType="end"/>
      </w:r>
      <w:r>
        <w:fldChar w:fldCharType="end"/>
      </w:r>
    </w:p>
    <w:p>
      <w:pPr>
        <w:pStyle w:val="30"/>
        <w:tabs>
          <w:tab w:val="right" w:leader="dot" w:pos="14562"/>
        </w:tabs>
      </w:pPr>
      <w:r>
        <w:fldChar w:fldCharType="begin"/>
      </w:r>
      <w:r>
        <w:instrText xml:space="preserve"> HYPERLINK \l "_Toc159854638" </w:instrText>
      </w:r>
      <w:r>
        <w:fldChar w:fldCharType="separate"/>
      </w:r>
      <w:r>
        <w:rPr>
          <w:rFonts w:hint="eastAsia"/>
        </w:rPr>
        <w:t>部门预算国有资本经营预算财政拨款支出表</w:t>
      </w:r>
      <w:r>
        <w:tab/>
      </w:r>
      <w:r>
        <w:fldChar w:fldCharType="begin"/>
      </w:r>
      <w:r>
        <w:instrText xml:space="preserve"> PAGEREF _Toc159854638 \h </w:instrText>
      </w:r>
      <w:r>
        <w:fldChar w:fldCharType="separate"/>
      </w:r>
      <w:r>
        <w:t>11</w:t>
      </w:r>
      <w:r>
        <w:fldChar w:fldCharType="end"/>
      </w:r>
      <w:r>
        <w:fldChar w:fldCharType="end"/>
      </w:r>
    </w:p>
    <w:p>
      <w:pPr>
        <w:pStyle w:val="30"/>
        <w:tabs>
          <w:tab w:val="right" w:leader="dot" w:pos="14562"/>
        </w:tabs>
      </w:pPr>
      <w:r>
        <w:fldChar w:fldCharType="begin"/>
      </w:r>
      <w:r>
        <w:instrText xml:space="preserve"> HYPERLINK \l "_Toc159854639"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 PAGEREF _Toc159854639 \h </w:instrText>
      </w:r>
      <w:r>
        <w:fldChar w:fldCharType="separate"/>
      </w:r>
      <w:r>
        <w:t>12</w:t>
      </w:r>
      <w:r>
        <w:fldChar w:fldCharType="end"/>
      </w:r>
      <w:r>
        <w:fldChar w:fldCharType="end"/>
      </w:r>
    </w:p>
    <w:p>
      <w:pPr>
        <w:pStyle w:val="30"/>
        <w:tabs>
          <w:tab w:val="right" w:leader="dot" w:pos="14562"/>
        </w:tabs>
      </w:pPr>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0"/>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17</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eastAsiaTheme="minorEastAsia"/>
          <w:lang w:eastAsia="zh-CN"/>
        </w:rPr>
        <w:t>8</w:t>
      </w:r>
      <w:r>
        <w:fldChar w:fldCharType="end"/>
      </w:r>
      <w:r>
        <w:fldChar w:fldCharType="end"/>
      </w:r>
    </w:p>
    <w:p>
      <w:pPr>
        <w:pStyle w:val="30"/>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eastAsiaTheme="minorEastAsia"/>
          <w:lang w:eastAsia="zh-CN"/>
        </w:rPr>
        <w:t>8</w:t>
      </w:r>
      <w:r>
        <w:fldChar w:fldCharType="end"/>
      </w:r>
      <w:r>
        <w:fldChar w:fldCharType="end"/>
      </w:r>
    </w:p>
    <w:p>
      <w:pPr>
        <w:pStyle w:val="30"/>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eastAsiaTheme="minorEastAsia"/>
          <w:lang w:eastAsia="zh-CN"/>
        </w:rPr>
        <w:t>8</w:t>
      </w:r>
      <w:r>
        <w:fldChar w:fldCharType="end"/>
      </w:r>
      <w:r>
        <w:fldChar w:fldCharType="end"/>
      </w:r>
    </w:p>
    <w:p>
      <w:pPr>
        <w:pStyle w:val="30"/>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rPr>
          <w:rFonts w:hint="eastAsia" w:eastAsiaTheme="minorEastAsia"/>
          <w:lang w:eastAsia="zh-CN"/>
        </w:rPr>
        <w:t>22</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"_Toc_3_3_0000000016" </w:instrText>
      </w:r>
      <w:r>
        <w:fldChar w:fldCharType="separate"/>
      </w:r>
      <w:r>
        <w:t>七、部门项目预算安排情况及绩效目标</w:t>
      </w:r>
      <w:r>
        <w:tab/>
      </w:r>
      <w:r>
        <w:rPr>
          <w:rFonts w:hint="eastAsia" w:eastAsiaTheme="minorEastAsia"/>
          <w:lang w:eastAsia="zh-CN"/>
        </w:rPr>
        <w:t>23</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eastAsiaTheme="minorEastAsia"/>
          <w:lang w:eastAsia="zh-CN"/>
        </w:rPr>
        <w:t>24</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"_Toc_3_3_0000000018" </w:instrText>
      </w:r>
      <w:r>
        <w:fldChar w:fldCharType="separate"/>
      </w:r>
      <w:r>
        <w:t>九、国有资产信息</w:t>
      </w:r>
      <w:r>
        <w:tab/>
      </w:r>
      <w:r>
        <w:rPr>
          <w:rFonts w:hint="eastAsia" w:eastAsiaTheme="minorEastAsia"/>
          <w:lang w:eastAsia="zh-CN"/>
        </w:rPr>
        <w:t>24</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"_Toc_3_3_0000000019" </w:instrText>
      </w:r>
      <w:r>
        <w:fldChar w:fldCharType="separate"/>
      </w:r>
      <w:r>
        <w:t>十、名词解释</w:t>
      </w:r>
      <w:r>
        <w:tab/>
      </w:r>
      <w:r>
        <w:rPr>
          <w:rFonts w:hint="eastAsia" w:eastAsiaTheme="minorEastAsia"/>
          <w:lang w:eastAsia="zh-CN"/>
        </w:rPr>
        <w:t>25</w:t>
      </w:r>
      <w:r>
        <w:rPr>
          <w:rFonts w:hint="eastAsia" w:eastAsiaTheme="minorEastAsia"/>
          <w:lang w:eastAsia="zh-CN"/>
        </w:rPr>
        <w:fldChar w:fldCharType="end"/>
      </w:r>
    </w:p>
    <w:p>
      <w:pPr>
        <w:pStyle w:val="30"/>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eastAsiaTheme="minorEastAsia"/>
          <w:lang w:eastAsia="zh-CN"/>
        </w:rPr>
        <w:t>26</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15985463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223成安县行政审批局</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883.95</w:t>
            </w:r>
          </w:p>
        </w:tc>
        <w:tc>
          <w:tcPr>
            <w:tcW w:w="4535" w:type="dxa"/>
            <w:vAlign w:val="center"/>
          </w:tcPr>
          <w:p>
            <w:pPr>
              <w:pStyle w:val="15"/>
            </w:pPr>
            <w:r>
              <w:t>一、一般公共服务支出</w:t>
            </w:r>
          </w:p>
        </w:tc>
        <w:tc>
          <w:tcPr>
            <w:tcW w:w="2126" w:type="dxa"/>
            <w:vAlign w:val="center"/>
          </w:tcPr>
          <w:p>
            <w:pPr>
              <w:pStyle w:val="14"/>
            </w:pPr>
            <w:r>
              <w:t>785.78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31.58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883.95</w:t>
            </w:r>
          </w:p>
        </w:tc>
        <w:tc>
          <w:tcPr>
            <w:tcW w:w="4535" w:type="dxa"/>
            <w:vAlign w:val="center"/>
          </w:tcPr>
          <w:p>
            <w:pPr>
              <w:pStyle w:val="17"/>
            </w:pPr>
            <w:r>
              <w:t>本年支出合计</w:t>
            </w:r>
          </w:p>
        </w:tc>
        <w:tc>
          <w:tcPr>
            <w:tcW w:w="2126" w:type="dxa"/>
            <w:vAlign w:val="center"/>
          </w:tcPr>
          <w:p>
            <w:pPr>
              <w:pStyle w:val="18"/>
            </w:pPr>
            <w:r>
              <w:t>883.95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883.95</w:t>
            </w:r>
          </w:p>
        </w:tc>
        <w:tc>
          <w:tcPr>
            <w:tcW w:w="4535" w:type="dxa"/>
            <w:vAlign w:val="center"/>
          </w:tcPr>
          <w:p>
            <w:pPr>
              <w:pStyle w:val="17"/>
            </w:pPr>
            <w:r>
              <w:t>支出总计</w:t>
            </w:r>
          </w:p>
        </w:tc>
        <w:tc>
          <w:tcPr>
            <w:tcW w:w="2126" w:type="dxa"/>
            <w:vAlign w:val="center"/>
          </w:tcPr>
          <w:p>
            <w:pPr>
              <w:pStyle w:val="18"/>
            </w:pPr>
            <w:r>
              <w:t>883.95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15985463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223成安县行政审批局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883.95</w:t>
            </w:r>
          </w:p>
        </w:tc>
        <w:tc>
          <w:tcPr>
            <w:tcW w:w="1134" w:type="dxa"/>
            <w:vAlign w:val="center"/>
          </w:tcPr>
          <w:p>
            <w:pPr>
              <w:pStyle w:val="18"/>
            </w:pPr>
            <w:r>
              <w:t>883.95</w:t>
            </w:r>
          </w:p>
        </w:tc>
        <w:tc>
          <w:tcPr>
            <w:tcW w:w="1134" w:type="dxa"/>
            <w:vAlign w:val="center"/>
          </w:tcPr>
          <w:p>
            <w:pPr>
              <w:pStyle w:val="18"/>
            </w:pPr>
            <w:r>
              <w:t>883.95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785.78</w:t>
            </w:r>
          </w:p>
        </w:tc>
        <w:tc>
          <w:tcPr>
            <w:tcW w:w="1134" w:type="dxa"/>
            <w:vAlign w:val="center"/>
          </w:tcPr>
          <w:p>
            <w:pPr>
              <w:pStyle w:val="14"/>
            </w:pPr>
            <w:r>
              <w:t>785.78</w:t>
            </w:r>
          </w:p>
        </w:tc>
        <w:tc>
          <w:tcPr>
            <w:tcW w:w="1134" w:type="dxa"/>
            <w:vAlign w:val="center"/>
          </w:tcPr>
          <w:p>
            <w:pPr>
              <w:pStyle w:val="14"/>
            </w:pPr>
            <w:r>
              <w:t>785.78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20103</w:t>
            </w:r>
          </w:p>
        </w:tc>
        <w:tc>
          <w:tcPr>
            <w:tcW w:w="1559" w:type="dxa"/>
            <w:vAlign w:val="center"/>
          </w:tcPr>
          <w:p>
            <w:pPr>
              <w:pStyle w:val="15"/>
            </w:pPr>
            <w:r>
              <w:t>政府办公厅（室）及相关机构事务</w:t>
            </w:r>
          </w:p>
        </w:tc>
        <w:tc>
          <w:tcPr>
            <w:tcW w:w="1134" w:type="dxa"/>
            <w:vAlign w:val="center"/>
          </w:tcPr>
          <w:p>
            <w:pPr>
              <w:pStyle w:val="14"/>
            </w:pPr>
            <w:r>
              <w:t>785.78</w:t>
            </w:r>
          </w:p>
        </w:tc>
        <w:tc>
          <w:tcPr>
            <w:tcW w:w="1134" w:type="dxa"/>
            <w:vAlign w:val="center"/>
          </w:tcPr>
          <w:p>
            <w:pPr>
              <w:pStyle w:val="14"/>
            </w:pPr>
            <w:r>
              <w:t>785.78</w:t>
            </w:r>
          </w:p>
        </w:tc>
        <w:tc>
          <w:tcPr>
            <w:tcW w:w="1134" w:type="dxa"/>
            <w:vAlign w:val="center"/>
          </w:tcPr>
          <w:p>
            <w:pPr>
              <w:pStyle w:val="14"/>
            </w:pPr>
            <w:r>
              <w:t>785.78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2010301</w:t>
            </w:r>
          </w:p>
        </w:tc>
        <w:tc>
          <w:tcPr>
            <w:tcW w:w="1559" w:type="dxa"/>
            <w:vAlign w:val="center"/>
          </w:tcPr>
          <w:p>
            <w:pPr>
              <w:pStyle w:val="15"/>
            </w:pPr>
            <w:r>
              <w:t>行政运行</w:t>
            </w:r>
          </w:p>
        </w:tc>
        <w:tc>
          <w:tcPr>
            <w:tcW w:w="1134" w:type="dxa"/>
            <w:vAlign w:val="center"/>
          </w:tcPr>
          <w:p>
            <w:pPr>
              <w:pStyle w:val="14"/>
            </w:pPr>
            <w:r>
              <w:t>595.78</w:t>
            </w:r>
          </w:p>
        </w:tc>
        <w:tc>
          <w:tcPr>
            <w:tcW w:w="1134" w:type="dxa"/>
            <w:vAlign w:val="center"/>
          </w:tcPr>
          <w:p>
            <w:pPr>
              <w:pStyle w:val="14"/>
            </w:pPr>
            <w:r>
              <w:t>595.78</w:t>
            </w:r>
          </w:p>
        </w:tc>
        <w:tc>
          <w:tcPr>
            <w:tcW w:w="1134" w:type="dxa"/>
            <w:vAlign w:val="center"/>
          </w:tcPr>
          <w:p>
            <w:pPr>
              <w:pStyle w:val="14"/>
            </w:pPr>
            <w:r>
              <w:t>595.78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2010306</w:t>
            </w:r>
          </w:p>
        </w:tc>
        <w:tc>
          <w:tcPr>
            <w:tcW w:w="1559" w:type="dxa"/>
            <w:vAlign w:val="center"/>
          </w:tcPr>
          <w:p>
            <w:pPr>
              <w:pStyle w:val="15"/>
            </w:pPr>
            <w:r>
              <w:t>政务公开审批</w:t>
            </w:r>
          </w:p>
        </w:tc>
        <w:tc>
          <w:tcPr>
            <w:tcW w:w="1134" w:type="dxa"/>
            <w:vAlign w:val="center"/>
          </w:tcPr>
          <w:p>
            <w:pPr>
              <w:pStyle w:val="14"/>
            </w:pPr>
            <w:r>
              <w:t>190.00</w:t>
            </w:r>
          </w:p>
        </w:tc>
        <w:tc>
          <w:tcPr>
            <w:tcW w:w="1134" w:type="dxa"/>
            <w:vAlign w:val="center"/>
          </w:tcPr>
          <w:p>
            <w:pPr>
              <w:pStyle w:val="14"/>
            </w:pPr>
            <w:r>
              <w:t>190.00</w:t>
            </w:r>
          </w:p>
        </w:tc>
        <w:tc>
          <w:tcPr>
            <w:tcW w:w="1134" w:type="dxa"/>
            <w:vAlign w:val="center"/>
          </w:tcPr>
          <w:p>
            <w:pPr>
              <w:pStyle w:val="14"/>
            </w:pPr>
            <w:r>
              <w:t>190.00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r>
              <w:t>42.08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r>
              <w:t>24.51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r>
              <w:t>31.58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2" w:name="_Toc15985463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883.95</w:t>
            </w:r>
          </w:p>
        </w:tc>
        <w:tc>
          <w:tcPr>
            <w:tcW w:w="1361" w:type="dxa"/>
            <w:vAlign w:val="center"/>
          </w:tcPr>
          <w:p>
            <w:pPr>
              <w:pStyle w:val="18"/>
            </w:pPr>
            <w:r>
              <w:t>693.95</w:t>
            </w:r>
          </w:p>
        </w:tc>
        <w:tc>
          <w:tcPr>
            <w:tcW w:w="1361" w:type="dxa"/>
            <w:vAlign w:val="center"/>
          </w:tcPr>
          <w:p>
            <w:pPr>
              <w:pStyle w:val="18"/>
            </w:pPr>
            <w:r>
              <w:t>190.00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785.78</w:t>
            </w:r>
          </w:p>
        </w:tc>
        <w:tc>
          <w:tcPr>
            <w:tcW w:w="1361" w:type="dxa"/>
            <w:vAlign w:val="center"/>
          </w:tcPr>
          <w:p>
            <w:pPr>
              <w:pStyle w:val="14"/>
            </w:pPr>
            <w:r>
              <w:t>595.78</w:t>
            </w:r>
          </w:p>
        </w:tc>
        <w:tc>
          <w:tcPr>
            <w:tcW w:w="1361" w:type="dxa"/>
            <w:vAlign w:val="center"/>
          </w:tcPr>
          <w:p>
            <w:pPr>
              <w:pStyle w:val="14"/>
            </w:pPr>
            <w:r>
              <w:t>190.00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20103</w:t>
            </w:r>
          </w:p>
        </w:tc>
        <w:tc>
          <w:tcPr>
            <w:tcW w:w="4535" w:type="dxa"/>
            <w:vAlign w:val="center"/>
          </w:tcPr>
          <w:p>
            <w:pPr>
              <w:pStyle w:val="15"/>
            </w:pPr>
            <w:r>
              <w:t>政府办公厅（室）及相关机构事务</w:t>
            </w:r>
          </w:p>
        </w:tc>
        <w:tc>
          <w:tcPr>
            <w:tcW w:w="1361" w:type="dxa"/>
            <w:vAlign w:val="center"/>
          </w:tcPr>
          <w:p>
            <w:pPr>
              <w:pStyle w:val="14"/>
            </w:pPr>
            <w:r>
              <w:t>785.78</w:t>
            </w:r>
          </w:p>
        </w:tc>
        <w:tc>
          <w:tcPr>
            <w:tcW w:w="1361" w:type="dxa"/>
            <w:vAlign w:val="center"/>
          </w:tcPr>
          <w:p>
            <w:pPr>
              <w:pStyle w:val="14"/>
            </w:pPr>
            <w:r>
              <w:t>595.78</w:t>
            </w:r>
          </w:p>
        </w:tc>
        <w:tc>
          <w:tcPr>
            <w:tcW w:w="1361" w:type="dxa"/>
            <w:vAlign w:val="center"/>
          </w:tcPr>
          <w:p>
            <w:pPr>
              <w:pStyle w:val="14"/>
            </w:pPr>
            <w:r>
              <w:t>190.00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2010301</w:t>
            </w:r>
          </w:p>
        </w:tc>
        <w:tc>
          <w:tcPr>
            <w:tcW w:w="4535" w:type="dxa"/>
            <w:vAlign w:val="center"/>
          </w:tcPr>
          <w:p>
            <w:pPr>
              <w:pStyle w:val="15"/>
            </w:pPr>
            <w:r>
              <w:t>行政运行</w:t>
            </w:r>
          </w:p>
        </w:tc>
        <w:tc>
          <w:tcPr>
            <w:tcW w:w="1361" w:type="dxa"/>
            <w:vAlign w:val="center"/>
          </w:tcPr>
          <w:p>
            <w:pPr>
              <w:pStyle w:val="14"/>
            </w:pPr>
            <w:r>
              <w:t>595.78</w:t>
            </w:r>
          </w:p>
        </w:tc>
        <w:tc>
          <w:tcPr>
            <w:tcW w:w="1361" w:type="dxa"/>
            <w:vAlign w:val="center"/>
          </w:tcPr>
          <w:p>
            <w:pPr>
              <w:pStyle w:val="14"/>
            </w:pPr>
            <w:r>
              <w:t>595.78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2010306</w:t>
            </w:r>
          </w:p>
        </w:tc>
        <w:tc>
          <w:tcPr>
            <w:tcW w:w="4535" w:type="dxa"/>
            <w:vAlign w:val="center"/>
          </w:tcPr>
          <w:p>
            <w:pPr>
              <w:pStyle w:val="15"/>
            </w:pPr>
            <w:r>
              <w:t>政务公开审批</w:t>
            </w:r>
          </w:p>
        </w:tc>
        <w:tc>
          <w:tcPr>
            <w:tcW w:w="1361" w:type="dxa"/>
            <w:vAlign w:val="center"/>
          </w:tcPr>
          <w:p>
            <w:pPr>
              <w:pStyle w:val="14"/>
            </w:pPr>
            <w:r>
              <w:t>190.00</w:t>
            </w:r>
          </w:p>
        </w:tc>
        <w:tc>
          <w:tcPr>
            <w:tcW w:w="1361" w:type="dxa"/>
            <w:vAlign w:val="center"/>
          </w:tcPr>
          <w:p>
            <w:pPr>
              <w:pStyle w:val="14"/>
            </w:pPr>
          </w:p>
        </w:tc>
        <w:tc>
          <w:tcPr>
            <w:tcW w:w="1361" w:type="dxa"/>
            <w:vAlign w:val="center"/>
          </w:tcPr>
          <w:p>
            <w:pPr>
              <w:pStyle w:val="14"/>
            </w:pPr>
            <w:r>
              <w:t>190.00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42.08</w:t>
            </w:r>
          </w:p>
        </w:tc>
        <w:tc>
          <w:tcPr>
            <w:tcW w:w="1361" w:type="dxa"/>
            <w:vAlign w:val="center"/>
          </w:tcPr>
          <w:p>
            <w:pPr>
              <w:pStyle w:val="14"/>
            </w:pPr>
            <w:r>
              <w:t>42.08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42.08</w:t>
            </w:r>
          </w:p>
        </w:tc>
        <w:tc>
          <w:tcPr>
            <w:tcW w:w="1361" w:type="dxa"/>
            <w:vAlign w:val="center"/>
          </w:tcPr>
          <w:p>
            <w:pPr>
              <w:pStyle w:val="14"/>
            </w:pPr>
            <w:r>
              <w:t>42.08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42.08</w:t>
            </w:r>
          </w:p>
        </w:tc>
        <w:tc>
          <w:tcPr>
            <w:tcW w:w="1361" w:type="dxa"/>
            <w:vAlign w:val="center"/>
          </w:tcPr>
          <w:p>
            <w:pPr>
              <w:pStyle w:val="14"/>
            </w:pPr>
            <w:r>
              <w:t>42.08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24.51</w:t>
            </w:r>
          </w:p>
        </w:tc>
        <w:tc>
          <w:tcPr>
            <w:tcW w:w="1361" w:type="dxa"/>
            <w:vAlign w:val="center"/>
          </w:tcPr>
          <w:p>
            <w:pPr>
              <w:pStyle w:val="14"/>
            </w:pPr>
            <w:r>
              <w:t>24.51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24.51</w:t>
            </w:r>
          </w:p>
        </w:tc>
        <w:tc>
          <w:tcPr>
            <w:tcW w:w="1361" w:type="dxa"/>
            <w:vAlign w:val="center"/>
          </w:tcPr>
          <w:p>
            <w:pPr>
              <w:pStyle w:val="14"/>
            </w:pPr>
            <w:r>
              <w:t>24.51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24.51</w:t>
            </w:r>
          </w:p>
        </w:tc>
        <w:tc>
          <w:tcPr>
            <w:tcW w:w="1361" w:type="dxa"/>
            <w:vAlign w:val="center"/>
          </w:tcPr>
          <w:p>
            <w:pPr>
              <w:pStyle w:val="14"/>
            </w:pPr>
            <w:r>
              <w:t>24.51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31.58</w:t>
            </w:r>
          </w:p>
        </w:tc>
        <w:tc>
          <w:tcPr>
            <w:tcW w:w="1361" w:type="dxa"/>
            <w:vAlign w:val="center"/>
          </w:tcPr>
          <w:p>
            <w:pPr>
              <w:pStyle w:val="14"/>
            </w:pPr>
            <w:r>
              <w:t>31.58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31.58</w:t>
            </w:r>
          </w:p>
        </w:tc>
        <w:tc>
          <w:tcPr>
            <w:tcW w:w="1361" w:type="dxa"/>
            <w:vAlign w:val="center"/>
          </w:tcPr>
          <w:p>
            <w:pPr>
              <w:pStyle w:val="14"/>
            </w:pPr>
            <w:r>
              <w:t>31.58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31.58</w:t>
            </w:r>
          </w:p>
        </w:tc>
        <w:tc>
          <w:tcPr>
            <w:tcW w:w="1361" w:type="dxa"/>
            <w:vAlign w:val="center"/>
          </w:tcPr>
          <w:p>
            <w:pPr>
              <w:pStyle w:val="14"/>
            </w:pPr>
            <w:r>
              <w:t>31.58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15985463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883.95</w:t>
            </w:r>
          </w:p>
        </w:tc>
        <w:tc>
          <w:tcPr>
            <w:tcW w:w="3402" w:type="dxa"/>
            <w:vAlign w:val="center"/>
          </w:tcPr>
          <w:p>
            <w:pPr>
              <w:pStyle w:val="15"/>
            </w:pPr>
            <w:r>
              <w:t>一、一般公共服务支出</w:t>
            </w:r>
          </w:p>
        </w:tc>
        <w:tc>
          <w:tcPr>
            <w:tcW w:w="1474" w:type="dxa"/>
            <w:vAlign w:val="center"/>
          </w:tcPr>
          <w:p>
            <w:pPr>
              <w:pStyle w:val="14"/>
            </w:pPr>
            <w:r>
              <w:t>785.78</w:t>
            </w:r>
          </w:p>
        </w:tc>
        <w:tc>
          <w:tcPr>
            <w:tcW w:w="1474" w:type="dxa"/>
            <w:vAlign w:val="center"/>
          </w:tcPr>
          <w:p>
            <w:pPr>
              <w:pStyle w:val="14"/>
            </w:pPr>
            <w:r>
              <w:t>785.78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42.08</w:t>
            </w:r>
          </w:p>
        </w:tc>
        <w:tc>
          <w:tcPr>
            <w:tcW w:w="1474" w:type="dxa"/>
            <w:vAlign w:val="center"/>
          </w:tcPr>
          <w:p>
            <w:pPr>
              <w:pStyle w:val="14"/>
            </w:pPr>
            <w:r>
              <w:t>42.08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24.51</w:t>
            </w:r>
          </w:p>
        </w:tc>
        <w:tc>
          <w:tcPr>
            <w:tcW w:w="1474" w:type="dxa"/>
            <w:vAlign w:val="center"/>
          </w:tcPr>
          <w:p>
            <w:pPr>
              <w:pStyle w:val="14"/>
            </w:pPr>
            <w:r>
              <w:t>24.51</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31.58</w:t>
            </w:r>
          </w:p>
        </w:tc>
        <w:tc>
          <w:tcPr>
            <w:tcW w:w="1474" w:type="dxa"/>
            <w:vAlign w:val="center"/>
          </w:tcPr>
          <w:p>
            <w:pPr>
              <w:pStyle w:val="14"/>
            </w:pPr>
            <w:r>
              <w:t>31.58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883.95</w:t>
            </w:r>
          </w:p>
        </w:tc>
        <w:tc>
          <w:tcPr>
            <w:tcW w:w="3402" w:type="dxa"/>
            <w:vAlign w:val="center"/>
          </w:tcPr>
          <w:p>
            <w:pPr>
              <w:pStyle w:val="17"/>
            </w:pPr>
            <w:r>
              <w:t>本年支出合计</w:t>
            </w:r>
          </w:p>
        </w:tc>
        <w:tc>
          <w:tcPr>
            <w:tcW w:w="1474" w:type="dxa"/>
            <w:vAlign w:val="center"/>
          </w:tcPr>
          <w:p>
            <w:pPr>
              <w:pStyle w:val="18"/>
            </w:pPr>
            <w:r>
              <w:t>883.95</w:t>
            </w:r>
          </w:p>
        </w:tc>
        <w:tc>
          <w:tcPr>
            <w:tcW w:w="1474" w:type="dxa"/>
            <w:vAlign w:val="center"/>
          </w:tcPr>
          <w:p>
            <w:pPr>
              <w:pStyle w:val="18"/>
            </w:pPr>
            <w:r>
              <w:t>883.95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883.95</w:t>
            </w:r>
          </w:p>
        </w:tc>
        <w:tc>
          <w:tcPr>
            <w:tcW w:w="3402" w:type="dxa"/>
            <w:vAlign w:val="center"/>
          </w:tcPr>
          <w:p>
            <w:pPr>
              <w:pStyle w:val="17"/>
            </w:pPr>
            <w:r>
              <w:t>支出总计</w:t>
            </w:r>
          </w:p>
        </w:tc>
        <w:tc>
          <w:tcPr>
            <w:tcW w:w="1474" w:type="dxa"/>
            <w:vAlign w:val="center"/>
          </w:tcPr>
          <w:p>
            <w:pPr>
              <w:pStyle w:val="18"/>
            </w:pPr>
            <w:r>
              <w:t>883.95</w:t>
            </w:r>
          </w:p>
        </w:tc>
        <w:tc>
          <w:tcPr>
            <w:tcW w:w="1474" w:type="dxa"/>
            <w:vAlign w:val="center"/>
          </w:tcPr>
          <w:p>
            <w:pPr>
              <w:pStyle w:val="18"/>
            </w:pPr>
            <w:r>
              <w:t>883.95</w:t>
            </w:r>
          </w:p>
        </w:tc>
        <w:tc>
          <w:tcPr>
            <w:tcW w:w="1474" w:type="dxa"/>
            <w:vAlign w:val="center"/>
          </w:tcPr>
          <w:p>
            <w:pPr>
              <w:pStyle w:val="18"/>
            </w:pPr>
          </w:p>
        </w:tc>
        <w:tc>
          <w:tcPr>
            <w:tcW w:w="1474" w:type="dxa"/>
            <w:vAlign w:val="center"/>
          </w:tcPr>
          <w:p>
            <w:pPr>
              <w:pStyle w:val="18"/>
            </w:pPr>
          </w:p>
        </w:tc>
      </w:tr>
    </w:tbl>
    <w:p>
      <w:pPr>
        <w:sectPr>
          <w:pgSz w:w="16840" w:h="11900" w:orient="landscape"/>
          <w:pgMar w:top="1134" w:right="1020" w:bottom="1134" w:left="1020" w:header="720" w:footer="720" w:gutter="0"/>
          <w:cols w:space="720" w:num="1"/>
        </w:sectPr>
      </w:pPr>
    </w:p>
    <w:p>
      <w:pPr>
        <w:jc w:val="center"/>
        <w:outlineLvl w:val="1"/>
      </w:pPr>
      <w:bookmarkStart w:id="4" w:name="_Toc15985463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883.95</w:t>
            </w:r>
          </w:p>
        </w:tc>
        <w:tc>
          <w:tcPr>
            <w:tcW w:w="2551" w:type="dxa"/>
            <w:vAlign w:val="center"/>
          </w:tcPr>
          <w:p>
            <w:pPr>
              <w:pStyle w:val="18"/>
            </w:pPr>
            <w:r>
              <w:t>693.95</w:t>
            </w:r>
          </w:p>
        </w:tc>
        <w:tc>
          <w:tcPr>
            <w:tcW w:w="2551" w:type="dxa"/>
            <w:vAlign w:val="center"/>
          </w:tcPr>
          <w:p>
            <w:pPr>
              <w:pStyle w:val="18"/>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785.78</w:t>
            </w:r>
          </w:p>
        </w:tc>
        <w:tc>
          <w:tcPr>
            <w:tcW w:w="2551" w:type="dxa"/>
            <w:vAlign w:val="center"/>
          </w:tcPr>
          <w:p>
            <w:pPr>
              <w:pStyle w:val="14"/>
            </w:pPr>
            <w:r>
              <w:t>595.78</w:t>
            </w:r>
          </w:p>
        </w:tc>
        <w:tc>
          <w:tcPr>
            <w:tcW w:w="2551" w:type="dxa"/>
            <w:vAlign w:val="center"/>
          </w:tcPr>
          <w:p>
            <w:pPr>
              <w:pStyle w:val="14"/>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20103</w:t>
            </w:r>
          </w:p>
        </w:tc>
        <w:tc>
          <w:tcPr>
            <w:tcW w:w="4535" w:type="dxa"/>
            <w:vAlign w:val="center"/>
          </w:tcPr>
          <w:p>
            <w:pPr>
              <w:pStyle w:val="15"/>
            </w:pPr>
            <w:r>
              <w:t>政府办公厅（室）及相关机构事务</w:t>
            </w:r>
          </w:p>
        </w:tc>
        <w:tc>
          <w:tcPr>
            <w:tcW w:w="2551" w:type="dxa"/>
            <w:vAlign w:val="center"/>
          </w:tcPr>
          <w:p>
            <w:pPr>
              <w:pStyle w:val="14"/>
            </w:pPr>
            <w:r>
              <w:t>785.78</w:t>
            </w:r>
          </w:p>
        </w:tc>
        <w:tc>
          <w:tcPr>
            <w:tcW w:w="2551" w:type="dxa"/>
            <w:vAlign w:val="center"/>
          </w:tcPr>
          <w:p>
            <w:pPr>
              <w:pStyle w:val="14"/>
            </w:pPr>
            <w:r>
              <w:t>595.78</w:t>
            </w:r>
          </w:p>
        </w:tc>
        <w:tc>
          <w:tcPr>
            <w:tcW w:w="2551" w:type="dxa"/>
            <w:vAlign w:val="center"/>
          </w:tcPr>
          <w:p>
            <w:pPr>
              <w:pStyle w:val="14"/>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2010301</w:t>
            </w:r>
          </w:p>
        </w:tc>
        <w:tc>
          <w:tcPr>
            <w:tcW w:w="4535" w:type="dxa"/>
            <w:vAlign w:val="center"/>
          </w:tcPr>
          <w:p>
            <w:pPr>
              <w:pStyle w:val="15"/>
            </w:pPr>
            <w:r>
              <w:t>行政运行</w:t>
            </w:r>
          </w:p>
        </w:tc>
        <w:tc>
          <w:tcPr>
            <w:tcW w:w="2551" w:type="dxa"/>
            <w:vAlign w:val="center"/>
          </w:tcPr>
          <w:p>
            <w:pPr>
              <w:pStyle w:val="14"/>
            </w:pPr>
            <w:r>
              <w:t>595.78</w:t>
            </w:r>
          </w:p>
        </w:tc>
        <w:tc>
          <w:tcPr>
            <w:tcW w:w="2551" w:type="dxa"/>
            <w:vAlign w:val="center"/>
          </w:tcPr>
          <w:p>
            <w:pPr>
              <w:pStyle w:val="14"/>
            </w:pPr>
            <w:r>
              <w:t>595.78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2010306</w:t>
            </w:r>
          </w:p>
        </w:tc>
        <w:tc>
          <w:tcPr>
            <w:tcW w:w="4535" w:type="dxa"/>
            <w:vAlign w:val="center"/>
          </w:tcPr>
          <w:p>
            <w:pPr>
              <w:pStyle w:val="15"/>
            </w:pPr>
            <w:r>
              <w:t>政务公开审批</w:t>
            </w:r>
          </w:p>
        </w:tc>
        <w:tc>
          <w:tcPr>
            <w:tcW w:w="2551" w:type="dxa"/>
            <w:vAlign w:val="center"/>
          </w:tcPr>
          <w:p>
            <w:pPr>
              <w:pStyle w:val="14"/>
            </w:pPr>
            <w:r>
              <w:t>190.00</w:t>
            </w:r>
          </w:p>
        </w:tc>
        <w:tc>
          <w:tcPr>
            <w:tcW w:w="2551" w:type="dxa"/>
            <w:vAlign w:val="center"/>
          </w:tcPr>
          <w:p>
            <w:pPr>
              <w:pStyle w:val="14"/>
            </w:pPr>
          </w:p>
        </w:tc>
        <w:tc>
          <w:tcPr>
            <w:tcW w:w="2551" w:type="dxa"/>
            <w:vAlign w:val="center"/>
          </w:tcPr>
          <w:p>
            <w:pPr>
              <w:pStyle w:val="14"/>
            </w:pPr>
            <w:r>
              <w:t>190.00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42.08</w:t>
            </w:r>
          </w:p>
        </w:tc>
        <w:tc>
          <w:tcPr>
            <w:tcW w:w="2551" w:type="dxa"/>
            <w:vAlign w:val="center"/>
          </w:tcPr>
          <w:p>
            <w:pPr>
              <w:pStyle w:val="14"/>
            </w:pPr>
            <w:r>
              <w:t>42.08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42.08</w:t>
            </w:r>
          </w:p>
        </w:tc>
        <w:tc>
          <w:tcPr>
            <w:tcW w:w="2551" w:type="dxa"/>
            <w:vAlign w:val="center"/>
          </w:tcPr>
          <w:p>
            <w:pPr>
              <w:pStyle w:val="14"/>
            </w:pPr>
            <w:r>
              <w:t>42.08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42.08</w:t>
            </w:r>
          </w:p>
        </w:tc>
        <w:tc>
          <w:tcPr>
            <w:tcW w:w="2551" w:type="dxa"/>
            <w:vAlign w:val="center"/>
          </w:tcPr>
          <w:p>
            <w:pPr>
              <w:pStyle w:val="14"/>
            </w:pPr>
            <w:r>
              <w:t>42.08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24.51</w:t>
            </w:r>
          </w:p>
        </w:tc>
        <w:tc>
          <w:tcPr>
            <w:tcW w:w="2551" w:type="dxa"/>
            <w:vAlign w:val="center"/>
          </w:tcPr>
          <w:p>
            <w:pPr>
              <w:pStyle w:val="14"/>
            </w:pPr>
            <w:r>
              <w:t>24.51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24.51</w:t>
            </w:r>
          </w:p>
        </w:tc>
        <w:tc>
          <w:tcPr>
            <w:tcW w:w="2551" w:type="dxa"/>
            <w:vAlign w:val="center"/>
          </w:tcPr>
          <w:p>
            <w:pPr>
              <w:pStyle w:val="14"/>
            </w:pPr>
            <w:r>
              <w:t>24.51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24.51</w:t>
            </w:r>
          </w:p>
        </w:tc>
        <w:tc>
          <w:tcPr>
            <w:tcW w:w="2551" w:type="dxa"/>
            <w:vAlign w:val="center"/>
          </w:tcPr>
          <w:p>
            <w:pPr>
              <w:pStyle w:val="14"/>
            </w:pPr>
            <w:r>
              <w:t>24.51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31.58</w:t>
            </w:r>
          </w:p>
        </w:tc>
        <w:tc>
          <w:tcPr>
            <w:tcW w:w="2551" w:type="dxa"/>
            <w:vAlign w:val="center"/>
          </w:tcPr>
          <w:p>
            <w:pPr>
              <w:pStyle w:val="14"/>
            </w:pPr>
            <w:r>
              <w:t>31.58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31.58</w:t>
            </w:r>
          </w:p>
        </w:tc>
        <w:tc>
          <w:tcPr>
            <w:tcW w:w="2551" w:type="dxa"/>
            <w:vAlign w:val="center"/>
          </w:tcPr>
          <w:p>
            <w:pPr>
              <w:pStyle w:val="14"/>
            </w:pPr>
            <w:r>
              <w:t>31.58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31.58</w:t>
            </w:r>
          </w:p>
        </w:tc>
        <w:tc>
          <w:tcPr>
            <w:tcW w:w="2551" w:type="dxa"/>
            <w:vAlign w:val="center"/>
          </w:tcPr>
          <w:p>
            <w:pPr>
              <w:pStyle w:val="14"/>
            </w:pPr>
            <w:r>
              <w:t>31.58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5" w:name="_Toc15985463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693.95</w:t>
            </w:r>
          </w:p>
        </w:tc>
        <w:tc>
          <w:tcPr>
            <w:tcW w:w="2551" w:type="dxa"/>
            <w:vAlign w:val="center"/>
          </w:tcPr>
          <w:p>
            <w:pPr>
              <w:pStyle w:val="18"/>
            </w:pPr>
            <w:r>
              <w:t>530.31</w:t>
            </w:r>
          </w:p>
        </w:tc>
        <w:tc>
          <w:tcPr>
            <w:tcW w:w="2551" w:type="dxa"/>
            <w:vAlign w:val="center"/>
          </w:tcPr>
          <w:p>
            <w:pPr>
              <w:pStyle w:val="18"/>
            </w:pPr>
            <w:r>
              <w:t>163.64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530.31</w:t>
            </w:r>
          </w:p>
        </w:tc>
        <w:tc>
          <w:tcPr>
            <w:tcW w:w="2551" w:type="dxa"/>
            <w:vAlign w:val="center"/>
          </w:tcPr>
          <w:p>
            <w:pPr>
              <w:pStyle w:val="14"/>
            </w:pPr>
            <w:r>
              <w:t>530.31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376.68</w:t>
            </w:r>
          </w:p>
        </w:tc>
        <w:tc>
          <w:tcPr>
            <w:tcW w:w="2551" w:type="dxa"/>
            <w:vAlign w:val="center"/>
          </w:tcPr>
          <w:p>
            <w:pPr>
              <w:pStyle w:val="14"/>
            </w:pPr>
            <w:r>
              <w:t>376.68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35.72</w:t>
            </w:r>
          </w:p>
        </w:tc>
        <w:tc>
          <w:tcPr>
            <w:tcW w:w="2551" w:type="dxa"/>
            <w:vAlign w:val="center"/>
          </w:tcPr>
          <w:p>
            <w:pPr>
              <w:pStyle w:val="14"/>
            </w:pPr>
            <w:r>
              <w:t>35.72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4.65</w:t>
            </w:r>
          </w:p>
        </w:tc>
        <w:tc>
          <w:tcPr>
            <w:tcW w:w="2551" w:type="dxa"/>
            <w:vAlign w:val="center"/>
          </w:tcPr>
          <w:p>
            <w:pPr>
              <w:pStyle w:val="14"/>
            </w:pPr>
            <w:r>
              <w:t>4.65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15.08</w:t>
            </w:r>
          </w:p>
        </w:tc>
        <w:tc>
          <w:tcPr>
            <w:tcW w:w="2551" w:type="dxa"/>
            <w:vAlign w:val="center"/>
          </w:tcPr>
          <w:p>
            <w:pPr>
              <w:pStyle w:val="14"/>
            </w:pPr>
            <w:r>
              <w:t>15.08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42.08</w:t>
            </w:r>
          </w:p>
        </w:tc>
        <w:tc>
          <w:tcPr>
            <w:tcW w:w="2551" w:type="dxa"/>
            <w:vAlign w:val="center"/>
          </w:tcPr>
          <w:p>
            <w:pPr>
              <w:pStyle w:val="14"/>
            </w:pPr>
            <w:r>
              <w:t>42.08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22.91</w:t>
            </w:r>
          </w:p>
        </w:tc>
        <w:tc>
          <w:tcPr>
            <w:tcW w:w="2551" w:type="dxa"/>
            <w:vAlign w:val="center"/>
          </w:tcPr>
          <w:p>
            <w:pPr>
              <w:pStyle w:val="14"/>
            </w:pPr>
            <w:r>
              <w:t>22.91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1.61</w:t>
            </w:r>
          </w:p>
        </w:tc>
        <w:tc>
          <w:tcPr>
            <w:tcW w:w="2551" w:type="dxa"/>
            <w:vAlign w:val="center"/>
          </w:tcPr>
          <w:p>
            <w:pPr>
              <w:pStyle w:val="14"/>
            </w:pPr>
            <w:r>
              <w:t>1.61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31.58</w:t>
            </w:r>
          </w:p>
        </w:tc>
        <w:tc>
          <w:tcPr>
            <w:tcW w:w="2551" w:type="dxa"/>
            <w:vAlign w:val="center"/>
          </w:tcPr>
          <w:p>
            <w:pPr>
              <w:pStyle w:val="14"/>
            </w:pPr>
            <w:r>
              <w:t>31.58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163.64</w:t>
            </w:r>
          </w:p>
        </w:tc>
        <w:tc>
          <w:tcPr>
            <w:tcW w:w="2551" w:type="dxa"/>
            <w:vAlign w:val="center"/>
          </w:tcPr>
          <w:p>
            <w:pPr>
              <w:pStyle w:val="14"/>
            </w:pPr>
          </w:p>
        </w:tc>
        <w:tc>
          <w:tcPr>
            <w:tcW w:w="2551" w:type="dxa"/>
            <w:vAlign w:val="center"/>
          </w:tcPr>
          <w:p>
            <w:pPr>
              <w:pStyle w:val="14"/>
            </w:pPr>
            <w:r>
              <w:t>163.64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135.60</w:t>
            </w:r>
          </w:p>
        </w:tc>
        <w:tc>
          <w:tcPr>
            <w:tcW w:w="2551" w:type="dxa"/>
            <w:vAlign w:val="center"/>
          </w:tcPr>
          <w:p>
            <w:pPr>
              <w:pStyle w:val="14"/>
            </w:pPr>
          </w:p>
        </w:tc>
        <w:tc>
          <w:tcPr>
            <w:tcW w:w="2551" w:type="dxa"/>
            <w:vAlign w:val="center"/>
          </w:tcPr>
          <w:p>
            <w:pPr>
              <w:pStyle w:val="14"/>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20.00</w:t>
            </w:r>
          </w:p>
        </w:tc>
        <w:tc>
          <w:tcPr>
            <w:tcW w:w="2551" w:type="dxa"/>
            <w:vAlign w:val="center"/>
          </w:tcPr>
          <w:p>
            <w:pPr>
              <w:pStyle w:val="14"/>
            </w:pPr>
          </w:p>
        </w:tc>
        <w:tc>
          <w:tcPr>
            <w:tcW w:w="2551" w:type="dxa"/>
            <w:vAlign w:val="center"/>
          </w:tcPr>
          <w:p>
            <w:pPr>
              <w:pStyle w:val="14"/>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8.04</w:t>
            </w:r>
          </w:p>
        </w:tc>
        <w:tc>
          <w:tcPr>
            <w:tcW w:w="2551" w:type="dxa"/>
            <w:vAlign w:val="center"/>
          </w:tcPr>
          <w:p>
            <w:pPr>
              <w:pStyle w:val="14"/>
            </w:pPr>
          </w:p>
        </w:tc>
        <w:tc>
          <w:tcPr>
            <w:tcW w:w="2551" w:type="dxa"/>
            <w:vAlign w:val="center"/>
          </w:tcPr>
          <w:p>
            <w:pPr>
              <w:pStyle w:val="14"/>
            </w:pPr>
            <w:r>
              <w:t>8.04</w:t>
            </w:r>
          </w:p>
        </w:tc>
      </w:tr>
    </w:tbl>
    <w:p>
      <w:pPr>
        <w:sectPr>
          <w:pgSz w:w="16840" w:h="11900" w:orient="landscape"/>
          <w:pgMar w:top="1361" w:right="1020" w:bottom="1134" w:left="1020" w:header="720" w:footer="720" w:gutter="0"/>
          <w:cols w:space="720" w:num="1"/>
        </w:sectPr>
      </w:pPr>
    </w:p>
    <w:p>
      <w:pPr>
        <w:jc w:val="center"/>
        <w:outlineLvl w:val="1"/>
      </w:pPr>
      <w:bookmarkStart w:id="6" w:name="_Toc15985463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15985463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15985463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223成安县行政审批局</w:t>
            </w:r>
          </w:p>
        </w:tc>
        <w:tc>
          <w:tcPr>
            <w:tcW w:w="2381" w:type="dxa"/>
            <w:tcBorders>
              <w:top w:val="single" w:color="FFFFFF" w:sz="6" w:space="0"/>
              <w:left w:val="single" w:color="FFFFFF" w:sz="6" w:space="0"/>
              <w:right w:val="single" w:color="FFFFFF" w:sz="6" w:space="0"/>
            </w:tcBorders>
            <w:vAlign w:val="center"/>
          </w:tcPr>
          <w:p>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成安县行政审批局2024年部门预算信息公开情况说明</w:t>
      </w:r>
    </w:p>
    <w:p>
      <w:pPr>
        <w:jc w:val="center"/>
      </w:pPr>
      <w:r>
        <w:rPr>
          <w:rFonts w:ascii="方正小标宋_GBK" w:hAnsi="方正小标宋_GBK" w:eastAsia="方正小标宋_GBK" w:cs="方正小标宋_GBK"/>
          <w:color w:val="000000"/>
          <w:sz w:val="44"/>
        </w:rPr>
        <w:t>成安县行政审批局2024年部门预算信息公开情况说明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按照《中华人民共和国预算法》、《地方预决算公开操作规程》和《关于进一步推进预算公开工作的实施意见》规定，现将成安县行政审批局2024年部门预算公开如下：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spacing w:line="500" w:lineRule="exact"/>
        <w:ind w:firstLine="560"/>
        <w:rPr>
          <w:rFonts w:eastAsia="方正仿宋_GBK"/>
          <w:color w:val="000000"/>
          <w:sz w:val="28"/>
        </w:rPr>
      </w:pPr>
      <w:r>
        <w:rPr>
          <w:rFonts w:hint="eastAsia" w:eastAsia="方正仿宋_GBK"/>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pPr>
        <w:spacing w:line="500" w:lineRule="exact"/>
        <w:ind w:firstLine="560"/>
        <w:rPr>
          <w:rFonts w:eastAsia="方正仿宋_GBK"/>
          <w:color w:val="000000"/>
          <w:sz w:val="28"/>
        </w:rPr>
      </w:pPr>
      <w:r>
        <w:rPr>
          <w:rFonts w:hint="eastAsia" w:eastAsia="方正仿宋_GBK"/>
          <w:color w:val="000000"/>
          <w:sz w:val="28"/>
        </w:rPr>
        <w:t>（三）负责县本级涉及投资项目、市场服务、公共事务、社会事务、环保城管、规划建设、交通运输、商贸流通、文教卫生、农林水利等领域审批事项的审批工作，并对审批行为承担相应的法律责任。</w:t>
      </w:r>
    </w:p>
    <w:p>
      <w:pPr>
        <w:spacing w:line="500" w:lineRule="exact"/>
        <w:ind w:firstLine="560"/>
        <w:rPr>
          <w:rFonts w:eastAsia="方正仿宋_GBK"/>
          <w:color w:val="000000"/>
          <w:sz w:val="28"/>
        </w:rPr>
      </w:pPr>
      <w:r>
        <w:rPr>
          <w:rFonts w:hint="eastAsia" w:eastAsia="方正仿宋_GBK"/>
          <w:color w:val="000000"/>
          <w:sz w:val="28"/>
        </w:rPr>
        <w:t>（四）负责进驻县行政审批局各部门行政审批工作的规范、管理和监督；负责审批业务涉及中介服务机构的对接、沟通、协调工作；负责“中介超市”管理工作。</w:t>
      </w:r>
    </w:p>
    <w:p>
      <w:pPr>
        <w:spacing w:line="500" w:lineRule="exact"/>
        <w:ind w:firstLine="560"/>
        <w:rPr>
          <w:rFonts w:eastAsia="方正仿宋_GBK"/>
          <w:color w:val="000000"/>
          <w:sz w:val="28"/>
        </w:rPr>
      </w:pPr>
      <w:r>
        <w:rPr>
          <w:rFonts w:hint="eastAsia" w:eastAsia="方正仿宋_GBK"/>
          <w:color w:val="000000"/>
          <w:sz w:val="28"/>
        </w:rPr>
        <w:t>（五）组织协调全县“放管服”改革工作。指导、督促贯彻落实国家、省、市关于“放管服”改革重要领域、关键环节重大政策措施，承担县推进政府职能转变和“放管服”改革协调小组的日常工作。</w:t>
      </w:r>
    </w:p>
    <w:p>
      <w:pPr>
        <w:spacing w:line="500" w:lineRule="exact"/>
        <w:ind w:firstLine="560"/>
        <w:rPr>
          <w:rFonts w:eastAsia="方正仿宋_GBK"/>
          <w:color w:val="000000"/>
          <w:sz w:val="28"/>
        </w:rPr>
      </w:pPr>
      <w:r>
        <w:rPr>
          <w:rFonts w:hint="eastAsia" w:eastAsia="方正仿宋_GBK"/>
          <w:color w:val="000000"/>
          <w:sz w:val="28"/>
        </w:rPr>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pPr>
        <w:spacing w:line="500" w:lineRule="exact"/>
        <w:ind w:firstLine="560"/>
        <w:rPr>
          <w:rFonts w:eastAsia="方正仿宋_GBK"/>
          <w:color w:val="000000"/>
          <w:sz w:val="28"/>
        </w:rPr>
      </w:pPr>
      <w:r>
        <w:rPr>
          <w:rFonts w:hint="eastAsia" w:eastAsia="方正仿宋_GBK"/>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spacing w:line="500" w:lineRule="exact"/>
        <w:ind w:firstLine="560"/>
        <w:rPr>
          <w:rFonts w:eastAsia="方正仿宋_GBK"/>
          <w:color w:val="000000"/>
          <w:sz w:val="28"/>
        </w:rPr>
      </w:pPr>
      <w:r>
        <w:rPr>
          <w:rFonts w:hint="eastAsia" w:eastAsia="方正仿宋_GBK"/>
          <w:color w:val="000000"/>
          <w:sz w:val="28"/>
        </w:rPr>
        <w:t>（八）承担成安县公共资源交易管理委员会日常工作。负责全县统一的公共资源交易平台建设、协调、监督和管理；会同有责关行政监督部门拟订公共资源交易市场规则和制度，编制公共资源交易项目目录，规范各类公共资源交易活动。</w:t>
      </w:r>
    </w:p>
    <w:p>
      <w:pPr>
        <w:spacing w:line="500" w:lineRule="exact"/>
        <w:ind w:firstLine="560"/>
        <w:rPr>
          <w:rFonts w:eastAsia="方正仿宋_GBK"/>
          <w:color w:val="000000"/>
          <w:sz w:val="28"/>
        </w:rPr>
      </w:pPr>
      <w:r>
        <w:rPr>
          <w:rFonts w:hint="eastAsia" w:eastAsia="方正仿宋_GBK"/>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spacing w:line="500" w:lineRule="exact"/>
        <w:ind w:firstLine="560"/>
        <w:rPr>
          <w:rFonts w:eastAsia="方正仿宋_GBK"/>
          <w:color w:val="000000"/>
          <w:sz w:val="28"/>
        </w:rPr>
      </w:pPr>
      <w:r>
        <w:rPr>
          <w:rFonts w:hint="eastAsia" w:eastAsia="方正仿宋_GBK"/>
          <w:color w:val="000000"/>
          <w:sz w:val="28"/>
        </w:rPr>
        <w:t>（十）统筹推进全县“互联网+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spacing w:line="500" w:lineRule="exact"/>
        <w:ind w:firstLine="560"/>
        <w:rPr>
          <w:rFonts w:eastAsia="方正仿宋_GBK"/>
          <w:color w:val="000000"/>
          <w:sz w:val="28"/>
        </w:rPr>
      </w:pPr>
      <w:r>
        <w:rPr>
          <w:rFonts w:hint="eastAsia" w:eastAsia="方正仿宋_GBK"/>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（十二）负责工作人员的教育、培训、管理和绩效考核。</w:t>
      </w:r>
    </w:p>
    <w:p>
      <w:pPr>
        <w:spacing w:line="500" w:lineRule="exact"/>
        <w:ind w:firstLine="560"/>
        <w:rPr>
          <w:rFonts w:eastAsiaTheme="minorEastAsia"/>
          <w:color w:val="000000"/>
          <w:sz w:val="28"/>
          <w:lang w:eastAsia="zh-CN"/>
        </w:rPr>
      </w:pPr>
      <w:r>
        <w:rPr>
          <w:rFonts w:hint="eastAsia" w:eastAsia="方正仿宋_GBK"/>
          <w:color w:val="000000"/>
          <w:sz w:val="28"/>
        </w:rPr>
        <w:t>（十三）完成县委、县政府交办的其他任务。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成安县行政审批局本级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line="500" w:lineRule="exact"/>
        <w:ind w:firstLine="560"/>
        <w:rPr>
          <w:rFonts w:eastAsia="方正仿宋_GBK"/>
          <w:color w:val="000000"/>
          <w:sz w:val="28"/>
        </w:rPr>
      </w:pPr>
      <w:bookmarkStart w:id="10" w:name="_Toc_3_3_0000000011"/>
      <w:r>
        <w:rPr>
          <w:rFonts w:hint="eastAsia" w:eastAsia="方正仿宋_GBK"/>
          <w:color w:val="000000"/>
          <w:sz w:val="28"/>
        </w:rPr>
        <w:t>成安县行政审批局，预算编码是223。内设5个内部机构。</w:t>
      </w:r>
    </w:p>
    <w:p>
      <w:pPr>
        <w:spacing w:line="500" w:lineRule="exact"/>
        <w:ind w:firstLine="560"/>
        <w:rPr>
          <w:rFonts w:eastAsia="方正仿宋_GBK"/>
          <w:color w:val="000000"/>
          <w:sz w:val="28"/>
        </w:rPr>
      </w:pPr>
      <w:r>
        <w:rPr>
          <w:rFonts w:hint="eastAsia" w:eastAsia="方正仿宋_GBK"/>
          <w:color w:val="000000"/>
          <w:sz w:val="28"/>
        </w:rPr>
        <w:t>（一）办公室。负责组织、协调、推进机关日常工作。负责文电、机要、保密、档案和政务公开工作；负责机关和所属单位财务、国有资产管理、安全保卫和内部审计工作；负责重要文件、综合性报告、领导讲话稿的起草，重大课题的政策研究和综合调研工作；负责重要会议、接待和活动的组织安排；负责局办公会议及内部管理制度的督办落实；负责人大代表建议及政协提案承办工作；负责</w:t>
      </w:r>
      <w:r>
        <w:rPr>
          <w:rFonts w:hint="eastAsia" w:eastAsia="宋体"/>
          <w:lang w:eastAsia="zh-CN"/>
        </w:rPr>
        <w:t>拟订</w:t>
      </w:r>
      <w:r>
        <w:rPr>
          <w:rFonts w:hint="eastAsia" w:eastAsia="方正仿宋_GBK"/>
          <w:color w:val="000000"/>
          <w:sz w:val="28"/>
        </w:rPr>
        <w:t>机关内部管理规章制度。</w:t>
      </w:r>
    </w:p>
    <w:p>
      <w:pPr>
        <w:spacing w:line="500" w:lineRule="exact"/>
        <w:ind w:firstLine="560"/>
        <w:rPr>
          <w:rFonts w:eastAsia="方正仿宋_GBK"/>
          <w:color w:val="000000"/>
          <w:sz w:val="28"/>
        </w:rPr>
      </w:pPr>
      <w:r>
        <w:rPr>
          <w:rFonts w:hint="eastAsia" w:eastAsia="方正仿宋_GBK"/>
          <w:color w:val="000000"/>
          <w:sz w:val="28"/>
        </w:rPr>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pPr>
        <w:spacing w:line="500" w:lineRule="exact"/>
        <w:ind w:firstLine="560"/>
        <w:rPr>
          <w:rFonts w:eastAsia="方正仿宋_GBK"/>
          <w:color w:val="000000"/>
          <w:sz w:val="28"/>
        </w:rPr>
      </w:pPr>
      <w:r>
        <w:rPr>
          <w:rFonts w:hint="eastAsia" w:eastAsia="方正仿宋_GBK"/>
          <w:color w:val="000000"/>
          <w:sz w:val="28"/>
        </w:rPr>
        <w:t>（二）综合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pPr>
        <w:spacing w:line="500" w:lineRule="exact"/>
        <w:ind w:firstLine="560"/>
        <w:rPr>
          <w:rFonts w:eastAsia="方正仿宋_GBK"/>
          <w:color w:val="000000"/>
          <w:sz w:val="28"/>
        </w:rPr>
      </w:pPr>
      <w:r>
        <w:rPr>
          <w:rFonts w:hint="eastAsia" w:eastAsia="方正仿宋_GBK"/>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pPr>
        <w:spacing w:line="500" w:lineRule="exact"/>
        <w:ind w:firstLine="560"/>
        <w:rPr>
          <w:rFonts w:eastAsia="方正仿宋_GBK"/>
          <w:color w:val="000000"/>
          <w:sz w:val="28"/>
        </w:rPr>
      </w:pPr>
      <w:r>
        <w:rPr>
          <w:rFonts w:hint="eastAsia" w:eastAsia="方正仿宋_GBK"/>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pPr>
        <w:spacing w:line="500" w:lineRule="exact"/>
        <w:ind w:firstLine="560"/>
        <w:rPr>
          <w:rFonts w:eastAsia="方正仿宋_GBK"/>
          <w:color w:val="000000"/>
          <w:sz w:val="28"/>
        </w:rPr>
      </w:pPr>
      <w:r>
        <w:rPr>
          <w:rFonts w:hint="eastAsia" w:eastAsia="方正仿宋_GBK"/>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责汇总公共资源交易情况，及时向公共资源交易平台通报、发布相关信息；对进场交易情况进行考评；负责组织对有关入驻单位、工作人员的社会评议；受理对公共资源交易活动的投诉并会同有关部门调查处理。</w:t>
      </w:r>
    </w:p>
    <w:p>
      <w:pPr>
        <w:spacing w:line="500" w:lineRule="exact"/>
        <w:ind w:firstLine="560"/>
        <w:rPr>
          <w:rFonts w:eastAsia="方正仿宋_GBK"/>
          <w:color w:val="000000"/>
          <w:sz w:val="28"/>
        </w:rPr>
      </w:pPr>
      <w:r>
        <w:rPr>
          <w:rFonts w:hint="eastAsia" w:eastAsia="方正仿宋_GBK"/>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pPr>
        <w:spacing w:before="10" w:after="10" w:line="360" w:lineRule="auto"/>
        <w:ind w:firstLine="640"/>
        <w:outlineLvl w:val="2"/>
        <w:rPr>
          <w:rFonts w:ascii="黑体" w:hAnsi="黑体" w:eastAsia="黑体" w:cs="黑体"/>
          <w:color w:val="000000"/>
          <w:sz w:val="32"/>
          <w:lang w:eastAsia="zh-CN"/>
        </w:rPr>
      </w:pPr>
      <w:r>
        <w:rPr>
          <w:rFonts w:ascii="黑体" w:hAnsi="黑体" w:eastAsia="黑体" w:cs="黑体"/>
          <w:color w:val="000000"/>
          <w:sz w:val="32"/>
        </w:rPr>
        <w:t>二、部门预算安排的总体情况</w:t>
      </w:r>
      <w:bookmarkEnd w:id="10"/>
    </w:p>
    <w:p>
      <w:pPr>
        <w:spacing w:line="500" w:lineRule="exact"/>
        <w:ind w:firstLine="560"/>
      </w:pPr>
      <w:bookmarkStart w:id="11" w:name="_Toc_3_3_0000000012"/>
      <w:r>
        <w:rPr>
          <w:rFonts w:eastAsia="方正仿宋_GBK"/>
          <w:color w:val="000000"/>
          <w:sz w:val="28"/>
        </w:rPr>
        <w:t>按照预算管理有关规定，目前我省部门预算的编制实行综合预算管理，即全部收入和支出都反映在预算中。成安县行政审批局机关及所属事业单位的收支包含在部门预算中。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年预算收入</w:t>
      </w:r>
      <w:r>
        <w:rPr>
          <w:rFonts w:hint="eastAsia" w:eastAsiaTheme="minorEastAsia"/>
          <w:color w:val="000000"/>
          <w:sz w:val="28"/>
          <w:lang w:eastAsia="zh-CN"/>
        </w:rPr>
        <w:t>883.95</w:t>
      </w:r>
      <w:r>
        <w:rPr>
          <w:rFonts w:hint="eastAsia" w:eastAsia="方正仿宋_GBK"/>
          <w:color w:val="000000"/>
          <w:sz w:val="28"/>
        </w:rPr>
        <w:t>万元，其中：一般公共预算收入</w:t>
      </w:r>
      <w:r>
        <w:rPr>
          <w:rFonts w:hint="eastAsia" w:eastAsiaTheme="minorEastAsia"/>
          <w:color w:val="000000"/>
          <w:sz w:val="28"/>
          <w:lang w:eastAsia="zh-CN"/>
        </w:rPr>
        <w:t>883.95</w:t>
      </w:r>
      <w:r>
        <w:rPr>
          <w:rFonts w:hint="eastAsia" w:eastAsia="方正仿宋_GBK"/>
          <w:color w:val="000000"/>
          <w:sz w:val="28"/>
        </w:rPr>
        <w:t>万元，国有资本经营收入0万元，事业收入0万元，其他收入0万元。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年支出预算</w:t>
      </w:r>
      <w:r>
        <w:rPr>
          <w:rFonts w:hint="eastAsia" w:eastAsiaTheme="minorEastAsia"/>
          <w:color w:val="000000"/>
          <w:sz w:val="28"/>
          <w:lang w:eastAsia="zh-CN"/>
        </w:rPr>
        <w:t>883.95</w:t>
      </w:r>
      <w:r>
        <w:rPr>
          <w:rFonts w:hint="eastAsia" w:eastAsia="方正仿宋_GBK"/>
          <w:color w:val="000000"/>
          <w:sz w:val="28"/>
        </w:rPr>
        <w:t>万元，其中基本支出</w:t>
      </w:r>
      <w:r>
        <w:rPr>
          <w:rFonts w:hint="eastAsia" w:eastAsiaTheme="minorEastAsia"/>
          <w:color w:val="000000"/>
          <w:sz w:val="28"/>
          <w:lang w:eastAsia="zh-CN"/>
        </w:rPr>
        <w:t>693.95</w:t>
      </w:r>
      <w:r>
        <w:rPr>
          <w:rFonts w:hint="eastAsia" w:eastAsia="方正仿宋_GBK"/>
          <w:color w:val="000000"/>
          <w:sz w:val="28"/>
        </w:rPr>
        <w:t>万元，</w:t>
      </w:r>
      <w:r>
        <w:rPr>
          <w:rFonts w:hint="eastAsia" w:eastAsiaTheme="minorEastAsia"/>
          <w:color w:val="000000"/>
          <w:sz w:val="28"/>
          <w:lang w:eastAsia="zh-CN"/>
        </w:rPr>
        <w:t>一般公共服务支出595.78</w:t>
      </w:r>
      <w:r>
        <w:rPr>
          <w:rFonts w:hint="eastAsia" w:eastAsia="方正仿宋_GBK"/>
          <w:color w:val="000000"/>
          <w:sz w:val="28"/>
        </w:rPr>
        <w:t>万元，</w:t>
      </w:r>
      <w:r>
        <w:rPr>
          <w:rFonts w:hint="eastAsia" w:eastAsiaTheme="minorEastAsia"/>
          <w:color w:val="000000"/>
          <w:sz w:val="28"/>
          <w:lang w:eastAsia="zh-CN"/>
        </w:rPr>
        <w:t>社会保障和就业支出42.08</w:t>
      </w:r>
      <w:r>
        <w:rPr>
          <w:rFonts w:hint="eastAsia" w:eastAsia="方正仿宋_GBK"/>
          <w:color w:val="000000"/>
          <w:sz w:val="28"/>
        </w:rPr>
        <w:t>万元</w:t>
      </w:r>
      <w:r>
        <w:rPr>
          <w:rFonts w:hint="eastAsia" w:eastAsiaTheme="minorEastAsia"/>
          <w:color w:val="000000"/>
          <w:sz w:val="28"/>
          <w:lang w:eastAsia="zh-CN"/>
        </w:rPr>
        <w:t>，卫生健康支出24.51万元，住房保障支出31.58万元</w:t>
      </w:r>
      <w:r>
        <w:rPr>
          <w:rFonts w:hint="eastAsia" w:eastAsia="方正仿宋_GBK"/>
          <w:color w:val="000000"/>
          <w:sz w:val="28"/>
        </w:rPr>
        <w:t>；项目支出</w:t>
      </w:r>
      <w:r>
        <w:rPr>
          <w:rFonts w:hint="eastAsia" w:eastAsiaTheme="minorEastAsia"/>
          <w:color w:val="000000"/>
          <w:sz w:val="28"/>
          <w:lang w:eastAsia="zh-CN"/>
        </w:rPr>
        <w:t>190</w:t>
      </w:r>
      <w:r>
        <w:rPr>
          <w:rFonts w:hint="eastAsia" w:eastAsia="方正仿宋_GBK"/>
          <w:color w:val="000000"/>
          <w:sz w:val="28"/>
        </w:rPr>
        <w:t>万元，主要为</w:t>
      </w:r>
      <w:r>
        <w:rPr>
          <w:rFonts w:hint="eastAsia" w:eastAsiaTheme="minorEastAsia"/>
          <w:color w:val="000000"/>
          <w:sz w:val="28"/>
          <w:lang w:eastAsia="zh-CN"/>
        </w:rPr>
        <w:t>村（社区）服务站建设支出</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3、比上年增减变化情况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年预算收支安排</w:t>
      </w:r>
      <w:r>
        <w:rPr>
          <w:rFonts w:hint="eastAsia" w:eastAsiaTheme="minorEastAsia"/>
          <w:color w:val="000000"/>
          <w:sz w:val="28"/>
          <w:lang w:eastAsia="zh-CN"/>
        </w:rPr>
        <w:t>883.95</w:t>
      </w:r>
      <w:r>
        <w:rPr>
          <w:rFonts w:hint="eastAsia" w:eastAsia="方正仿宋_GBK"/>
          <w:color w:val="000000"/>
          <w:sz w:val="28"/>
        </w:rPr>
        <w:t>万元，202</w:t>
      </w:r>
      <w:r>
        <w:rPr>
          <w:rFonts w:hint="eastAsia" w:eastAsiaTheme="minorEastAsia"/>
          <w:color w:val="000000"/>
          <w:sz w:val="28"/>
          <w:lang w:eastAsia="zh-CN"/>
        </w:rPr>
        <w:t>3</w:t>
      </w:r>
      <w:r>
        <w:rPr>
          <w:rFonts w:hint="eastAsia" w:eastAsia="方正仿宋_GBK"/>
          <w:color w:val="000000"/>
          <w:sz w:val="28"/>
        </w:rPr>
        <w:t>年财政拨款收入</w:t>
      </w:r>
      <w:r>
        <w:rPr>
          <w:rFonts w:hint="eastAsia" w:eastAsiaTheme="minorEastAsia"/>
          <w:color w:val="000000"/>
          <w:sz w:val="28"/>
          <w:lang w:eastAsia="zh-CN"/>
        </w:rPr>
        <w:t>750.46</w:t>
      </w:r>
      <w:r>
        <w:rPr>
          <w:rFonts w:hint="eastAsia" w:eastAsia="方正仿宋_GBK"/>
          <w:color w:val="000000"/>
          <w:sz w:val="28"/>
        </w:rPr>
        <w:t>万元，202</w:t>
      </w:r>
      <w:r>
        <w:rPr>
          <w:rFonts w:hint="eastAsia" w:eastAsiaTheme="minorEastAsia"/>
          <w:color w:val="000000"/>
          <w:sz w:val="28"/>
          <w:lang w:eastAsia="zh-CN"/>
        </w:rPr>
        <w:t>4</w:t>
      </w:r>
      <w:r>
        <w:rPr>
          <w:rFonts w:hint="eastAsia" w:eastAsia="方正仿宋_GBK"/>
          <w:color w:val="000000"/>
          <w:sz w:val="28"/>
        </w:rPr>
        <w:t>年比202</w:t>
      </w:r>
      <w:r>
        <w:rPr>
          <w:rFonts w:hint="eastAsia" w:eastAsiaTheme="minorEastAsia"/>
          <w:color w:val="000000"/>
          <w:sz w:val="28"/>
          <w:lang w:eastAsia="zh-CN"/>
        </w:rPr>
        <w:t>3</w:t>
      </w:r>
      <w:r>
        <w:rPr>
          <w:rFonts w:hint="eastAsia" w:eastAsia="方正仿宋_GBK"/>
          <w:color w:val="000000"/>
          <w:sz w:val="28"/>
        </w:rPr>
        <w:t>年</w:t>
      </w:r>
      <w:r>
        <w:rPr>
          <w:rFonts w:hint="eastAsia" w:eastAsiaTheme="minorEastAsia"/>
          <w:color w:val="000000"/>
          <w:sz w:val="28"/>
          <w:lang w:eastAsia="zh-CN"/>
        </w:rPr>
        <w:t>增加133.49</w:t>
      </w:r>
      <w:r>
        <w:rPr>
          <w:rFonts w:hint="eastAsia" w:eastAsia="方正仿宋_GBK"/>
          <w:color w:val="000000"/>
          <w:sz w:val="28"/>
        </w:rPr>
        <w:t>万元。其中：基本支出</w:t>
      </w:r>
      <w:r>
        <w:rPr>
          <w:rFonts w:hint="eastAsia" w:eastAsiaTheme="minorEastAsia"/>
          <w:color w:val="000000"/>
          <w:sz w:val="28"/>
          <w:lang w:eastAsia="zh-CN"/>
        </w:rPr>
        <w:t>增加47.58</w:t>
      </w:r>
      <w:r>
        <w:rPr>
          <w:rFonts w:hint="eastAsia" w:eastAsia="方正仿宋_GBK"/>
          <w:color w:val="000000"/>
          <w:sz w:val="28"/>
        </w:rPr>
        <w:t>万元，由于机构改革和职能变动，在202</w:t>
      </w:r>
      <w:r>
        <w:rPr>
          <w:rFonts w:hint="eastAsia" w:eastAsiaTheme="minorEastAsia"/>
          <w:color w:val="000000"/>
          <w:sz w:val="28"/>
          <w:lang w:eastAsia="zh-CN"/>
        </w:rPr>
        <w:t>4</w:t>
      </w:r>
      <w:r>
        <w:rPr>
          <w:rFonts w:hint="eastAsia" w:eastAsia="方正仿宋_GBK"/>
          <w:color w:val="000000"/>
          <w:sz w:val="28"/>
        </w:rPr>
        <w:t>年预算中予以调</w:t>
      </w:r>
      <w:r>
        <w:rPr>
          <w:rFonts w:hint="eastAsia" w:eastAsiaTheme="minorEastAsia"/>
          <w:color w:val="000000"/>
          <w:sz w:val="28"/>
          <w:lang w:eastAsia="zh-CN"/>
        </w:rPr>
        <w:t>增</w:t>
      </w:r>
      <w:r>
        <w:rPr>
          <w:rFonts w:hint="eastAsia" w:eastAsia="方正仿宋_GBK"/>
          <w:color w:val="000000"/>
          <w:sz w:val="28"/>
        </w:rPr>
        <w:t>；项目支出</w:t>
      </w:r>
      <w:r>
        <w:rPr>
          <w:rFonts w:hint="eastAsia" w:eastAsiaTheme="minorEastAsia"/>
          <w:color w:val="000000"/>
          <w:sz w:val="28"/>
          <w:lang w:eastAsia="zh-CN"/>
        </w:rPr>
        <w:t>增加85.91</w:t>
      </w:r>
      <w:r>
        <w:rPr>
          <w:rFonts w:hint="eastAsia" w:eastAsia="方正仿宋_GBK"/>
          <w:color w:val="000000"/>
          <w:sz w:val="28"/>
        </w:rPr>
        <w:t>万元，主要是</w:t>
      </w:r>
      <w:r>
        <w:rPr>
          <w:rFonts w:hint="eastAsia" w:eastAsiaTheme="minorEastAsia"/>
          <w:color w:val="000000"/>
          <w:sz w:val="28"/>
          <w:lang w:eastAsia="zh-CN"/>
        </w:rPr>
        <w:t>建设项目的增加</w:t>
      </w:r>
      <w:r>
        <w:rPr>
          <w:rFonts w:hint="eastAsia" w:eastAsia="方正仿宋_GBK"/>
          <w:color w:val="000000"/>
          <w:sz w:val="28"/>
        </w:rPr>
        <w:t>。</w:t>
      </w:r>
    </w:p>
    <w:p>
      <w:pPr>
        <w:spacing w:before="10" w:after="10" w:line="360" w:lineRule="auto"/>
        <w:ind w:firstLine="640"/>
        <w:outlineLvl w:val="2"/>
        <w:rPr>
          <w:rFonts w:eastAsiaTheme="minorEastAsia"/>
          <w:lang w:eastAsia="zh-CN"/>
        </w:rPr>
      </w:pPr>
      <w:r>
        <w:rPr>
          <w:rFonts w:ascii="黑体" w:hAnsi="黑体" w:eastAsia="黑体" w:cs="黑体"/>
          <w:color w:val="000000"/>
          <w:sz w:val="32"/>
        </w:rPr>
        <w:t>三、机关运行经费安排情况</w:t>
      </w:r>
      <w:bookmarkEnd w:id="11"/>
    </w:p>
    <w:p>
      <w:pPr>
        <w:spacing w:before="10" w:after="10" w:line="360" w:lineRule="auto"/>
        <w:ind w:firstLine="640"/>
        <w:outlineLvl w:val="2"/>
      </w:pPr>
      <w:r>
        <w:rPr>
          <w:rFonts w:hint="eastAsia" w:eastAsia="方正仿宋_GBK"/>
          <w:color w:val="000000"/>
          <w:sz w:val="28"/>
        </w:rPr>
        <w:t>机关运行经费共计安排</w:t>
      </w:r>
      <w:r>
        <w:rPr>
          <w:rFonts w:hint="eastAsia" w:eastAsiaTheme="minorEastAsia"/>
          <w:color w:val="000000"/>
          <w:sz w:val="28"/>
          <w:lang w:eastAsia="zh-CN"/>
        </w:rPr>
        <w:t>595.78</w:t>
      </w:r>
      <w:r>
        <w:rPr>
          <w:rFonts w:hint="eastAsia" w:eastAsia="方正仿宋_GBK"/>
          <w:color w:val="000000"/>
          <w:sz w:val="28"/>
        </w:rPr>
        <w:t>万元，主要用于人员经费和办公区日常维修、办公用房水电费、邮电费、差旅费、办公用房物业管理费、印刷费等日常运行支出。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rPr>
      </w:pPr>
      <w:bookmarkStart w:id="13" w:name="_Toc_3_3_0000000014"/>
      <w:r>
        <w:rPr>
          <w:rFonts w:hint="eastAsia" w:eastAsia="方正仿宋_GBK"/>
          <w:color w:val="000000"/>
          <w:sz w:val="28"/>
        </w:rPr>
        <w:t>202</w:t>
      </w:r>
      <w:r>
        <w:rPr>
          <w:rFonts w:hint="eastAsia" w:eastAsiaTheme="minorEastAsia"/>
          <w:color w:val="000000"/>
          <w:sz w:val="28"/>
          <w:lang w:eastAsia="zh-CN"/>
        </w:rPr>
        <w:t>4</w:t>
      </w:r>
      <w:r>
        <w:rPr>
          <w:rFonts w:hint="eastAsia" w:eastAsia="方正仿宋_GBK"/>
          <w:color w:val="000000"/>
          <w:sz w:val="28"/>
        </w:rPr>
        <w:t>年度“三公”预算安排0万元，其中，因公出国（境）费0元，安排公务用车维护费0元，（其中公务用车购置费0元，公务用车运行维护费0万元），公务接待费0万元，202</w:t>
      </w:r>
      <w:r>
        <w:rPr>
          <w:rFonts w:hint="eastAsia" w:eastAsiaTheme="minorEastAsia"/>
          <w:color w:val="000000"/>
          <w:sz w:val="28"/>
          <w:lang w:eastAsia="zh-CN"/>
        </w:rPr>
        <w:t>3</w:t>
      </w:r>
      <w:r>
        <w:rPr>
          <w:rFonts w:hint="eastAsia" w:eastAsia="方正仿宋_GBK"/>
          <w:color w:val="000000"/>
          <w:sz w:val="28"/>
        </w:rPr>
        <w:t>年“三公”经费中因公出国（境）费与去年持平，公务用车维护费与去年持平，公务接待费与去年持平。</w:t>
      </w:r>
    </w:p>
    <w:p>
      <w:pPr>
        <w:spacing w:before="10" w:after="10" w:line="360" w:lineRule="auto"/>
        <w:ind w:firstLine="640"/>
        <w:outlineLvl w:val="2"/>
      </w:pPr>
      <w:r>
        <w:rPr>
          <w:rFonts w:ascii="黑体" w:hAnsi="黑体" w:eastAsia="黑体" w:cs="黑体"/>
          <w:color w:val="000000"/>
          <w:sz w:val="32"/>
        </w:rPr>
        <w:t>五、部门整体绩效目标</w:t>
      </w:r>
      <w:bookmarkEnd w:id="13"/>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eastAsia="方正仿宋_GBK"/>
          <w:color w:val="000000"/>
          <w:sz w:val="28"/>
        </w:rPr>
      </w:pPr>
      <w:r>
        <w:rPr>
          <w:rFonts w:hint="eastAsia" w:eastAsia="方正仿宋_GBK"/>
          <w:color w:val="000000"/>
          <w:sz w:val="28"/>
        </w:rPr>
        <w:t>1.深化审批机制改革</w:t>
      </w:r>
    </w:p>
    <w:p>
      <w:pPr>
        <w:spacing w:line="500" w:lineRule="exact"/>
        <w:ind w:firstLine="560"/>
        <w:rPr>
          <w:rFonts w:eastAsia="方正仿宋_GBK"/>
          <w:color w:val="000000"/>
          <w:sz w:val="28"/>
        </w:rPr>
      </w:pPr>
      <w:r>
        <w:rPr>
          <w:rFonts w:hint="eastAsia" w:eastAsia="方正仿宋_GBK"/>
          <w:color w:val="000000"/>
          <w:sz w:val="28"/>
        </w:rPr>
        <w:t>深化审批机制改革，要推进工程建设项目审批制度改革；推进商事制度改革，实施企业开办提速、“证照分离”等专项行动；推进公共资源交易改革；全面推行统一受理；提升重点项目代办工作。</w:t>
      </w:r>
    </w:p>
    <w:p>
      <w:pPr>
        <w:spacing w:line="500" w:lineRule="exact"/>
        <w:ind w:firstLine="560"/>
        <w:rPr>
          <w:rFonts w:eastAsia="方正仿宋_GBK"/>
          <w:color w:val="000000"/>
          <w:sz w:val="28"/>
        </w:rPr>
      </w:pPr>
      <w:r>
        <w:rPr>
          <w:rFonts w:hint="eastAsia" w:eastAsia="方正仿宋_GBK"/>
          <w:color w:val="000000"/>
          <w:sz w:val="28"/>
        </w:rPr>
        <w:t>2.深化政务服务改革</w:t>
      </w:r>
    </w:p>
    <w:p>
      <w:pPr>
        <w:spacing w:line="500" w:lineRule="exact"/>
        <w:ind w:firstLine="560"/>
        <w:rPr>
          <w:rFonts w:eastAsia="方正仿宋_GBK"/>
          <w:color w:val="000000"/>
          <w:sz w:val="28"/>
        </w:rPr>
      </w:pPr>
      <w:r>
        <w:rPr>
          <w:rFonts w:hint="eastAsia" w:eastAsia="方正仿宋_GBK"/>
          <w:color w:val="000000"/>
          <w:sz w:val="28"/>
        </w:rPr>
        <w:t>深化政务服务改革，要健全完善政务服务体系；加强审批服务标准化建设；加快推动“互联网＋政务服务”；提高群众服务热线水平。</w:t>
      </w:r>
    </w:p>
    <w:p>
      <w:pPr>
        <w:spacing w:line="500" w:lineRule="exact"/>
        <w:ind w:firstLine="560"/>
        <w:rPr>
          <w:rFonts w:eastAsia="方正仿宋_GBK"/>
          <w:color w:val="000000"/>
          <w:sz w:val="28"/>
        </w:rPr>
      </w:pPr>
      <w:r>
        <w:rPr>
          <w:rFonts w:hint="eastAsia" w:eastAsia="方正仿宋_GBK"/>
          <w:color w:val="000000"/>
          <w:sz w:val="28"/>
        </w:rPr>
        <w:t>3.加大“四减”力度</w:t>
      </w:r>
    </w:p>
    <w:p>
      <w:pPr>
        <w:spacing w:line="500" w:lineRule="exact"/>
        <w:ind w:firstLine="560"/>
        <w:rPr>
          <w:rFonts w:eastAsia="方正仿宋_GBK"/>
          <w:color w:val="000000"/>
          <w:sz w:val="28"/>
        </w:rPr>
      </w:pPr>
      <w:r>
        <w:rPr>
          <w:rFonts w:hint="eastAsia" w:eastAsia="方正仿宋_GBK"/>
          <w:color w:val="000000"/>
          <w:sz w:val="28"/>
        </w:rPr>
        <w:t>减少审批事项；减少审批环节；减少审批材料；减少审批时限。</w:t>
      </w:r>
    </w:p>
    <w:p>
      <w:pPr>
        <w:spacing w:line="500" w:lineRule="exact"/>
        <w:ind w:firstLine="560"/>
        <w:rPr>
          <w:rFonts w:eastAsia="方正仿宋_GBK"/>
          <w:color w:val="000000"/>
          <w:sz w:val="28"/>
        </w:rPr>
      </w:pPr>
      <w:r>
        <w:rPr>
          <w:rFonts w:hint="eastAsia" w:eastAsia="方正仿宋_GBK"/>
          <w:color w:val="000000"/>
          <w:sz w:val="28"/>
        </w:rPr>
        <w:t>4.提升企业群众获得感和满意度</w:t>
      </w:r>
    </w:p>
    <w:p>
      <w:pPr>
        <w:spacing w:line="500" w:lineRule="exact"/>
        <w:ind w:firstLine="560"/>
        <w:rPr>
          <w:rFonts w:eastAsia="方正仿宋_GBK"/>
          <w:color w:val="000000"/>
          <w:sz w:val="28"/>
        </w:rPr>
      </w:pPr>
      <w:r>
        <w:rPr>
          <w:rFonts w:hint="eastAsia" w:eastAsia="方正仿宋_GBK"/>
          <w:color w:val="000000"/>
          <w:sz w:val="28"/>
        </w:rPr>
        <w:t>扎实开展“便民利企主题活动”，进一步增强企业群众的获得感和满意度。</w:t>
      </w:r>
    </w:p>
    <w:p>
      <w:pPr>
        <w:spacing w:line="500" w:lineRule="exact"/>
        <w:ind w:firstLine="560"/>
        <w:rPr>
          <w:rFonts w:eastAsia="方正仿宋_GBK"/>
          <w:color w:val="000000"/>
          <w:sz w:val="28"/>
          <w:lang w:eastAsia="zh-CN"/>
        </w:rPr>
      </w:pPr>
      <w:r>
        <w:rPr>
          <w:rFonts w:eastAsia="方正仿宋_GBK"/>
          <w:color w:val="000000"/>
          <w:sz w:val="28"/>
        </w:rPr>
        <w:t>（二）分项绩效目标</w:t>
      </w:r>
    </w:p>
    <w:p>
      <w:pPr>
        <w:spacing w:line="500" w:lineRule="exact"/>
        <w:ind w:firstLine="560"/>
        <w:rPr>
          <w:rFonts w:eastAsia="方正仿宋_GBK"/>
          <w:color w:val="000000"/>
          <w:sz w:val="28"/>
        </w:rPr>
      </w:pPr>
      <w:r>
        <w:rPr>
          <w:rFonts w:hint="eastAsia" w:eastAsia="方正仿宋_GBK"/>
          <w:color w:val="000000"/>
          <w:sz w:val="28"/>
        </w:rPr>
        <w:t>1.行政审批大楼运行和审批业务工作经费绩效目标：</w:t>
      </w:r>
    </w:p>
    <w:p>
      <w:pPr>
        <w:pStyle w:val="2"/>
        <w:rPr>
          <w:rFonts w:eastAsia="方正仿宋_GBK"/>
          <w:color w:val="000000"/>
          <w:sz w:val="28"/>
        </w:rPr>
      </w:pPr>
      <w:r>
        <w:rPr>
          <w:rFonts w:hint="eastAsia" w:eastAsia="方正仿宋_GBK"/>
          <w:color w:val="000000"/>
          <w:sz w:val="28"/>
        </w:rPr>
        <w:t>承办上级交办的各项事项，协调推进机关日常工作。完成机关运转需要的办公、维修、文印等事务管理工作，综合业务完成率达到100%。大楼近4000</w:t>
      </w:r>
      <w:r>
        <w:rPr>
          <w:rFonts w:hint="eastAsia" w:eastAsia="宋体"/>
          <w:lang w:eastAsia="zh-CN"/>
        </w:rPr>
        <w:t>平方米</w:t>
      </w:r>
      <w:r>
        <w:rPr>
          <w:rFonts w:hint="eastAsia" w:eastAsia="方正仿宋_GBK"/>
          <w:color w:val="000000"/>
          <w:sz w:val="28"/>
        </w:rPr>
        <w:t>环境卫生、绿植养护及安全防卫完成率达到100%。政府服务热线</w:t>
      </w:r>
      <w:bookmarkStart w:id="20" w:name="_GoBack"/>
      <w:bookmarkEnd w:id="20"/>
      <w:r>
        <w:rPr>
          <w:rFonts w:hint="eastAsia" w:eastAsia="方正仿宋_GBK"/>
          <w:color w:val="000000"/>
          <w:sz w:val="28"/>
          <w:highlight w:val="none"/>
          <w:lang w:eastAsia="zh-CN"/>
        </w:rPr>
        <w:t>电话</w:t>
      </w:r>
      <w:r>
        <w:rPr>
          <w:rFonts w:hint="eastAsia" w:eastAsia="方正仿宋_GBK"/>
          <w:color w:val="000000"/>
          <w:sz w:val="28"/>
        </w:rPr>
        <w:t>办结率、回访满意率均达到98%。审批业务顺利办结,相关审批事项出证率达到100%。现场勘验工作顺利实施出现场率达到100%。提高勘验工作的专业性,第三方专业技术进行评价服务完采纳达到100%。</w:t>
      </w:r>
    </w:p>
    <w:p>
      <w:pPr>
        <w:spacing w:line="500" w:lineRule="exact"/>
        <w:ind w:firstLine="560"/>
        <w:rPr>
          <w:rFonts w:eastAsia="方正仿宋_GBK"/>
          <w:color w:val="000000"/>
          <w:sz w:val="28"/>
        </w:rPr>
      </w:pPr>
      <w:r>
        <w:rPr>
          <w:rFonts w:hint="eastAsia" w:eastAsia="方正仿宋_GBK"/>
          <w:color w:val="000000"/>
          <w:sz w:val="28"/>
        </w:rPr>
        <w:t>2.公共资源交易活动职责绩效目标：</w:t>
      </w:r>
    </w:p>
    <w:p>
      <w:pPr>
        <w:spacing w:line="500" w:lineRule="exact"/>
        <w:ind w:firstLine="560"/>
        <w:rPr>
          <w:rFonts w:eastAsia="方正仿宋_GBK"/>
          <w:color w:val="000000"/>
          <w:sz w:val="28"/>
        </w:rPr>
      </w:pPr>
      <w:r>
        <w:rPr>
          <w:rFonts w:hint="eastAsia" w:eastAsia="方正仿宋_GBK"/>
          <w:color w:val="000000"/>
          <w:sz w:val="28"/>
        </w:rPr>
        <w:t>评标工作正常有序开展，评标过程标准化，为各级政府单位采购工作提供数据支撑和科学参考,确保招投标结果的科学性、正确性,按规定抽取专家评审，确保全年系统稳定运行，累计故障时间可控范围内；公共资源交易中心门户网站维护，确保网站安全运行，外联单位信息全面可查询，网站全年安全访问。建立完善规则统一、公开透明、服务高效、监督规范的公共资源交易平台体系，实现公共资源交易全部线上留痕率达100%，政府采购公开招标、工程建设项目全流程电子化覆盖率100%。</w:t>
      </w:r>
    </w:p>
    <w:p>
      <w:pPr>
        <w:spacing w:line="500" w:lineRule="exact"/>
        <w:ind w:firstLine="560"/>
        <w:rPr>
          <w:rFonts w:eastAsia="方正仿宋_GBK"/>
          <w:color w:val="000000"/>
          <w:sz w:val="28"/>
        </w:rPr>
      </w:pPr>
      <w:r>
        <w:rPr>
          <w:rFonts w:hint="eastAsia" w:eastAsia="方正仿宋_GBK"/>
          <w:color w:val="000000"/>
          <w:sz w:val="28"/>
        </w:rPr>
        <w:t>3.推进“互联网＋政务服务”工作职责绩效目标：</w:t>
      </w:r>
    </w:p>
    <w:p>
      <w:pPr>
        <w:spacing w:line="500" w:lineRule="exact"/>
        <w:ind w:firstLine="560"/>
        <w:rPr>
          <w:rFonts w:eastAsia="方正仿宋_GBK"/>
          <w:color w:val="000000"/>
          <w:sz w:val="28"/>
        </w:rPr>
      </w:pPr>
      <w:r>
        <w:rPr>
          <w:rFonts w:hint="eastAsia" w:eastAsia="方正仿宋_GBK"/>
          <w:color w:val="000000"/>
          <w:sz w:val="28"/>
        </w:rPr>
        <w:t>保证县一体化政务服务平台与市平台连通顺畅，满足县级正常业务办理使用，推进县政务服务平台与垂建业务系统对接，承接部分审批职能，实现接口对接、数据调用和结果汇聚等功能。确保系统功能完善率95%以上。</w:t>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p>
    <w:p>
      <w:pPr>
        <w:spacing w:line="500" w:lineRule="exact"/>
        <w:ind w:firstLine="560"/>
        <w:rPr>
          <w:rFonts w:eastAsia="方正仿宋_GBK"/>
          <w:color w:val="000000"/>
          <w:sz w:val="28"/>
        </w:rPr>
      </w:pPr>
      <w:r>
        <w:rPr>
          <w:rFonts w:hint="eastAsia" w:eastAsia="方正仿宋_GBK"/>
          <w:color w:val="000000"/>
          <w:sz w:val="28"/>
        </w:rPr>
        <w:t>4.社会信用体系建设运维职责绩效目标：</w:t>
      </w:r>
    </w:p>
    <w:p>
      <w:pPr>
        <w:spacing w:line="500" w:lineRule="exact"/>
        <w:ind w:firstLine="560"/>
        <w:rPr>
          <w:rFonts w:eastAsiaTheme="minorEastAsia"/>
          <w:color w:val="000000"/>
          <w:sz w:val="28"/>
          <w:lang w:eastAsia="zh-CN"/>
        </w:rPr>
      </w:pPr>
      <w:r>
        <w:rPr>
          <w:rFonts w:hint="eastAsia" w:eastAsia="方正仿宋_GBK"/>
          <w:color w:val="000000"/>
          <w:sz w:val="28"/>
        </w:rPr>
        <w:t>提升我县信用门户网站和信用信息共享平台建设水平，完善平台信用信息采集报送共享、公示查询管理、联合奖惩、场景应用、信用监管、数据分析和信息安全等系统，推进信用服务应用“高度集成、一网通办”。</w:t>
      </w:r>
    </w:p>
    <w:p>
      <w:pPr>
        <w:spacing w:line="500" w:lineRule="exact"/>
        <w:ind w:firstLine="560"/>
        <w:rPr>
          <w:rFonts w:eastAsia="方正仿宋_GBK"/>
          <w:color w:val="000000"/>
          <w:sz w:val="28"/>
          <w:lang w:eastAsia="zh-CN"/>
        </w:rPr>
      </w:pPr>
      <w:r>
        <w:rPr>
          <w:rFonts w:eastAsia="方正仿宋_GBK"/>
          <w:color w:val="000000"/>
          <w:sz w:val="28"/>
        </w:rPr>
        <w:t>（三）工作保障措施</w:t>
      </w:r>
    </w:p>
    <w:p>
      <w:pPr>
        <w:spacing w:line="500" w:lineRule="exact"/>
        <w:ind w:firstLine="560"/>
        <w:rPr>
          <w:rFonts w:eastAsia="方正仿宋_GBK"/>
          <w:color w:val="000000"/>
          <w:sz w:val="28"/>
        </w:rPr>
      </w:pPr>
      <w:r>
        <w:rPr>
          <w:rFonts w:hint="eastAsia" w:eastAsia="方正仿宋_GBK"/>
          <w:color w:val="000000"/>
          <w:sz w:val="28"/>
        </w:rPr>
        <w:t>1.持续做好审批服务。通过节假日“不打烊”、帮办代办、特事特办、预约服务、延时服务，倡导推进“网上办、指尖办、预约办、邮寄办”，严格测温登记、查验健康码等措施，保障审批服务不断档。</w:t>
      </w:r>
    </w:p>
    <w:p>
      <w:pPr>
        <w:spacing w:line="500" w:lineRule="exact"/>
        <w:ind w:firstLine="560"/>
        <w:rPr>
          <w:rFonts w:eastAsia="方正仿宋_GBK"/>
          <w:color w:val="000000"/>
          <w:sz w:val="28"/>
        </w:rPr>
      </w:pPr>
      <w:r>
        <w:rPr>
          <w:rFonts w:hint="eastAsia" w:eastAsia="方正仿宋_GBK"/>
          <w:color w:val="000000"/>
          <w:sz w:val="28"/>
        </w:rPr>
        <w:t>2.加强审批服务标准化建设。一是大力推进政务服务事项标准化工作，编制完善政务服务事项权责清单；持续推进一次性告知书和审查要点标准化，为企业群众提供规范便捷的办事指引。二是认真组织实施《成安县政务服务“好差评”评价实施办法》，加强素质提升、服务环境、服务行为、事项公开、绩效考核等方面的管理，持续推进政务服务系统标准规范、科学高效。</w:t>
      </w:r>
    </w:p>
    <w:p>
      <w:pPr>
        <w:spacing w:line="500" w:lineRule="exact"/>
        <w:ind w:firstLine="560"/>
        <w:rPr>
          <w:rFonts w:eastAsia="方正仿宋_GBK"/>
          <w:color w:val="000000"/>
          <w:sz w:val="28"/>
        </w:rPr>
      </w:pPr>
      <w:r>
        <w:rPr>
          <w:rFonts w:hint="eastAsia" w:eastAsia="方正仿宋_GBK"/>
          <w:color w:val="000000"/>
          <w:sz w:val="28"/>
        </w:rPr>
        <w:t>3.持续推进简政放权优化服务。一是结合我省相关工作方案，制定我县涉企经营许可事项告知承诺制的工作方案，推动“证照分离”改革全覆盖落地落实。二是按照国务院工作安排，继续衔接取消一批事项，承接上级下放事项，并结合我县工作实际，研究向乡镇放一批事项，加大简政放权力度，进一步便民利企。三是继续深化“一件事、一次办”改革，再造办事流程，取消重复材料，压减办理时限，全流程标准化办理，实现一窗受理、一表申请、一次提交、极简审批的集成服务。</w:t>
      </w:r>
    </w:p>
    <w:p>
      <w:pPr>
        <w:spacing w:line="500" w:lineRule="exact"/>
        <w:ind w:firstLine="560"/>
        <w:rPr>
          <w:rFonts w:eastAsia="方正仿宋_GBK"/>
          <w:color w:val="000000"/>
          <w:sz w:val="28"/>
        </w:rPr>
      </w:pPr>
      <w:r>
        <w:rPr>
          <w:rFonts w:hint="eastAsia" w:eastAsia="方正仿宋_GBK"/>
          <w:color w:val="000000"/>
          <w:sz w:val="28"/>
        </w:rPr>
        <w:t>4.深化工程建设项目审批制度改革。一是推进工程建设审批管理系统与邯郸政务服务网对接，依托工程建设项目审批管理系统网上办事大厅，推行智能化申报和审批。二是全面落实上级部署，进一步抓好并联审批、联合验收、区域评估应用等工作开展。</w:t>
      </w:r>
    </w:p>
    <w:p>
      <w:pPr>
        <w:spacing w:line="500" w:lineRule="exact"/>
        <w:ind w:firstLine="560"/>
        <w:rPr>
          <w:rFonts w:eastAsia="方正仿宋_GBK"/>
          <w:color w:val="000000"/>
          <w:sz w:val="28"/>
        </w:rPr>
      </w:pPr>
      <w:r>
        <w:rPr>
          <w:rFonts w:hint="eastAsia" w:eastAsia="方正仿宋_GBK"/>
          <w:color w:val="000000"/>
          <w:sz w:val="28"/>
        </w:rPr>
        <w:t>5.紧盯公共资源交易工作。一是进一步加强公共资源交易平台建设，在功能适应性方面持续优化升级，推进交易中心电子档案系统和电子保函平台的建设应用，持续提升全流程电子化水平。二是进一步精简交易环节、简化交易流程，取消不必要的人员到场和纸质材料，让数据“多跑路”、群众“少跑腿”，做到交易进场“零门槛”，交易过程“零拖延”，交易环节“零障碍”，交易服务“零距离”。三是严格落实疫情防控期间公共资源交易工作方案，严格做好入场登记，严格标区出入管理，按照“能简则简、能优则优、特事特办、急事急办”的原则，稳妥有序地开展公共资源交易工作。</w:t>
      </w:r>
    </w:p>
    <w:p>
      <w:pPr>
        <w:pStyle w:val="26"/>
        <w:sectPr>
          <w:pgSz w:w="16840" w:h="11900" w:orient="landscape"/>
          <w:pgMar w:top="1361" w:right="1020" w:bottom="1361" w:left="1020" w:header="720" w:footer="720" w:gutter="0"/>
          <w:cols w:space="720" w:num="1"/>
        </w:sectPr>
      </w:pPr>
    </w:p>
    <w:p>
      <w:pPr>
        <w:spacing w:before="10" w:after="10" w:line="360" w:lineRule="auto"/>
        <w:ind w:firstLine="640"/>
        <w:outlineLvl w:val="2"/>
        <w:rPr>
          <w:rFonts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eastAsia="方正仿宋_GBK"/>
          <w:color w:val="000000"/>
          <w:sz w:val="28"/>
        </w:rPr>
      </w:pPr>
      <w:r>
        <w:rPr>
          <w:rFonts w:hint="eastAsia" w:eastAsia="方正仿宋_GBK"/>
          <w:color w:val="000000"/>
          <w:sz w:val="28"/>
        </w:rPr>
        <w:t>注：我单位无</w:t>
      </w:r>
      <w:r>
        <w:rPr>
          <w:rFonts w:eastAsia="方正仿宋_GBK"/>
          <w:color w:val="000000"/>
          <w:sz w:val="28"/>
        </w:rPr>
        <w:t>部门主管专项资金预算安排</w:t>
      </w:r>
      <w:r>
        <w:rPr>
          <w:rFonts w:hint="eastAsia" w:eastAsia="方正仿宋_GBK"/>
          <w:color w:val="000000"/>
          <w:sz w:val="28"/>
        </w:rPr>
        <w:t>。</w:t>
      </w:r>
    </w:p>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rPr>
          <w:lang w:eastAsia="zh-CN"/>
        </w:rPr>
        <w:sectPr>
          <w:pgSz w:w="16840" w:h="11900" w:orient="landscape"/>
          <w:pgMar w:top="1361" w:right="1020" w:bottom="1134"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1、村（社区）服务站及技术性审查绩效目标表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13042424P001PDR101203</w:t>
            </w:r>
          </w:p>
        </w:tc>
        <w:tc>
          <w:tcPr>
            <w:tcW w:w="2835" w:type="dxa"/>
            <w:vAlign w:val="center"/>
          </w:tcPr>
          <w:p>
            <w:pPr>
              <w:pStyle w:val="13"/>
            </w:pPr>
            <w:r>
              <w:t>项目名称</w:t>
            </w:r>
          </w:p>
        </w:tc>
        <w:tc>
          <w:tcPr>
            <w:tcW w:w="6094" w:type="dxa"/>
            <w:gridSpan w:val="3"/>
            <w:vAlign w:val="center"/>
          </w:tcPr>
          <w:p>
            <w:pPr>
              <w:pStyle w:val="15"/>
            </w:pPr>
            <w:r>
              <w:t>村（社区）服务站及技术性审查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190.00</w:t>
            </w:r>
          </w:p>
        </w:tc>
        <w:tc>
          <w:tcPr>
            <w:tcW w:w="2835" w:type="dxa"/>
            <w:vAlign w:val="center"/>
          </w:tcPr>
          <w:p>
            <w:pPr>
              <w:pStyle w:val="13"/>
            </w:pPr>
            <w:r>
              <w:t>其中：财政    资金</w:t>
            </w:r>
          </w:p>
        </w:tc>
        <w:tc>
          <w:tcPr>
            <w:tcW w:w="2551" w:type="dxa"/>
            <w:vAlign w:val="center"/>
          </w:tcPr>
          <w:p>
            <w:pPr>
              <w:pStyle w:val="15"/>
            </w:pPr>
            <w:r>
              <w:t>190.00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提升村及社区服务站服务质量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47.50</w:t>
            </w:r>
          </w:p>
        </w:tc>
        <w:tc>
          <w:tcPr>
            <w:tcW w:w="2835" w:type="dxa"/>
            <w:vAlign w:val="center"/>
          </w:tcPr>
          <w:p>
            <w:pPr>
              <w:pStyle w:val="16"/>
            </w:pPr>
            <w:r>
              <w:t>95.00</w:t>
            </w:r>
          </w:p>
        </w:tc>
        <w:tc>
          <w:tcPr>
            <w:tcW w:w="2551" w:type="dxa"/>
            <w:vAlign w:val="center"/>
          </w:tcPr>
          <w:p>
            <w:pPr>
              <w:pStyle w:val="16"/>
            </w:pPr>
            <w:r>
              <w:t>142.50</w:t>
            </w:r>
          </w:p>
        </w:tc>
        <w:tc>
          <w:tcPr>
            <w:tcW w:w="3543" w:type="dxa"/>
            <w:gridSpan w:val="2"/>
            <w:vAlign w:val="center"/>
          </w:tcPr>
          <w:p>
            <w:pPr>
              <w:pStyle w:val="16"/>
            </w:pPr>
            <w:r>
              <w:t>190.00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1.提升村及社区服务站服务质量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43"/>
        <w:gridCol w:w="1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1643" w:type="dxa"/>
            <w:vAlign w:val="center"/>
          </w:tcPr>
          <w:p>
            <w:pPr>
              <w:pStyle w:val="13"/>
            </w:pPr>
            <w:r>
              <w:t>指标值</w:t>
            </w:r>
          </w:p>
        </w:tc>
        <w:tc>
          <w:tcPr>
            <w:tcW w:w="190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综合服务站数量</w:t>
            </w:r>
          </w:p>
        </w:tc>
        <w:tc>
          <w:tcPr>
            <w:tcW w:w="5386" w:type="dxa"/>
            <w:vAlign w:val="center"/>
          </w:tcPr>
          <w:p>
            <w:pPr>
              <w:pStyle w:val="15"/>
            </w:pPr>
            <w:r>
              <w:t>综合服务站数量</w:t>
            </w:r>
          </w:p>
        </w:tc>
        <w:tc>
          <w:tcPr>
            <w:tcW w:w="1643" w:type="dxa"/>
            <w:vAlign w:val="center"/>
          </w:tcPr>
          <w:p>
            <w:pPr>
              <w:pStyle w:val="15"/>
            </w:pPr>
            <w:r>
              <w:t>208个</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综合服务站设施配置率</w:t>
            </w:r>
          </w:p>
        </w:tc>
        <w:tc>
          <w:tcPr>
            <w:tcW w:w="5386" w:type="dxa"/>
            <w:vAlign w:val="center"/>
          </w:tcPr>
          <w:p>
            <w:pPr>
              <w:pStyle w:val="15"/>
            </w:pPr>
            <w:r>
              <w:t>综合服务站设施配置率</w:t>
            </w:r>
          </w:p>
        </w:tc>
        <w:tc>
          <w:tcPr>
            <w:tcW w:w="1643" w:type="dxa"/>
            <w:vAlign w:val="center"/>
          </w:tcPr>
          <w:p>
            <w:pPr>
              <w:pStyle w:val="15"/>
            </w:pPr>
            <w:r>
              <w:t>100百分比</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综合服务站改造提升的按时完成率</w:t>
            </w:r>
          </w:p>
        </w:tc>
        <w:tc>
          <w:tcPr>
            <w:tcW w:w="5386" w:type="dxa"/>
            <w:vAlign w:val="center"/>
          </w:tcPr>
          <w:p>
            <w:pPr>
              <w:pStyle w:val="15"/>
            </w:pPr>
            <w:r>
              <w:t>综合服务站改造提升的按时完成率</w:t>
            </w:r>
          </w:p>
        </w:tc>
        <w:tc>
          <w:tcPr>
            <w:tcW w:w="1643" w:type="dxa"/>
            <w:vAlign w:val="center"/>
          </w:tcPr>
          <w:p>
            <w:pPr>
              <w:pStyle w:val="15"/>
            </w:pPr>
            <w:r>
              <w:t>100百分比</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服务站改造的成本</w:t>
            </w:r>
          </w:p>
        </w:tc>
        <w:tc>
          <w:tcPr>
            <w:tcW w:w="5386" w:type="dxa"/>
            <w:vAlign w:val="center"/>
          </w:tcPr>
          <w:p>
            <w:pPr>
              <w:pStyle w:val="15"/>
            </w:pPr>
            <w:r>
              <w:t>服务站改造的成本</w:t>
            </w:r>
          </w:p>
        </w:tc>
        <w:tc>
          <w:tcPr>
            <w:tcW w:w="1643" w:type="dxa"/>
            <w:vAlign w:val="center"/>
          </w:tcPr>
          <w:p>
            <w:pPr>
              <w:pStyle w:val="15"/>
            </w:pPr>
            <w:r>
              <w:t>190</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公共服务水平提升情况</w:t>
            </w:r>
          </w:p>
        </w:tc>
        <w:tc>
          <w:tcPr>
            <w:tcW w:w="5386" w:type="dxa"/>
            <w:vAlign w:val="center"/>
          </w:tcPr>
          <w:p>
            <w:pPr>
              <w:pStyle w:val="15"/>
            </w:pPr>
            <w:r>
              <w:t>公共服务水平提升情况</w:t>
            </w:r>
          </w:p>
        </w:tc>
        <w:tc>
          <w:tcPr>
            <w:tcW w:w="1643" w:type="dxa"/>
            <w:vAlign w:val="center"/>
          </w:tcPr>
          <w:p>
            <w:pPr>
              <w:pStyle w:val="15"/>
            </w:pPr>
            <w:r>
              <w:t>有效保障</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综合服务站持续使用时间</w:t>
            </w:r>
          </w:p>
        </w:tc>
        <w:tc>
          <w:tcPr>
            <w:tcW w:w="5386" w:type="dxa"/>
            <w:vAlign w:val="center"/>
          </w:tcPr>
          <w:p>
            <w:pPr>
              <w:pStyle w:val="15"/>
            </w:pPr>
            <w:r>
              <w:t>综合服务站持续使用时间</w:t>
            </w:r>
          </w:p>
        </w:tc>
        <w:tc>
          <w:tcPr>
            <w:tcW w:w="1643" w:type="dxa"/>
            <w:vAlign w:val="center"/>
          </w:tcPr>
          <w:p>
            <w:pPr>
              <w:pStyle w:val="15"/>
            </w:pPr>
            <w:r>
              <w:t>有效保障</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生态效益增值率</w:t>
            </w:r>
          </w:p>
        </w:tc>
        <w:tc>
          <w:tcPr>
            <w:tcW w:w="5386" w:type="dxa"/>
            <w:vAlign w:val="center"/>
          </w:tcPr>
          <w:p>
            <w:pPr>
              <w:pStyle w:val="15"/>
            </w:pPr>
            <w:r>
              <w:t>项目实施后生态效益增长率</w:t>
            </w:r>
          </w:p>
        </w:tc>
        <w:tc>
          <w:tcPr>
            <w:tcW w:w="1643" w:type="dxa"/>
            <w:vAlign w:val="center"/>
          </w:tcPr>
          <w:p>
            <w:pPr>
              <w:pStyle w:val="15"/>
            </w:pPr>
            <w:r>
              <w:t>100百分比</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增强服务保障能力</w:t>
            </w:r>
          </w:p>
        </w:tc>
        <w:tc>
          <w:tcPr>
            <w:tcW w:w="5386" w:type="dxa"/>
            <w:vAlign w:val="center"/>
          </w:tcPr>
          <w:p>
            <w:pPr>
              <w:pStyle w:val="15"/>
            </w:pPr>
            <w:r>
              <w:t>增强服务保障能力</w:t>
            </w:r>
          </w:p>
        </w:tc>
        <w:tc>
          <w:tcPr>
            <w:tcW w:w="1643" w:type="dxa"/>
            <w:vAlign w:val="center"/>
          </w:tcPr>
          <w:p>
            <w:pPr>
              <w:pStyle w:val="15"/>
            </w:pPr>
            <w:r>
              <w:t>100百分比</w:t>
            </w:r>
          </w:p>
        </w:tc>
        <w:tc>
          <w:tcPr>
            <w:tcW w:w="1901" w:type="dxa"/>
            <w:vAlign w:val="center"/>
          </w:tcPr>
          <w:p>
            <w:pPr>
              <w:pStyle w:val="15"/>
            </w:pPr>
            <w:r>
              <w:t>依据申请及合同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服务满意度</w:t>
            </w:r>
          </w:p>
        </w:tc>
        <w:tc>
          <w:tcPr>
            <w:tcW w:w="1643" w:type="dxa"/>
            <w:vAlign w:val="center"/>
          </w:tcPr>
          <w:p>
            <w:pPr>
              <w:pStyle w:val="15"/>
            </w:pPr>
            <w:r>
              <w:t>100百分比</w:t>
            </w:r>
          </w:p>
        </w:tc>
        <w:tc>
          <w:tcPr>
            <w:tcW w:w="1901" w:type="dxa"/>
            <w:vAlign w:val="center"/>
          </w:tcPr>
          <w:p>
            <w:pPr>
              <w:pStyle w:val="15"/>
            </w:pPr>
            <w:r>
              <w:t>依据申请及合同</w:t>
            </w:r>
          </w:p>
        </w:tc>
      </w:tr>
    </w:tbl>
    <w:p>
      <w:pPr>
        <w:sectPr>
          <w:type w:val="continuous"/>
          <w:pgSz w:w="16840" w:h="11900" w:orient="landscape"/>
          <w:pgMar w:top="1134" w:right="1020" w:bottom="1134" w:left="1020" w:header="720" w:footer="720" w:gutter="0"/>
          <w:cols w:space="720" w:num="1"/>
        </w:sectPr>
      </w:pPr>
    </w:p>
    <w:p>
      <w:pPr>
        <w:rPr>
          <w:rFonts w:ascii="黑体" w:hAnsi="黑体" w:eastAsia="黑体" w:cs="黑体"/>
          <w:color w:val="000000"/>
          <w:sz w:val="32"/>
          <w:lang w:eastAsia="zh-CN"/>
        </w:rPr>
      </w:pPr>
      <w:bookmarkStart w:id="16" w:name="_Toc_3_3_0000000017"/>
      <w:r>
        <w:rPr>
          <w:rFonts w:ascii="黑体" w:hAnsi="黑体" w:eastAsia="黑体" w:cs="黑体"/>
          <w:color w:val="000000"/>
          <w:sz w:val="32"/>
        </w:rPr>
        <w:t>八、政府采购预算情况</w:t>
      </w:r>
      <w:bookmarkEnd w:id="16"/>
    </w:p>
    <w:p>
      <w:pPr>
        <w:ind w:firstLine="560"/>
        <w:rPr>
          <w:rFonts w:ascii="方正仿宋_GBK" w:hAnsi="方正仿宋_GBK" w:eastAsia="方正仿宋_GBK" w:cs="方正仿宋_GBK"/>
          <w:color w:val="000000"/>
          <w:sz w:val="28"/>
        </w:rPr>
      </w:pPr>
      <w:bookmarkStart w:id="17" w:name="_Toc_3_3_0000000018"/>
      <w:r>
        <w:rPr>
          <w:rFonts w:hint="eastAsia" w:ascii="方正仿宋_GBK" w:hAnsi="方正仿宋_GBK" w:eastAsia="方正仿宋_GBK" w:cs="方正仿宋_GBK"/>
          <w:color w:val="000000"/>
          <w:sz w:val="28"/>
          <w:lang w:val="uk-UA"/>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hint="eastAsia" w:ascii="方正仿宋_GBK" w:hAnsi="方正仿宋_GBK" w:eastAsia="方正仿宋_GBK" w:cs="方正仿宋_GBK"/>
          <w:color w:val="000000"/>
          <w:sz w:val="28"/>
        </w:rPr>
        <w:t>[2015]11</w:t>
      </w:r>
      <w:r>
        <w:rPr>
          <w:rFonts w:hint="eastAsia" w:ascii="方正仿宋_GBK" w:hAnsi="方正仿宋_GBK" w:eastAsia="方正仿宋_GBK" w:cs="方正仿宋_GBK"/>
          <w:color w:val="000000"/>
          <w:sz w:val="28"/>
          <w:lang w:val="uk-UA"/>
        </w:rPr>
        <w:t>号）要求的货物、工程或服务的项目，采购人均应编入政府采购预算。按照政府采购相关法律法规要求，结合我单位实际，</w:t>
      </w:r>
      <w:r>
        <w:rPr>
          <w:rFonts w:hint="eastAsia" w:ascii="方正仿宋_GBK" w:hAnsi="方正仿宋_GBK" w:eastAsia="方正仿宋_GBK" w:cs="方正仿宋_GBK"/>
          <w:color w:val="000000"/>
          <w:sz w:val="28"/>
        </w:rPr>
        <w:t>202</w:t>
      </w:r>
      <w:r>
        <w:rPr>
          <w:rFonts w:hint="eastAsia" w:ascii="方正仿宋_GBK" w:hAnsi="方正仿宋_GBK" w:cs="方正仿宋_GBK" w:eastAsiaTheme="minorEastAsia"/>
          <w:color w:val="000000"/>
          <w:sz w:val="28"/>
          <w:lang w:eastAsia="zh-CN"/>
        </w:rPr>
        <w:t>4</w:t>
      </w:r>
      <w:r>
        <w:rPr>
          <w:rFonts w:hint="eastAsia" w:ascii="方正仿宋_GBK" w:hAnsi="方正仿宋_GBK" w:eastAsia="方正仿宋_GBK" w:cs="方正仿宋_GBK"/>
          <w:color w:val="000000"/>
          <w:sz w:val="28"/>
          <w:lang w:val="uk-UA"/>
        </w:rPr>
        <w:t>年，我单位安排政府采购预算</w:t>
      </w:r>
      <w:r>
        <w:rPr>
          <w:rFonts w:hint="eastAsia" w:ascii="方正仿宋_GBK" w:hAnsi="方正仿宋_GBK" w:cs="方正仿宋_GBK" w:eastAsiaTheme="minorEastAsia"/>
          <w:color w:val="000000"/>
          <w:sz w:val="28"/>
          <w:lang w:eastAsia="zh-CN"/>
        </w:rPr>
        <w:t>0.33</w:t>
      </w:r>
      <w:r>
        <w:rPr>
          <w:rFonts w:hint="eastAsia" w:ascii="方正仿宋_GBK" w:hAnsi="方正仿宋_GBK" w:eastAsia="方正仿宋_GBK" w:cs="方正仿宋_GBK"/>
          <w:color w:val="000000"/>
          <w:sz w:val="28"/>
          <w:lang w:val="uk-UA"/>
        </w:rPr>
        <w:t>万元，主要用于改善办公条件，具体内容见下表。</w:t>
      </w:r>
    </w:p>
    <w:p>
      <w:pPr>
        <w:jc w:val="center"/>
      </w:pPr>
      <w:r>
        <w:rPr>
          <w:rFonts w:hint="eastAsia" w:ascii="方正小标宋_GBK" w:hAnsi="方正小标宋_GBK" w:eastAsia="方正小标宋_GBK" w:cs="方正小标宋_GBK"/>
          <w:color w:val="000000"/>
          <w:sz w:val="36"/>
          <w:lang w:val="uk-UA"/>
        </w:rPr>
        <w:t>部门政府采购预算</w:t>
      </w:r>
    </w:p>
    <w:tbl>
      <w:tblPr>
        <w:tblStyle w:val="6"/>
        <w:tblW w:w="16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965"/>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4" w:type="dxa"/>
            <w:gridSpan w:val="7"/>
            <w:tcBorders>
              <w:top w:val="single" w:color="FFFFFF" w:sz="6" w:space="0"/>
              <w:left w:val="single" w:color="FFFFFF" w:sz="6" w:space="0"/>
              <w:bottom w:val="single" w:color="000000" w:sz="6" w:space="0"/>
              <w:right w:val="single" w:color="FFFFFF" w:sz="6" w:space="0"/>
            </w:tcBorders>
            <w:vAlign w:val="center"/>
          </w:tcPr>
          <w:p>
            <w:pPr>
              <w:pStyle w:val="12"/>
              <w:rPr>
                <w:kern w:val="2"/>
              </w:rPr>
            </w:pPr>
            <w:r>
              <w:rPr>
                <w:rFonts w:hint="eastAsia"/>
                <w:kern w:val="2"/>
              </w:rPr>
              <w:t>223</w:t>
            </w:r>
            <w:r>
              <w:rPr>
                <w:rFonts w:hint="eastAsia"/>
                <w:kern w:val="2"/>
                <w:lang w:val="uk-UA"/>
              </w:rPr>
              <w:t>成安县行政审批局</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27"/>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7" w:type="dxa"/>
            <w:gridSpan w:val="2"/>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计量</w:t>
            </w:r>
            <w:r>
              <w:rPr>
                <w:rFonts w:hint="eastAsia"/>
                <w:kern w:val="2"/>
              </w:rPr>
              <w:t xml:space="preserve">  </w:t>
            </w:r>
            <w:r>
              <w:rPr>
                <w:rFonts w:hint="eastAsia"/>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rPr>
              <w:t>2022</w:t>
            </w:r>
            <w:r>
              <w:rPr>
                <w:rFonts w:hint="eastAsia"/>
                <w:kern w:val="2"/>
                <w:lang w:val="uk-UA"/>
              </w:rPr>
              <w:t>年</w:t>
            </w:r>
            <w:r>
              <w:rPr>
                <w:rFonts w:hint="eastAsia"/>
                <w:kern w:val="2"/>
              </w:rPr>
              <w:t xml:space="preserve">  </w:t>
            </w:r>
            <w:r>
              <w:rPr>
                <w:rFonts w:hint="eastAsia"/>
                <w:kern w:val="2"/>
                <w:lang w:val="uk-UA"/>
              </w:rPr>
              <w:t>预留中</w:t>
            </w:r>
            <w:r>
              <w:rPr>
                <w:rFonts w:hint="eastAsia"/>
                <w:kern w:val="2"/>
              </w:rPr>
              <w:t xml:space="preserve">  </w:t>
            </w:r>
            <w:r>
              <w:rPr>
                <w:rFonts w:hint="eastAsia"/>
                <w:kern w:val="2"/>
                <w:lang w:val="uk-UA"/>
              </w:rPr>
              <w:t>小微企</w:t>
            </w:r>
            <w:r>
              <w:rPr>
                <w:rFonts w:hint="eastAsia"/>
                <w:kern w:val="2"/>
              </w:rPr>
              <w:t xml:space="preserve">  </w:t>
            </w:r>
            <w:r>
              <w:rPr>
                <w:rFonts w:hint="eastAsia"/>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项目名称</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预算</w:t>
            </w:r>
            <w:r>
              <w:rPr>
                <w:rFonts w:hint="eastAsia"/>
                <w:kern w:val="2"/>
              </w:rPr>
              <w:t xml:space="preserve">    </w:t>
            </w:r>
            <w:r>
              <w:rPr>
                <w:rFonts w:hint="eastAsia"/>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单位</w:t>
            </w:r>
            <w:r>
              <w:rPr>
                <w:rFonts w:hint="eastAsia"/>
                <w:kern w:val="2"/>
              </w:rPr>
              <w:t xml:space="preserve">    </w:t>
            </w:r>
            <w:r>
              <w:rPr>
                <w:rFonts w:hint="eastAsia"/>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财政拨</w:t>
            </w:r>
            <w:r>
              <w:rPr>
                <w:rFonts w:hint="eastAsia"/>
                <w:kern w:val="2"/>
              </w:rPr>
              <w:t xml:space="preserve">    </w:t>
            </w:r>
            <w:r>
              <w:rPr>
                <w:rFonts w:hint="eastAsia"/>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kern w:val="2"/>
              </w:rPr>
            </w:pPr>
            <w:r>
              <w:rPr>
                <w:rFonts w:hint="eastAsia"/>
                <w:kern w:val="2"/>
                <w:lang w:val="uk-UA"/>
              </w:rPr>
              <w:t>非财政</w:t>
            </w:r>
            <w:r>
              <w:rPr>
                <w:rFonts w:hint="eastAsia"/>
                <w:kern w:val="2"/>
              </w:rPr>
              <w:t xml:space="preserve">    </w:t>
            </w:r>
            <w:r>
              <w:rPr>
                <w:rFonts w:hint="eastAsia"/>
                <w:kern w:val="2"/>
                <w:lang w:val="uk-UA"/>
              </w:rPr>
              <w:t>拨款结</w:t>
            </w:r>
            <w:r>
              <w:rPr>
                <w:rFonts w:hint="eastAsia"/>
                <w:kern w:val="2"/>
              </w:rPr>
              <w:t xml:space="preserve">    </w:t>
            </w:r>
            <w:r>
              <w:rPr>
                <w:rFonts w:hint="eastAsia"/>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val="uk-UA" w:eastAsia="zh-CN"/>
              </w:rPr>
            </w:pPr>
            <w:r>
              <w:rPr>
                <w:rFonts w:hint="eastAsia" w:eastAsiaTheme="minorEastAsia"/>
                <w:b w:val="0"/>
                <w:kern w:val="2"/>
                <w:lang w:val="uk-UA" w:eastAsia="zh-CN"/>
              </w:rPr>
              <w:t>合计：</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eastAsiaTheme="minorEastAsia"/>
                <w:b w:val="0"/>
                <w:kern w:val="2"/>
                <w:lang w:val="uk-UA" w:eastAsia="zh-CN"/>
              </w:rPr>
              <w:t>公用</w:t>
            </w:r>
            <w:r>
              <w:rPr>
                <w:rFonts w:hint="eastAsia"/>
                <w:b w:val="0"/>
                <w:kern w:val="2"/>
                <w:lang w:val="uk-UA"/>
              </w:rPr>
              <w:t>经费</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3"/>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3"/>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4"/>
              <w:rPr>
                <w:kern w:val="2"/>
              </w:rPr>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九、国有资产信息</w:t>
      </w:r>
      <w:bookmarkEnd w:id="17"/>
    </w:p>
    <w:p>
      <w:pPr>
        <w:spacing w:line="500" w:lineRule="exact"/>
        <w:ind w:firstLine="420"/>
        <w:rPr>
          <w:rFonts w:ascii="方正书宋_GBK" w:hAnsi="方正书宋_GBK" w:eastAsia="方正书宋_GBK" w:cs="方正书宋_GBK"/>
          <w:color w:val="000000"/>
          <w:sz w:val="28"/>
          <w:szCs w:val="28"/>
        </w:rPr>
      </w:pPr>
      <w:r>
        <w:rPr>
          <w:rFonts w:ascii="方正书宋_GBK" w:hAnsi="方正书宋_GBK" w:eastAsia="方正书宋_GBK" w:cs="方正书宋_GBK"/>
          <w:color w:val="000000"/>
          <w:sz w:val="28"/>
          <w:szCs w:val="28"/>
        </w:rPr>
        <w:t>成安县行政审批局（含所属单位）上年末固定资产金额为</w:t>
      </w:r>
      <w:r>
        <w:rPr>
          <w:rFonts w:hint="eastAsia" w:eastAsia="方正书宋_GBK"/>
          <w:b/>
          <w:lang w:val="en-US" w:eastAsia="zh-CN"/>
        </w:rPr>
        <w:t>472.57734</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（详见下表）。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223成安县行政审批局</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eastAsiaTheme="minorEastAsia"/>
                <w:lang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b w:val="0"/>
              </w:rPr>
            </w:pPr>
            <w:r>
              <w:rPr>
                <w:rFonts w:hint="eastAsia"/>
                <w:b w:val="0"/>
              </w:rPr>
              <w:t>资产总额</w:t>
            </w:r>
          </w:p>
        </w:tc>
        <w:tc>
          <w:tcPr>
            <w:tcW w:w="2835" w:type="dxa"/>
            <w:vAlign w:val="center"/>
          </w:tcPr>
          <w:p>
            <w:pPr>
              <w:pStyle w:val="13"/>
              <w:rPr>
                <w:b w:val="0"/>
              </w:rPr>
            </w:pPr>
            <w:r>
              <w:rPr>
                <w:rFonts w:hint="eastAsia"/>
                <w:b w:val="0"/>
              </w:rPr>
              <w:t>——</w:t>
            </w:r>
          </w:p>
        </w:tc>
        <w:tc>
          <w:tcPr>
            <w:tcW w:w="2835" w:type="dxa"/>
            <w:vAlign w:val="center"/>
          </w:tcPr>
          <w:p>
            <w:pPr>
              <w:pStyle w:val="13"/>
              <w:rPr>
                <w:rFonts w:eastAsiaTheme="minorEastAsia"/>
                <w:b w:val="0"/>
                <w:lang w:eastAsia="zh-CN"/>
              </w:rPr>
            </w:pPr>
            <w:r>
              <w:rPr>
                <w:rFonts w:hint="eastAsia" w:eastAsiaTheme="minorEastAsia"/>
                <w:b w:val="0"/>
                <w:lang w:eastAsia="zh-CN"/>
              </w:rPr>
              <w:t>472.57734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b w:val="0"/>
              </w:rPr>
            </w:pPr>
            <w:r>
              <w:rPr>
                <w:rFonts w:hint="eastAsia"/>
                <w:b w:val="0"/>
              </w:rPr>
              <w:t>1、房屋（平方米）</w:t>
            </w:r>
          </w:p>
        </w:tc>
        <w:tc>
          <w:tcPr>
            <w:tcW w:w="2835" w:type="dxa"/>
            <w:vAlign w:val="center"/>
          </w:tcPr>
          <w:p>
            <w:pPr>
              <w:pStyle w:val="13"/>
              <w:rPr>
                <w:b w:val="0"/>
              </w:rPr>
            </w:pPr>
            <w:r>
              <w:rPr>
                <w:rFonts w:hint="eastAsia"/>
                <w:b w:val="0"/>
              </w:rPr>
              <w:t>3900</w:t>
            </w:r>
          </w:p>
        </w:tc>
        <w:tc>
          <w:tcPr>
            <w:tcW w:w="2835" w:type="dxa"/>
            <w:vAlign w:val="center"/>
          </w:tcPr>
          <w:p>
            <w:pPr>
              <w:pStyle w:val="13"/>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b w:val="0"/>
              </w:rPr>
            </w:pPr>
            <w:r>
              <w:rPr>
                <w:rFonts w:hint="eastAsia"/>
                <w:b w:val="0"/>
              </w:rPr>
              <w:t>其中：办公用房（平方米）</w:t>
            </w:r>
          </w:p>
        </w:tc>
        <w:tc>
          <w:tcPr>
            <w:tcW w:w="2835" w:type="dxa"/>
            <w:vAlign w:val="center"/>
          </w:tcPr>
          <w:p>
            <w:pPr>
              <w:pStyle w:val="13"/>
              <w:rPr>
                <w:b w:val="0"/>
              </w:rPr>
            </w:pPr>
            <w:r>
              <w:rPr>
                <w:rFonts w:hint="eastAsia"/>
                <w:b w:val="0"/>
              </w:rPr>
              <w:t>3900</w:t>
            </w:r>
          </w:p>
        </w:tc>
        <w:tc>
          <w:tcPr>
            <w:tcW w:w="2835" w:type="dxa"/>
            <w:vAlign w:val="center"/>
          </w:tcPr>
          <w:p>
            <w:pPr>
              <w:pStyle w:val="13"/>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b w:val="0"/>
              </w:rPr>
            </w:pPr>
            <w:r>
              <w:rPr>
                <w:rFonts w:hint="eastAsia"/>
                <w:b w:val="0"/>
              </w:rPr>
              <w:t>2、车辆（台、辆）</w:t>
            </w:r>
          </w:p>
        </w:tc>
        <w:tc>
          <w:tcPr>
            <w:tcW w:w="2835" w:type="dxa"/>
            <w:vAlign w:val="center"/>
          </w:tcPr>
          <w:p>
            <w:pPr>
              <w:pStyle w:val="13"/>
              <w:rPr>
                <w:b w:val="0"/>
              </w:rPr>
            </w:pPr>
            <w:r>
              <w:rPr>
                <w:rFonts w:hint="eastAsia"/>
                <w:b w:val="0"/>
              </w:rPr>
              <w:t>0</w:t>
            </w:r>
          </w:p>
        </w:tc>
        <w:tc>
          <w:tcPr>
            <w:tcW w:w="2835" w:type="dxa"/>
            <w:vAlign w:val="center"/>
          </w:tcPr>
          <w:p>
            <w:pPr>
              <w:pStyle w:val="13"/>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b w:val="0"/>
              </w:rPr>
            </w:pPr>
            <w:r>
              <w:rPr>
                <w:rFonts w:hint="eastAsia"/>
                <w:b w:val="0"/>
              </w:rPr>
              <w:t>3、单价在50万元以上的设备</w:t>
            </w:r>
          </w:p>
        </w:tc>
        <w:tc>
          <w:tcPr>
            <w:tcW w:w="2835" w:type="dxa"/>
            <w:vAlign w:val="center"/>
          </w:tcPr>
          <w:p>
            <w:pPr>
              <w:pStyle w:val="13"/>
              <w:rPr>
                <w:b w:val="0"/>
              </w:rPr>
            </w:pPr>
            <w:r>
              <w:rPr>
                <w:rFonts w:hint="eastAsia"/>
                <w:b w:val="0"/>
              </w:rPr>
              <w:t>0</w:t>
            </w:r>
          </w:p>
        </w:tc>
        <w:tc>
          <w:tcPr>
            <w:tcW w:w="2835" w:type="dxa"/>
            <w:vAlign w:val="center"/>
          </w:tcPr>
          <w:p>
            <w:pPr>
              <w:pStyle w:val="13"/>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rPr>
                <w:b w:val="0"/>
              </w:rPr>
            </w:pPr>
            <w:r>
              <w:rPr>
                <w:rFonts w:hint="eastAsia"/>
                <w:b w:val="0"/>
              </w:rPr>
              <w:t>4、其他固定资产</w:t>
            </w:r>
          </w:p>
        </w:tc>
        <w:tc>
          <w:tcPr>
            <w:tcW w:w="2835" w:type="dxa"/>
            <w:vAlign w:val="center"/>
          </w:tcPr>
          <w:p>
            <w:pPr>
              <w:pStyle w:val="13"/>
              <w:rPr>
                <w:rFonts w:eastAsiaTheme="minorEastAsia"/>
                <w:b w:val="0"/>
                <w:lang w:eastAsia="zh-CN"/>
              </w:rPr>
            </w:pPr>
            <w:r>
              <w:rPr>
                <w:rFonts w:hint="eastAsia"/>
                <w:b w:val="0"/>
              </w:rPr>
              <w:t>114</w:t>
            </w:r>
            <w:r>
              <w:rPr>
                <w:rFonts w:hint="eastAsia" w:eastAsiaTheme="minorEastAsia"/>
                <w:b w:val="0"/>
                <w:lang w:eastAsia="zh-CN"/>
              </w:rPr>
              <w:t>70</w:t>
            </w:r>
          </w:p>
        </w:tc>
        <w:tc>
          <w:tcPr>
            <w:tcW w:w="2835" w:type="dxa"/>
            <w:vAlign w:val="center"/>
          </w:tcPr>
          <w:p>
            <w:pPr>
              <w:pStyle w:val="13"/>
              <w:rPr>
                <w:rFonts w:eastAsiaTheme="minorEastAsia"/>
                <w:b w:val="0"/>
                <w:lang w:eastAsia="zh-CN"/>
              </w:rPr>
            </w:pPr>
            <w:r>
              <w:rPr>
                <w:rFonts w:hint="eastAsia" w:eastAsiaTheme="minorEastAsia"/>
                <w:b w:val="0"/>
                <w:lang w:eastAsia="zh-CN"/>
              </w:rPr>
              <w:t>472.57734</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VhYjc5ZWFkOTZiZDA4NWMwYTAyMjRlMzBlYTViMzgifQ=="/>
  </w:docVars>
  <w:rsids>
    <w:rsidRoot w:val="00C53372"/>
    <w:rsid w:val="002F38B1"/>
    <w:rsid w:val="00303B0C"/>
    <w:rsid w:val="0037678B"/>
    <w:rsid w:val="003D3C69"/>
    <w:rsid w:val="004A2C8C"/>
    <w:rsid w:val="005A0B3B"/>
    <w:rsid w:val="005A268C"/>
    <w:rsid w:val="005C6018"/>
    <w:rsid w:val="0069475E"/>
    <w:rsid w:val="007C2DA9"/>
    <w:rsid w:val="007C6825"/>
    <w:rsid w:val="00903D76"/>
    <w:rsid w:val="0098469B"/>
    <w:rsid w:val="00A02EDC"/>
    <w:rsid w:val="00A10EC2"/>
    <w:rsid w:val="00AF78D5"/>
    <w:rsid w:val="00BE126C"/>
    <w:rsid w:val="00C53372"/>
    <w:rsid w:val="00C83169"/>
    <w:rsid w:val="00C8458F"/>
    <w:rsid w:val="00C96480"/>
    <w:rsid w:val="00D26E4F"/>
    <w:rsid w:val="00DB6F8B"/>
    <w:rsid w:val="00E35F74"/>
    <w:rsid w:val="00F02249"/>
    <w:rsid w:val="00F87C73"/>
    <w:rsid w:val="023615AF"/>
    <w:rsid w:val="08BA635F"/>
    <w:rsid w:val="114F36F3"/>
    <w:rsid w:val="133F59D4"/>
    <w:rsid w:val="1DE86D9F"/>
    <w:rsid w:val="396A0841"/>
    <w:rsid w:val="48AA4578"/>
    <w:rsid w:val="4AC25E28"/>
    <w:rsid w:val="61911EF4"/>
    <w:rsid w:val="6FB58881"/>
    <w:rsid w:val="DEFA1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32"/>
    <w:semiHidden/>
    <w:unhideWhenUsed/>
    <w:qFormat/>
    <w:uiPriority w:val="99"/>
    <w:pPr>
      <w:tabs>
        <w:tab w:val="center" w:pos="4153"/>
        <w:tab w:val="right" w:pos="8306"/>
      </w:tabs>
      <w:snapToGrid w:val="0"/>
    </w:pPr>
    <w:rPr>
      <w:sz w:val="18"/>
      <w:szCs w:val="18"/>
    </w:rPr>
  </w:style>
  <w:style w:type="paragraph" w:styleId="4">
    <w:name w:val="header"/>
    <w:basedOn w:val="1"/>
    <w:link w:val="3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ind w:left="420" w:leftChars="20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1"/>
    <w:basedOn w:val="1"/>
    <w:qFormat/>
    <w:uiPriority w:val="0"/>
    <w:pPr>
      <w:spacing w:before="120"/>
      <w:ind w:firstLine="560"/>
    </w:pPr>
    <w:rPr>
      <w:rFonts w:eastAsia="方正仿宋_GBK"/>
      <w:color w:val="000000"/>
      <w:sz w:val="28"/>
    </w:rPr>
  </w:style>
  <w:style w:type="character" w:customStyle="1" w:styleId="31">
    <w:name w:val="页眉 Char"/>
    <w:basedOn w:val="8"/>
    <w:link w:val="4"/>
    <w:semiHidden/>
    <w:qFormat/>
    <w:uiPriority w:val="99"/>
    <w:rPr>
      <w:rFonts w:eastAsia="Times New Roman"/>
      <w:sz w:val="18"/>
      <w:szCs w:val="18"/>
      <w:lang w:eastAsia="uk-UA"/>
    </w:rPr>
  </w:style>
  <w:style w:type="character" w:customStyle="1" w:styleId="32">
    <w:name w:val="页脚 Char"/>
    <w:basedOn w:val="8"/>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2140</Words>
  <Characters>12200</Characters>
  <Lines>101</Lines>
  <Paragraphs>28</Paragraphs>
  <TotalTime>2</TotalTime>
  <ScaleCrop>false</ScaleCrop>
  <LinksUpToDate>false</LinksUpToDate>
  <CharactersWithSpaces>14312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2024-02-22T07:21:00Z</dcterms:created>
  <dc:creator>dell</dc:creator>
  <cp:lastModifiedBy>Administrator</cp:lastModifiedBy>
  <dcterms:modified xsi:type="dcterms:W3CDTF">2024-03-21T06:33:56Z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AB3D4402401F4E2EA40D178D6D6EEAF6_12</vt:lpwstr>
  </property>
</Properties>
</file>