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2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pPr>
        <w:pStyle w:val="2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8</w:t>
      </w:r>
      <w:r>
        <w:fldChar w:fldCharType="end"/>
      </w:r>
    </w:p>
    <w:p>
      <w:pPr>
        <w:pStyle w:val="2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9</w:t>
      </w:r>
      <w:r>
        <w:fldChar w:fldCharType="end"/>
      </w:r>
    </w:p>
    <w:p>
      <w:pPr>
        <w:pStyle w:val="2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0</w:t>
      </w:r>
    </w:p>
    <w:p>
      <w:pPr>
        <w:pStyle w:val="2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1</w:t>
      </w:r>
    </w:p>
    <w:p>
      <w:pPr>
        <w:pStyle w:val="2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4"/>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eastAsia="zh-CN"/>
        </w:rPr>
        <w:t>1</w:t>
      </w:r>
      <w:r>
        <w:rPr>
          <w:rFonts w:hint="eastAsia"/>
          <w:lang w:val="en-US" w:eastAsia="zh-CN"/>
        </w:rPr>
        <w:t>3</w:t>
      </w:r>
    </w:p>
    <w:p>
      <w:pPr>
        <w:pStyle w:val="24"/>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eastAsia="zh-CN"/>
        </w:rPr>
        <w:t>1</w:t>
      </w:r>
      <w:r>
        <w:rPr>
          <w:rFonts w:hint="eastAsia"/>
          <w:lang w:val="en-US" w:eastAsia="zh-CN"/>
        </w:rPr>
        <w:t>7</w:t>
      </w:r>
    </w:p>
    <w:p>
      <w:pPr>
        <w:pStyle w:val="24"/>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18</w:t>
      </w:r>
    </w:p>
    <w:p>
      <w:pPr>
        <w:pStyle w:val="24"/>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1</w:t>
      </w:r>
      <w:r>
        <w:rPr>
          <w:rFonts w:hint="eastAsia"/>
          <w:lang w:val="en-US" w:eastAsia="zh-CN"/>
        </w:rPr>
        <w:t>8</w:t>
      </w:r>
    </w:p>
    <w:p>
      <w:pPr>
        <w:pStyle w:val="24"/>
        <w:tabs>
          <w:tab w:val="right" w:leader="dot" w:pos="14562"/>
        </w:tabs>
        <w:rPr>
          <w:rFonts w:eastAsiaTheme="minorEastAsia"/>
          <w:lang w:eastAsia="zh-CN"/>
        </w:rPr>
      </w:pPr>
      <w:r>
        <w:fldChar w:fldCharType="begin"/>
      </w:r>
      <w:r>
        <w:instrText xml:space="preserve"> HYPERLINK \l "_Toc_3_3_0000000014" </w:instrText>
      </w:r>
      <w:r>
        <w:fldChar w:fldCharType="separate"/>
      </w:r>
      <w:r>
        <w:t>五、</w:t>
      </w:r>
      <w:r>
        <w:rPr>
          <w:rFonts w:hint="eastAsia" w:eastAsiaTheme="minorEastAsia"/>
          <w:lang w:eastAsia="zh-CN"/>
        </w:rPr>
        <w:t>单位项目预算安排情况及绩效目标</w:t>
      </w:r>
      <w:r>
        <w:tab/>
      </w:r>
      <w:r>
        <w:fldChar w:fldCharType="end"/>
      </w:r>
      <w:r>
        <w:rPr>
          <w:rFonts w:hint="eastAsia" w:eastAsiaTheme="minorEastAsia"/>
          <w:lang w:eastAsia="zh-CN"/>
        </w:rPr>
        <w:t>1</w:t>
      </w:r>
      <w:r>
        <w:rPr>
          <w:rFonts w:hint="eastAsia" w:eastAsiaTheme="minorEastAsia"/>
          <w:lang w:val="en-US" w:eastAsia="zh-CN"/>
        </w:rPr>
        <w:t>8</w:t>
      </w:r>
    </w:p>
    <w:p>
      <w:pPr>
        <w:pStyle w:val="24"/>
        <w:tabs>
          <w:tab w:val="right" w:leader="dot" w:pos="14562"/>
        </w:tabs>
        <w:sectPr>
          <w:pgSz w:w="16840" w:h="11900" w:orient="landscape"/>
          <w:pgMar w:top="1361" w:right="1020" w:bottom="1134" w:left="1020" w:header="720" w:footer="720" w:gutter="0"/>
          <w:pgNumType w:start="1"/>
          <w:cols w:space="720" w:num="1"/>
        </w:sectPr>
      </w:pPr>
    </w:p>
    <w:p>
      <w:pPr>
        <w:pStyle w:val="24"/>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eastAsiaTheme="minorEastAsia"/>
          <w:lang w:eastAsia="zh-CN"/>
        </w:rPr>
        <w:t>2</w:t>
      </w:r>
      <w:r>
        <w:rPr>
          <w:rFonts w:hint="eastAsia"/>
          <w:lang w:val="en-US" w:eastAsia="zh-CN"/>
        </w:rPr>
        <w:t>0</w:t>
      </w:r>
    </w:p>
    <w:p>
      <w:pPr>
        <w:pStyle w:val="24"/>
        <w:tabs>
          <w:tab w:val="right" w:leader="dot" w:pos="14562"/>
        </w:tabs>
        <w:rPr>
          <w:rFonts w:eastAsiaTheme="minorEastAsia"/>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eastAsiaTheme="minorEastAsia"/>
          <w:lang w:eastAsia="zh-CN"/>
        </w:rPr>
        <w:t>2</w:t>
      </w:r>
      <w:r>
        <w:rPr>
          <w:rFonts w:hint="eastAsia" w:eastAsiaTheme="minorEastAsia"/>
          <w:lang w:val="en-US" w:eastAsia="zh-CN"/>
        </w:rPr>
        <w:t>0</w:t>
      </w:r>
    </w:p>
    <w:p>
      <w:pPr>
        <w:pStyle w:val="24"/>
        <w:tabs>
          <w:tab w:val="right" w:leader="dot" w:pos="14562"/>
        </w:tabs>
        <w:rPr>
          <w:rFonts w:eastAsiaTheme="minorEastAsia"/>
          <w:lang w:eastAsia="zh-CN"/>
        </w:rPr>
      </w:pPr>
      <w:r>
        <w:fldChar w:fldCharType="begin"/>
      </w:r>
      <w:r>
        <w:instrText xml:space="preserve"> HYPERLINK \l "_Toc_3_3_0000000017" </w:instrText>
      </w:r>
      <w:r>
        <w:fldChar w:fldCharType="separate"/>
      </w:r>
      <w:r>
        <w:t>八、名词解释</w:t>
      </w:r>
      <w:r>
        <w:tab/>
      </w:r>
      <w:r>
        <w:fldChar w:fldCharType="end"/>
      </w:r>
      <w:r>
        <w:rPr>
          <w:rFonts w:hint="eastAsia" w:eastAsiaTheme="minorEastAsia"/>
          <w:lang w:eastAsia="zh-CN"/>
        </w:rPr>
        <w:t>2</w:t>
      </w:r>
      <w:r>
        <w:rPr>
          <w:rFonts w:hint="eastAsia" w:eastAsiaTheme="minorEastAsia"/>
          <w:lang w:val="en-US" w:eastAsia="zh-CN"/>
        </w:rPr>
        <w:t>1</w:t>
      </w:r>
    </w:p>
    <w:p>
      <w:pPr>
        <w:pStyle w:val="24"/>
        <w:tabs>
          <w:tab w:val="right" w:leader="dot" w:pos="14562"/>
        </w:tabs>
        <w:rPr>
          <w:rFonts w:eastAsiaTheme="minorEastAsia"/>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eastAsiaTheme="minorEastAsia"/>
          <w:lang w:eastAsia="zh-CN"/>
        </w:rPr>
        <w:t>2</w:t>
      </w:r>
      <w:r>
        <w:rPr>
          <w:rFonts w:hint="eastAsia" w:eastAsiaTheme="minorEastAsia"/>
          <w:lang w:val="en-US" w:eastAsia="zh-CN"/>
        </w:rPr>
        <w:t>2</w:t>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一、成安县行政审批局本级收支预算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223001成安县行政审批局本级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883.95</w:t>
            </w:r>
          </w:p>
        </w:tc>
        <w:tc>
          <w:tcPr>
            <w:tcW w:w="4535" w:type="dxa"/>
            <w:vAlign w:val="center"/>
          </w:tcPr>
          <w:p>
            <w:pPr>
              <w:pStyle w:val="13"/>
            </w:pPr>
            <w:r>
              <w:t>一、一般公共服务支出</w:t>
            </w:r>
          </w:p>
        </w:tc>
        <w:tc>
          <w:tcPr>
            <w:tcW w:w="2126" w:type="dxa"/>
            <w:vAlign w:val="center"/>
          </w:tcPr>
          <w:p>
            <w:pPr>
              <w:pStyle w:val="12"/>
            </w:pPr>
            <w:r>
              <w:t>785.78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883.95</w:t>
            </w:r>
          </w:p>
        </w:tc>
        <w:tc>
          <w:tcPr>
            <w:tcW w:w="4535" w:type="dxa"/>
            <w:vAlign w:val="center"/>
          </w:tcPr>
          <w:p>
            <w:pPr>
              <w:pStyle w:val="15"/>
            </w:pPr>
            <w:r>
              <w:t>本年支出合计</w:t>
            </w:r>
          </w:p>
        </w:tc>
        <w:tc>
          <w:tcPr>
            <w:tcW w:w="2126" w:type="dxa"/>
            <w:vAlign w:val="center"/>
          </w:tcPr>
          <w:p>
            <w:pPr>
              <w:pStyle w:val="16"/>
            </w:pPr>
            <w:r>
              <w:t>883.95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883.95</w:t>
            </w:r>
          </w:p>
        </w:tc>
        <w:tc>
          <w:tcPr>
            <w:tcW w:w="4535" w:type="dxa"/>
            <w:vAlign w:val="center"/>
          </w:tcPr>
          <w:p>
            <w:pPr>
              <w:pStyle w:val="15"/>
            </w:pPr>
            <w:r>
              <w:t>支出总计</w:t>
            </w:r>
          </w:p>
        </w:tc>
        <w:tc>
          <w:tcPr>
            <w:tcW w:w="2126" w:type="dxa"/>
            <w:vAlign w:val="center"/>
          </w:tcPr>
          <w:p>
            <w:pPr>
              <w:pStyle w:val="16"/>
            </w:pPr>
            <w:r>
              <w:t>883.95</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223001成安县行政审批局本级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883.95</w:t>
            </w:r>
          </w:p>
        </w:tc>
        <w:tc>
          <w:tcPr>
            <w:tcW w:w="1134" w:type="dxa"/>
            <w:vAlign w:val="center"/>
          </w:tcPr>
          <w:p>
            <w:pPr>
              <w:pStyle w:val="16"/>
            </w:pPr>
            <w:r>
              <w:t>883.95</w:t>
            </w:r>
          </w:p>
        </w:tc>
        <w:tc>
          <w:tcPr>
            <w:tcW w:w="1134" w:type="dxa"/>
            <w:vAlign w:val="center"/>
          </w:tcPr>
          <w:p>
            <w:pPr>
              <w:pStyle w:val="16"/>
            </w:pPr>
            <w:r>
              <w:t>883.95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785.78</w:t>
            </w:r>
          </w:p>
        </w:tc>
        <w:tc>
          <w:tcPr>
            <w:tcW w:w="1134" w:type="dxa"/>
            <w:vAlign w:val="center"/>
          </w:tcPr>
          <w:p>
            <w:pPr>
              <w:pStyle w:val="12"/>
            </w:pPr>
            <w:r>
              <w:t>785.78</w:t>
            </w:r>
          </w:p>
        </w:tc>
        <w:tc>
          <w:tcPr>
            <w:tcW w:w="1134" w:type="dxa"/>
            <w:vAlign w:val="center"/>
          </w:tcPr>
          <w:p>
            <w:pPr>
              <w:pStyle w:val="12"/>
            </w:pPr>
            <w:r>
              <w:t>785.78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785.78</w:t>
            </w:r>
          </w:p>
        </w:tc>
        <w:tc>
          <w:tcPr>
            <w:tcW w:w="1134" w:type="dxa"/>
            <w:vAlign w:val="center"/>
          </w:tcPr>
          <w:p>
            <w:pPr>
              <w:pStyle w:val="12"/>
            </w:pPr>
            <w:r>
              <w:t>785.78</w:t>
            </w:r>
          </w:p>
        </w:tc>
        <w:tc>
          <w:tcPr>
            <w:tcW w:w="1134" w:type="dxa"/>
            <w:vAlign w:val="center"/>
          </w:tcPr>
          <w:p>
            <w:pPr>
              <w:pStyle w:val="12"/>
            </w:pPr>
            <w:r>
              <w:t>785.78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595.78</w:t>
            </w:r>
          </w:p>
        </w:tc>
        <w:tc>
          <w:tcPr>
            <w:tcW w:w="1134" w:type="dxa"/>
            <w:vAlign w:val="center"/>
          </w:tcPr>
          <w:p>
            <w:pPr>
              <w:pStyle w:val="12"/>
            </w:pPr>
            <w:r>
              <w:t>595.78</w:t>
            </w:r>
          </w:p>
        </w:tc>
        <w:tc>
          <w:tcPr>
            <w:tcW w:w="1134" w:type="dxa"/>
            <w:vAlign w:val="center"/>
          </w:tcPr>
          <w:p>
            <w:pPr>
              <w:pStyle w:val="12"/>
            </w:pPr>
            <w:r>
              <w:t>595.78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2010306</w:t>
            </w:r>
          </w:p>
        </w:tc>
        <w:tc>
          <w:tcPr>
            <w:tcW w:w="1559" w:type="dxa"/>
            <w:vAlign w:val="center"/>
          </w:tcPr>
          <w:p>
            <w:pPr>
              <w:pStyle w:val="13"/>
            </w:pPr>
            <w:r>
              <w:t>政务公开审批</w:t>
            </w:r>
          </w:p>
        </w:tc>
        <w:tc>
          <w:tcPr>
            <w:tcW w:w="1134" w:type="dxa"/>
            <w:vAlign w:val="center"/>
          </w:tcPr>
          <w:p>
            <w:pPr>
              <w:pStyle w:val="12"/>
            </w:pPr>
            <w:r>
              <w:t>190.00</w:t>
            </w:r>
          </w:p>
        </w:tc>
        <w:tc>
          <w:tcPr>
            <w:tcW w:w="1134" w:type="dxa"/>
            <w:vAlign w:val="center"/>
          </w:tcPr>
          <w:p>
            <w:pPr>
              <w:pStyle w:val="12"/>
            </w:pPr>
            <w:r>
              <w:t>190.00</w:t>
            </w:r>
          </w:p>
        </w:tc>
        <w:tc>
          <w:tcPr>
            <w:tcW w:w="1134" w:type="dxa"/>
            <w:vAlign w:val="center"/>
          </w:tcPr>
          <w:p>
            <w:pPr>
              <w:pStyle w:val="12"/>
            </w:pPr>
            <w:r>
              <w:t>190.00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42.08</w:t>
            </w:r>
          </w:p>
        </w:tc>
        <w:tc>
          <w:tcPr>
            <w:tcW w:w="1134" w:type="dxa"/>
            <w:vAlign w:val="center"/>
          </w:tcPr>
          <w:p>
            <w:pPr>
              <w:pStyle w:val="12"/>
            </w:pPr>
            <w:r>
              <w:t>42.08</w:t>
            </w:r>
          </w:p>
        </w:tc>
        <w:tc>
          <w:tcPr>
            <w:tcW w:w="1134" w:type="dxa"/>
            <w:vAlign w:val="center"/>
          </w:tcPr>
          <w:p>
            <w:pPr>
              <w:pStyle w:val="12"/>
            </w:pPr>
            <w:r>
              <w:t>42.08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42.08</w:t>
            </w:r>
          </w:p>
        </w:tc>
        <w:tc>
          <w:tcPr>
            <w:tcW w:w="1134" w:type="dxa"/>
            <w:vAlign w:val="center"/>
          </w:tcPr>
          <w:p>
            <w:pPr>
              <w:pStyle w:val="12"/>
            </w:pPr>
            <w:r>
              <w:t>42.08</w:t>
            </w:r>
          </w:p>
        </w:tc>
        <w:tc>
          <w:tcPr>
            <w:tcW w:w="1134" w:type="dxa"/>
            <w:vAlign w:val="center"/>
          </w:tcPr>
          <w:p>
            <w:pPr>
              <w:pStyle w:val="12"/>
            </w:pPr>
            <w:r>
              <w:t>42.08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42.08</w:t>
            </w:r>
          </w:p>
        </w:tc>
        <w:tc>
          <w:tcPr>
            <w:tcW w:w="1134" w:type="dxa"/>
            <w:vAlign w:val="center"/>
          </w:tcPr>
          <w:p>
            <w:pPr>
              <w:pStyle w:val="12"/>
            </w:pPr>
            <w:r>
              <w:t>42.08</w:t>
            </w:r>
          </w:p>
        </w:tc>
        <w:tc>
          <w:tcPr>
            <w:tcW w:w="1134" w:type="dxa"/>
            <w:vAlign w:val="center"/>
          </w:tcPr>
          <w:p>
            <w:pPr>
              <w:pStyle w:val="12"/>
            </w:pPr>
            <w:r>
              <w:t>42.08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31.58</w:t>
            </w:r>
          </w:p>
        </w:tc>
        <w:tc>
          <w:tcPr>
            <w:tcW w:w="1134" w:type="dxa"/>
            <w:vAlign w:val="center"/>
          </w:tcPr>
          <w:p>
            <w:pPr>
              <w:pStyle w:val="12"/>
            </w:pPr>
            <w:r>
              <w:t>31.58</w:t>
            </w:r>
          </w:p>
        </w:tc>
        <w:tc>
          <w:tcPr>
            <w:tcW w:w="1134" w:type="dxa"/>
            <w:vAlign w:val="center"/>
          </w:tcPr>
          <w:p>
            <w:pPr>
              <w:pStyle w:val="12"/>
            </w:pPr>
            <w:r>
              <w:t>31.58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31.58</w:t>
            </w:r>
          </w:p>
        </w:tc>
        <w:tc>
          <w:tcPr>
            <w:tcW w:w="1134" w:type="dxa"/>
            <w:vAlign w:val="center"/>
          </w:tcPr>
          <w:p>
            <w:pPr>
              <w:pStyle w:val="12"/>
            </w:pPr>
            <w:r>
              <w:t>31.58</w:t>
            </w:r>
          </w:p>
        </w:tc>
        <w:tc>
          <w:tcPr>
            <w:tcW w:w="1134" w:type="dxa"/>
            <w:vAlign w:val="center"/>
          </w:tcPr>
          <w:p>
            <w:pPr>
              <w:pStyle w:val="12"/>
            </w:pPr>
            <w:r>
              <w:t>31.58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31.58</w:t>
            </w:r>
          </w:p>
        </w:tc>
        <w:tc>
          <w:tcPr>
            <w:tcW w:w="1134" w:type="dxa"/>
            <w:vAlign w:val="center"/>
          </w:tcPr>
          <w:p>
            <w:pPr>
              <w:pStyle w:val="12"/>
            </w:pPr>
            <w:r>
              <w:t>31.58</w:t>
            </w:r>
          </w:p>
        </w:tc>
        <w:tc>
          <w:tcPr>
            <w:tcW w:w="1134" w:type="dxa"/>
            <w:vAlign w:val="center"/>
          </w:tcPr>
          <w:p>
            <w:pPr>
              <w:pStyle w:val="12"/>
            </w:pPr>
            <w:r>
              <w:t>31.58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223001成安县行政审批局本级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883.95</w:t>
            </w:r>
          </w:p>
        </w:tc>
        <w:tc>
          <w:tcPr>
            <w:tcW w:w="1361" w:type="dxa"/>
            <w:vAlign w:val="center"/>
          </w:tcPr>
          <w:p>
            <w:pPr>
              <w:pStyle w:val="16"/>
            </w:pPr>
            <w:r>
              <w:t>693.95</w:t>
            </w:r>
          </w:p>
        </w:tc>
        <w:tc>
          <w:tcPr>
            <w:tcW w:w="1361" w:type="dxa"/>
            <w:vAlign w:val="center"/>
          </w:tcPr>
          <w:p>
            <w:pPr>
              <w:pStyle w:val="16"/>
            </w:pPr>
            <w:r>
              <w:t>190.00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785.78</w:t>
            </w:r>
          </w:p>
        </w:tc>
        <w:tc>
          <w:tcPr>
            <w:tcW w:w="1361" w:type="dxa"/>
            <w:vAlign w:val="center"/>
          </w:tcPr>
          <w:p>
            <w:pPr>
              <w:pStyle w:val="12"/>
            </w:pPr>
            <w:r>
              <w:t>595.78</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785.78</w:t>
            </w:r>
          </w:p>
        </w:tc>
        <w:tc>
          <w:tcPr>
            <w:tcW w:w="1361" w:type="dxa"/>
            <w:vAlign w:val="center"/>
          </w:tcPr>
          <w:p>
            <w:pPr>
              <w:pStyle w:val="12"/>
            </w:pPr>
            <w:r>
              <w:t>595.78</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595.78</w:t>
            </w:r>
          </w:p>
        </w:tc>
        <w:tc>
          <w:tcPr>
            <w:tcW w:w="1361" w:type="dxa"/>
            <w:vAlign w:val="center"/>
          </w:tcPr>
          <w:p>
            <w:pPr>
              <w:pStyle w:val="12"/>
            </w:pPr>
            <w:r>
              <w:t>595.78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2010306</w:t>
            </w:r>
          </w:p>
        </w:tc>
        <w:tc>
          <w:tcPr>
            <w:tcW w:w="4535" w:type="dxa"/>
            <w:vAlign w:val="center"/>
          </w:tcPr>
          <w:p>
            <w:pPr>
              <w:pStyle w:val="13"/>
            </w:pPr>
            <w:r>
              <w:t>政务公开审批</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42.08</w:t>
            </w:r>
          </w:p>
        </w:tc>
        <w:tc>
          <w:tcPr>
            <w:tcW w:w="1361" w:type="dxa"/>
            <w:vAlign w:val="center"/>
          </w:tcPr>
          <w:p>
            <w:pPr>
              <w:pStyle w:val="12"/>
            </w:pPr>
            <w:r>
              <w:t>42.08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42.08</w:t>
            </w:r>
          </w:p>
        </w:tc>
        <w:tc>
          <w:tcPr>
            <w:tcW w:w="1361" w:type="dxa"/>
            <w:vAlign w:val="center"/>
          </w:tcPr>
          <w:p>
            <w:pPr>
              <w:pStyle w:val="12"/>
            </w:pPr>
            <w:r>
              <w:t>42.08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42.08</w:t>
            </w:r>
          </w:p>
        </w:tc>
        <w:tc>
          <w:tcPr>
            <w:tcW w:w="1361" w:type="dxa"/>
            <w:vAlign w:val="center"/>
          </w:tcPr>
          <w:p>
            <w:pPr>
              <w:pStyle w:val="12"/>
            </w:pPr>
            <w:r>
              <w:t>42.08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24.51</w:t>
            </w:r>
          </w:p>
        </w:tc>
        <w:tc>
          <w:tcPr>
            <w:tcW w:w="1361" w:type="dxa"/>
            <w:vAlign w:val="center"/>
          </w:tcPr>
          <w:p>
            <w:pPr>
              <w:pStyle w:val="12"/>
            </w:pPr>
            <w:r>
              <w:t>24.51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24.51</w:t>
            </w:r>
          </w:p>
        </w:tc>
        <w:tc>
          <w:tcPr>
            <w:tcW w:w="1361" w:type="dxa"/>
            <w:vAlign w:val="center"/>
          </w:tcPr>
          <w:p>
            <w:pPr>
              <w:pStyle w:val="12"/>
            </w:pPr>
            <w:r>
              <w:t>24.51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24.51</w:t>
            </w:r>
          </w:p>
        </w:tc>
        <w:tc>
          <w:tcPr>
            <w:tcW w:w="1361" w:type="dxa"/>
            <w:vAlign w:val="center"/>
          </w:tcPr>
          <w:p>
            <w:pPr>
              <w:pStyle w:val="12"/>
            </w:pPr>
            <w:r>
              <w:t>24.51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31.58</w:t>
            </w:r>
          </w:p>
        </w:tc>
        <w:tc>
          <w:tcPr>
            <w:tcW w:w="1361" w:type="dxa"/>
            <w:vAlign w:val="center"/>
          </w:tcPr>
          <w:p>
            <w:pPr>
              <w:pStyle w:val="12"/>
            </w:pPr>
            <w:r>
              <w:t>31.58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31.58</w:t>
            </w:r>
          </w:p>
        </w:tc>
        <w:tc>
          <w:tcPr>
            <w:tcW w:w="1361" w:type="dxa"/>
            <w:vAlign w:val="center"/>
          </w:tcPr>
          <w:p>
            <w:pPr>
              <w:pStyle w:val="12"/>
            </w:pPr>
            <w:r>
              <w:t>31.58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31.58</w:t>
            </w:r>
          </w:p>
        </w:tc>
        <w:tc>
          <w:tcPr>
            <w:tcW w:w="1361" w:type="dxa"/>
            <w:vAlign w:val="center"/>
          </w:tcPr>
          <w:p>
            <w:pPr>
              <w:pStyle w:val="12"/>
            </w:pPr>
            <w:r>
              <w:t>31.58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223001成安县行政审批局本级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883.95</w:t>
            </w:r>
          </w:p>
        </w:tc>
        <w:tc>
          <w:tcPr>
            <w:tcW w:w="3402" w:type="dxa"/>
            <w:vAlign w:val="center"/>
          </w:tcPr>
          <w:p>
            <w:pPr>
              <w:pStyle w:val="13"/>
            </w:pPr>
            <w:r>
              <w:t>一、一般公共服务支出</w:t>
            </w:r>
          </w:p>
        </w:tc>
        <w:tc>
          <w:tcPr>
            <w:tcW w:w="1474" w:type="dxa"/>
            <w:vAlign w:val="center"/>
          </w:tcPr>
          <w:p>
            <w:pPr>
              <w:pStyle w:val="12"/>
            </w:pPr>
            <w:r>
              <w:t>785.78</w:t>
            </w:r>
          </w:p>
        </w:tc>
        <w:tc>
          <w:tcPr>
            <w:tcW w:w="1474" w:type="dxa"/>
            <w:vAlign w:val="center"/>
          </w:tcPr>
          <w:p>
            <w:pPr>
              <w:pStyle w:val="12"/>
            </w:pPr>
            <w:r>
              <w:t>785.78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42.08</w:t>
            </w:r>
          </w:p>
        </w:tc>
        <w:tc>
          <w:tcPr>
            <w:tcW w:w="1474" w:type="dxa"/>
            <w:vAlign w:val="center"/>
          </w:tcPr>
          <w:p>
            <w:pPr>
              <w:pStyle w:val="12"/>
            </w:pPr>
            <w:r>
              <w:t>42.08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24.51</w:t>
            </w:r>
          </w:p>
        </w:tc>
        <w:tc>
          <w:tcPr>
            <w:tcW w:w="1474" w:type="dxa"/>
            <w:vAlign w:val="center"/>
          </w:tcPr>
          <w:p>
            <w:pPr>
              <w:pStyle w:val="12"/>
            </w:pPr>
            <w:r>
              <w:t>24.51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31.58</w:t>
            </w:r>
          </w:p>
        </w:tc>
        <w:tc>
          <w:tcPr>
            <w:tcW w:w="1474" w:type="dxa"/>
            <w:vAlign w:val="center"/>
          </w:tcPr>
          <w:p>
            <w:pPr>
              <w:pStyle w:val="12"/>
            </w:pPr>
            <w:r>
              <w:t>31.58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883.95</w:t>
            </w:r>
          </w:p>
        </w:tc>
        <w:tc>
          <w:tcPr>
            <w:tcW w:w="3402" w:type="dxa"/>
            <w:vAlign w:val="center"/>
          </w:tcPr>
          <w:p>
            <w:pPr>
              <w:pStyle w:val="15"/>
            </w:pPr>
            <w:r>
              <w:t>本年支出合计</w:t>
            </w:r>
          </w:p>
        </w:tc>
        <w:tc>
          <w:tcPr>
            <w:tcW w:w="1474" w:type="dxa"/>
            <w:vAlign w:val="center"/>
          </w:tcPr>
          <w:p>
            <w:pPr>
              <w:pStyle w:val="16"/>
            </w:pPr>
            <w:r>
              <w:t>883.95</w:t>
            </w:r>
          </w:p>
        </w:tc>
        <w:tc>
          <w:tcPr>
            <w:tcW w:w="1474" w:type="dxa"/>
            <w:vAlign w:val="center"/>
          </w:tcPr>
          <w:p>
            <w:pPr>
              <w:pStyle w:val="16"/>
            </w:pPr>
            <w:r>
              <w:t>883.95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883.95</w:t>
            </w:r>
          </w:p>
        </w:tc>
        <w:tc>
          <w:tcPr>
            <w:tcW w:w="3402" w:type="dxa"/>
            <w:vAlign w:val="center"/>
          </w:tcPr>
          <w:p>
            <w:pPr>
              <w:pStyle w:val="15"/>
            </w:pPr>
            <w:r>
              <w:t>支出总计</w:t>
            </w:r>
          </w:p>
        </w:tc>
        <w:tc>
          <w:tcPr>
            <w:tcW w:w="1474" w:type="dxa"/>
            <w:vAlign w:val="center"/>
          </w:tcPr>
          <w:p>
            <w:pPr>
              <w:pStyle w:val="16"/>
            </w:pPr>
            <w:r>
              <w:t>883.95</w:t>
            </w:r>
          </w:p>
        </w:tc>
        <w:tc>
          <w:tcPr>
            <w:tcW w:w="1474" w:type="dxa"/>
            <w:vAlign w:val="center"/>
          </w:tcPr>
          <w:p>
            <w:pPr>
              <w:pStyle w:val="16"/>
            </w:pPr>
            <w:r>
              <w:t>883.95</w:t>
            </w:r>
          </w:p>
        </w:tc>
        <w:tc>
          <w:tcPr>
            <w:tcW w:w="1474" w:type="dxa"/>
            <w:vAlign w:val="center"/>
          </w:tcPr>
          <w:p>
            <w:pPr>
              <w:pStyle w:val="16"/>
            </w:pPr>
          </w:p>
        </w:tc>
        <w:tc>
          <w:tcPr>
            <w:tcW w:w="1474" w:type="dxa"/>
            <w:vAlign w:val="center"/>
          </w:tcPr>
          <w:p>
            <w:pPr>
              <w:pStyle w:val="16"/>
            </w:pPr>
          </w:p>
        </w:tc>
      </w:tr>
    </w:tbl>
    <w:p>
      <w:pPr>
        <w:sectPr>
          <w:pgSz w:w="16840" w:h="11900" w:orient="landscape"/>
          <w:pgMar w:top="1134"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883.95</w:t>
            </w:r>
          </w:p>
        </w:tc>
        <w:tc>
          <w:tcPr>
            <w:tcW w:w="2551" w:type="dxa"/>
            <w:vAlign w:val="center"/>
          </w:tcPr>
          <w:p>
            <w:pPr>
              <w:pStyle w:val="16"/>
            </w:pPr>
            <w:r>
              <w:t>693.95</w:t>
            </w:r>
          </w:p>
        </w:tc>
        <w:tc>
          <w:tcPr>
            <w:tcW w:w="2551" w:type="dxa"/>
            <w:vAlign w:val="center"/>
          </w:tcPr>
          <w:p>
            <w:pPr>
              <w:pStyle w:val="16"/>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785.78</w:t>
            </w:r>
          </w:p>
        </w:tc>
        <w:tc>
          <w:tcPr>
            <w:tcW w:w="2551" w:type="dxa"/>
            <w:vAlign w:val="center"/>
          </w:tcPr>
          <w:p>
            <w:pPr>
              <w:pStyle w:val="12"/>
            </w:pPr>
            <w:r>
              <w:t>595.78</w:t>
            </w:r>
          </w:p>
        </w:tc>
        <w:tc>
          <w:tcPr>
            <w:tcW w:w="2551"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785.78</w:t>
            </w:r>
          </w:p>
        </w:tc>
        <w:tc>
          <w:tcPr>
            <w:tcW w:w="2551" w:type="dxa"/>
            <w:vAlign w:val="center"/>
          </w:tcPr>
          <w:p>
            <w:pPr>
              <w:pStyle w:val="12"/>
            </w:pPr>
            <w:r>
              <w:t>595.78</w:t>
            </w:r>
          </w:p>
        </w:tc>
        <w:tc>
          <w:tcPr>
            <w:tcW w:w="2551"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595.78</w:t>
            </w:r>
          </w:p>
        </w:tc>
        <w:tc>
          <w:tcPr>
            <w:tcW w:w="2551" w:type="dxa"/>
            <w:vAlign w:val="center"/>
          </w:tcPr>
          <w:p>
            <w:pPr>
              <w:pStyle w:val="12"/>
            </w:pPr>
            <w:r>
              <w:t>595.78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2010306</w:t>
            </w:r>
          </w:p>
        </w:tc>
        <w:tc>
          <w:tcPr>
            <w:tcW w:w="4535" w:type="dxa"/>
            <w:vAlign w:val="center"/>
          </w:tcPr>
          <w:p>
            <w:pPr>
              <w:pStyle w:val="13"/>
            </w:pPr>
            <w:r>
              <w:t>政务公开审批</w:t>
            </w:r>
          </w:p>
        </w:tc>
        <w:tc>
          <w:tcPr>
            <w:tcW w:w="2551" w:type="dxa"/>
            <w:vAlign w:val="center"/>
          </w:tcPr>
          <w:p>
            <w:pPr>
              <w:pStyle w:val="12"/>
            </w:pPr>
            <w:r>
              <w:t>190.00</w:t>
            </w:r>
          </w:p>
        </w:tc>
        <w:tc>
          <w:tcPr>
            <w:tcW w:w="2551" w:type="dxa"/>
            <w:vAlign w:val="center"/>
          </w:tcPr>
          <w:p>
            <w:pPr>
              <w:pStyle w:val="12"/>
            </w:pPr>
          </w:p>
        </w:tc>
        <w:tc>
          <w:tcPr>
            <w:tcW w:w="2551"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42.08</w:t>
            </w:r>
          </w:p>
        </w:tc>
        <w:tc>
          <w:tcPr>
            <w:tcW w:w="2551" w:type="dxa"/>
            <w:vAlign w:val="center"/>
          </w:tcPr>
          <w:p>
            <w:pPr>
              <w:pStyle w:val="12"/>
            </w:pPr>
            <w:r>
              <w:t>42.08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42.08</w:t>
            </w:r>
          </w:p>
        </w:tc>
        <w:tc>
          <w:tcPr>
            <w:tcW w:w="2551" w:type="dxa"/>
            <w:vAlign w:val="center"/>
          </w:tcPr>
          <w:p>
            <w:pPr>
              <w:pStyle w:val="12"/>
            </w:pPr>
            <w:r>
              <w:t>42.08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42.08</w:t>
            </w:r>
          </w:p>
        </w:tc>
        <w:tc>
          <w:tcPr>
            <w:tcW w:w="2551" w:type="dxa"/>
            <w:vAlign w:val="center"/>
          </w:tcPr>
          <w:p>
            <w:pPr>
              <w:pStyle w:val="12"/>
            </w:pPr>
            <w:r>
              <w:t>42.08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24.51</w:t>
            </w:r>
          </w:p>
        </w:tc>
        <w:tc>
          <w:tcPr>
            <w:tcW w:w="2551" w:type="dxa"/>
            <w:vAlign w:val="center"/>
          </w:tcPr>
          <w:p>
            <w:pPr>
              <w:pStyle w:val="12"/>
            </w:pPr>
            <w:r>
              <w:t>24.51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24.51</w:t>
            </w:r>
          </w:p>
        </w:tc>
        <w:tc>
          <w:tcPr>
            <w:tcW w:w="2551" w:type="dxa"/>
            <w:vAlign w:val="center"/>
          </w:tcPr>
          <w:p>
            <w:pPr>
              <w:pStyle w:val="12"/>
            </w:pPr>
            <w:r>
              <w:t>24.51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24.51</w:t>
            </w:r>
          </w:p>
        </w:tc>
        <w:tc>
          <w:tcPr>
            <w:tcW w:w="2551" w:type="dxa"/>
            <w:vAlign w:val="center"/>
          </w:tcPr>
          <w:p>
            <w:pPr>
              <w:pStyle w:val="12"/>
            </w:pPr>
            <w:r>
              <w:t>24.51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31.58</w:t>
            </w:r>
          </w:p>
        </w:tc>
        <w:tc>
          <w:tcPr>
            <w:tcW w:w="2551" w:type="dxa"/>
            <w:vAlign w:val="center"/>
          </w:tcPr>
          <w:p>
            <w:pPr>
              <w:pStyle w:val="12"/>
            </w:pPr>
            <w:r>
              <w:t>31.58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31.58</w:t>
            </w:r>
          </w:p>
        </w:tc>
        <w:tc>
          <w:tcPr>
            <w:tcW w:w="2551" w:type="dxa"/>
            <w:vAlign w:val="center"/>
          </w:tcPr>
          <w:p>
            <w:pPr>
              <w:pStyle w:val="12"/>
            </w:pPr>
            <w:r>
              <w:t>31.58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31.58</w:t>
            </w:r>
          </w:p>
        </w:tc>
        <w:tc>
          <w:tcPr>
            <w:tcW w:w="2551" w:type="dxa"/>
            <w:vAlign w:val="center"/>
          </w:tcPr>
          <w:p>
            <w:pPr>
              <w:pStyle w:val="12"/>
            </w:pPr>
            <w:r>
              <w:t>31.58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693.95</w:t>
            </w:r>
          </w:p>
        </w:tc>
        <w:tc>
          <w:tcPr>
            <w:tcW w:w="2551" w:type="dxa"/>
            <w:vAlign w:val="center"/>
          </w:tcPr>
          <w:p>
            <w:pPr>
              <w:pStyle w:val="16"/>
            </w:pPr>
            <w:r>
              <w:t>530.31</w:t>
            </w:r>
          </w:p>
        </w:tc>
        <w:tc>
          <w:tcPr>
            <w:tcW w:w="2551" w:type="dxa"/>
            <w:vAlign w:val="center"/>
          </w:tcPr>
          <w:p>
            <w:pPr>
              <w:pStyle w:val="16"/>
            </w:pPr>
            <w:r>
              <w:t>163.64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530.31</w:t>
            </w:r>
          </w:p>
        </w:tc>
        <w:tc>
          <w:tcPr>
            <w:tcW w:w="2551" w:type="dxa"/>
            <w:vAlign w:val="center"/>
          </w:tcPr>
          <w:p>
            <w:pPr>
              <w:pStyle w:val="12"/>
            </w:pPr>
            <w:r>
              <w:t>530.31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376.68</w:t>
            </w:r>
          </w:p>
        </w:tc>
        <w:tc>
          <w:tcPr>
            <w:tcW w:w="2551" w:type="dxa"/>
            <w:vAlign w:val="center"/>
          </w:tcPr>
          <w:p>
            <w:pPr>
              <w:pStyle w:val="12"/>
            </w:pPr>
            <w:r>
              <w:t>376.68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35.72</w:t>
            </w:r>
          </w:p>
        </w:tc>
        <w:tc>
          <w:tcPr>
            <w:tcW w:w="2551" w:type="dxa"/>
            <w:vAlign w:val="center"/>
          </w:tcPr>
          <w:p>
            <w:pPr>
              <w:pStyle w:val="12"/>
            </w:pPr>
            <w:r>
              <w:t>35.72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4.65</w:t>
            </w:r>
          </w:p>
        </w:tc>
        <w:tc>
          <w:tcPr>
            <w:tcW w:w="2551" w:type="dxa"/>
            <w:vAlign w:val="center"/>
          </w:tcPr>
          <w:p>
            <w:pPr>
              <w:pStyle w:val="12"/>
            </w:pPr>
            <w:r>
              <w:t>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15.08</w:t>
            </w:r>
          </w:p>
        </w:tc>
        <w:tc>
          <w:tcPr>
            <w:tcW w:w="2551" w:type="dxa"/>
            <w:vAlign w:val="center"/>
          </w:tcPr>
          <w:p>
            <w:pPr>
              <w:pStyle w:val="12"/>
            </w:pPr>
            <w:r>
              <w:t>15.08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42.08</w:t>
            </w:r>
          </w:p>
        </w:tc>
        <w:tc>
          <w:tcPr>
            <w:tcW w:w="2551" w:type="dxa"/>
            <w:vAlign w:val="center"/>
          </w:tcPr>
          <w:p>
            <w:pPr>
              <w:pStyle w:val="12"/>
            </w:pPr>
            <w:r>
              <w:t>42.08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22.91</w:t>
            </w:r>
          </w:p>
        </w:tc>
        <w:tc>
          <w:tcPr>
            <w:tcW w:w="2551" w:type="dxa"/>
            <w:vAlign w:val="center"/>
          </w:tcPr>
          <w:p>
            <w:pPr>
              <w:pStyle w:val="12"/>
            </w:pPr>
            <w:r>
              <w:t>22.91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1.61</w:t>
            </w:r>
          </w:p>
        </w:tc>
        <w:tc>
          <w:tcPr>
            <w:tcW w:w="2551" w:type="dxa"/>
            <w:vAlign w:val="center"/>
          </w:tcPr>
          <w:p>
            <w:pPr>
              <w:pStyle w:val="12"/>
            </w:pPr>
            <w:r>
              <w:t>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31.58</w:t>
            </w:r>
          </w:p>
        </w:tc>
        <w:tc>
          <w:tcPr>
            <w:tcW w:w="2551" w:type="dxa"/>
            <w:vAlign w:val="center"/>
          </w:tcPr>
          <w:p>
            <w:pPr>
              <w:pStyle w:val="12"/>
            </w:pPr>
            <w:r>
              <w:t>31.58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163.64</w:t>
            </w:r>
          </w:p>
        </w:tc>
        <w:tc>
          <w:tcPr>
            <w:tcW w:w="2551" w:type="dxa"/>
            <w:vAlign w:val="center"/>
          </w:tcPr>
          <w:p>
            <w:pPr>
              <w:pStyle w:val="12"/>
            </w:pPr>
          </w:p>
        </w:tc>
        <w:tc>
          <w:tcPr>
            <w:tcW w:w="2551" w:type="dxa"/>
            <w:vAlign w:val="center"/>
          </w:tcPr>
          <w:p>
            <w:pPr>
              <w:pStyle w:val="12"/>
            </w:pPr>
            <w:r>
              <w:t>163.64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135.60</w:t>
            </w:r>
          </w:p>
        </w:tc>
        <w:tc>
          <w:tcPr>
            <w:tcW w:w="2551" w:type="dxa"/>
            <w:vAlign w:val="center"/>
          </w:tcPr>
          <w:p>
            <w:pPr>
              <w:pStyle w:val="12"/>
            </w:pPr>
          </w:p>
        </w:tc>
        <w:tc>
          <w:tcPr>
            <w:tcW w:w="2551" w:type="dxa"/>
            <w:vAlign w:val="center"/>
          </w:tcPr>
          <w:p>
            <w:pPr>
              <w:pStyle w:val="12"/>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8.04</w:t>
            </w:r>
          </w:p>
        </w:tc>
        <w:tc>
          <w:tcPr>
            <w:tcW w:w="2551" w:type="dxa"/>
            <w:vAlign w:val="center"/>
          </w:tcPr>
          <w:p>
            <w:pPr>
              <w:pStyle w:val="12"/>
            </w:pPr>
          </w:p>
        </w:tc>
        <w:tc>
          <w:tcPr>
            <w:tcW w:w="2551" w:type="dxa"/>
            <w:vAlign w:val="center"/>
          </w:tcPr>
          <w:p>
            <w:pPr>
              <w:pStyle w:val="12"/>
            </w:pPr>
            <w:r>
              <w:t>8.04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223001成安县行政审批局本级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成安县行政审批局本级2024年单位预算信息公开情况说明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按照《中华人民共和国预算法》、《地方预决算公开操作规程》和《关于进一步推进预算公开工作的实施意见》规定，现将成安县行政审批局本级2024年单位预算公开如下：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spacing w:line="500" w:lineRule="exact"/>
        <w:ind w:firstLine="560"/>
        <w:rPr>
          <w:rFonts w:eastAsia="方正仿宋_GBK"/>
          <w:color w:val="000000"/>
          <w:sz w:val="28"/>
        </w:rPr>
      </w:pPr>
      <w:r>
        <w:rPr>
          <w:rFonts w:hint="eastAsia" w:eastAsia="方正仿宋_GBK"/>
          <w:color w:val="000000"/>
          <w:sz w:val="28"/>
        </w:rPr>
        <w:t>（二）负责规范全县行政审批和政务服务行为，建立和完善相应工作机制；负责对行政许可、政务服务事项进行流程再造、环节优化、压缩时限，并对办理情况进行跟踪督办；协调解决进驻县政务服务中心事项办理中存在的相关问题。</w:t>
      </w:r>
    </w:p>
    <w:p>
      <w:pPr>
        <w:spacing w:line="500" w:lineRule="exact"/>
        <w:ind w:firstLine="560"/>
        <w:rPr>
          <w:rFonts w:eastAsia="方正仿宋_GBK"/>
          <w:color w:val="000000"/>
          <w:sz w:val="28"/>
        </w:rPr>
      </w:pPr>
      <w:r>
        <w:rPr>
          <w:rFonts w:hint="eastAsia" w:eastAsia="方正仿宋_GBK"/>
          <w:color w:val="000000"/>
          <w:sz w:val="28"/>
        </w:rPr>
        <w:t>（三）负责县本级涉及投资项目、市场服务、公共事务、社会事务、环保城管、规划建设、交通运输、商贸流通、文教卫生、农林水利等领域审批事项的审批工作，并对审批行为承担相应的法律责任。</w:t>
      </w:r>
    </w:p>
    <w:p>
      <w:pPr>
        <w:spacing w:line="500" w:lineRule="exact"/>
        <w:ind w:firstLine="560"/>
        <w:rPr>
          <w:rFonts w:eastAsia="方正仿宋_GBK"/>
          <w:color w:val="000000"/>
          <w:sz w:val="28"/>
        </w:rPr>
      </w:pPr>
      <w:r>
        <w:rPr>
          <w:rFonts w:hint="eastAsia" w:eastAsia="方正仿宋_GBK"/>
          <w:color w:val="000000"/>
          <w:sz w:val="28"/>
        </w:rPr>
        <w:t>（四）负责进驻县行政审批局各部门行政审批工作的规范、管理和监督；负责审批业务涉及中介服务机构的对接、沟通、协调工作；负责“中介超市”管理工作。</w:t>
      </w:r>
    </w:p>
    <w:p>
      <w:pPr>
        <w:spacing w:line="500" w:lineRule="exact"/>
        <w:ind w:firstLine="560"/>
        <w:rPr>
          <w:rFonts w:eastAsia="方正仿宋_GBK"/>
          <w:color w:val="000000"/>
          <w:sz w:val="28"/>
        </w:rPr>
      </w:pPr>
      <w:r>
        <w:rPr>
          <w:rFonts w:hint="eastAsia" w:eastAsia="方正仿宋_GBK"/>
          <w:color w:val="000000"/>
          <w:sz w:val="28"/>
        </w:rPr>
        <w:t>（五）组织协调全县“放管服”改革工作。指导、督促贯彻落实国家、省、市关于“放管服”改革重要领域、关键环节重大政策措施，承担县推进政府职能转变和“放管服”改革协调小组的日常工作。</w:t>
      </w:r>
    </w:p>
    <w:p>
      <w:pPr>
        <w:spacing w:line="500" w:lineRule="exact"/>
        <w:ind w:firstLine="560"/>
        <w:rPr>
          <w:rFonts w:eastAsia="方正仿宋_GBK"/>
          <w:color w:val="000000"/>
          <w:sz w:val="28"/>
        </w:rPr>
      </w:pPr>
      <w:r>
        <w:rPr>
          <w:rFonts w:hint="eastAsia" w:eastAsia="方正仿宋_GBK"/>
          <w:color w:val="000000"/>
          <w:sz w:val="28"/>
        </w:rPr>
        <w:t>（六）指导协调全县行政审批制度改革工作。建立健全县行政审批管理体系；负责协调和指导各乡镇和工业区的行政审批、政务服务管理平台建设工作；推进简政放权，清理和规范各类行政许可等管理事项；协调推进行政审批标准化工作；承担县行政审批制度改革工作领导小组的日常工作。</w:t>
      </w:r>
    </w:p>
    <w:p>
      <w:pPr>
        <w:spacing w:line="500" w:lineRule="exact"/>
        <w:ind w:firstLine="560"/>
        <w:rPr>
          <w:rFonts w:eastAsia="方正仿宋_GBK"/>
          <w:color w:val="000000"/>
          <w:sz w:val="28"/>
        </w:rPr>
      </w:pPr>
      <w:r>
        <w:rPr>
          <w:rFonts w:hint="eastAsia" w:eastAsia="方正仿宋_GBK"/>
          <w:color w:val="000000"/>
          <w:sz w:val="28"/>
        </w:rP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spacing w:line="500" w:lineRule="exact"/>
        <w:ind w:firstLine="560"/>
        <w:rPr>
          <w:rFonts w:eastAsia="方正仿宋_GBK"/>
          <w:color w:val="000000"/>
          <w:sz w:val="28"/>
        </w:rPr>
      </w:pPr>
      <w:r>
        <w:rPr>
          <w:rFonts w:hint="eastAsia" w:eastAsia="方正仿宋_GBK"/>
          <w:color w:val="000000"/>
          <w:sz w:val="28"/>
        </w:rPr>
        <w:t>（八）承担成安县公共资源交易管理委员会日常工作。负责全县统一的公共资源交易平台建设、协调、监督和管理；会同有行政监督部门拟订公共资源交易市场规则和制度，编制公共资源交易项目目录，规范各类公共资源交易活动。</w:t>
      </w:r>
    </w:p>
    <w:p>
      <w:pPr>
        <w:spacing w:line="500" w:lineRule="exact"/>
        <w:ind w:firstLine="560"/>
        <w:rPr>
          <w:rFonts w:eastAsia="方正仿宋_GBK"/>
          <w:color w:val="000000"/>
          <w:sz w:val="28"/>
        </w:rPr>
      </w:pPr>
      <w:r>
        <w:rPr>
          <w:rFonts w:hint="eastAsia" w:eastAsia="方正仿宋_GBK"/>
          <w:color w:val="000000"/>
          <w:sz w:val="28"/>
        </w:rPr>
        <w:t>（九）引导和推动全县社会信用体系建设。组织制定发展规划和年度工作要点；推进健全信用法规制度和标准体系；负责本县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spacing w:line="500" w:lineRule="exact"/>
        <w:ind w:firstLine="560"/>
        <w:rPr>
          <w:rFonts w:eastAsia="方正仿宋_GBK"/>
          <w:color w:val="000000"/>
          <w:sz w:val="28"/>
        </w:rPr>
      </w:pPr>
      <w:r>
        <w:rPr>
          <w:rFonts w:hint="eastAsia" w:eastAsia="方正仿宋_GBK"/>
          <w:color w:val="000000"/>
          <w:sz w:val="28"/>
        </w:rPr>
        <w:t>（十）统筹推进全县“互联网+政务服务”工作，构建全县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spacing w:line="500" w:lineRule="exact"/>
        <w:ind w:firstLine="560"/>
        <w:rPr>
          <w:rFonts w:eastAsia="方正仿宋_GBK"/>
          <w:color w:val="000000"/>
          <w:sz w:val="28"/>
        </w:rPr>
      </w:pPr>
      <w:r>
        <w:rPr>
          <w:rFonts w:hint="eastAsia" w:eastAsia="方正仿宋_GBK"/>
          <w:color w:val="000000"/>
          <w:sz w:val="28"/>
        </w:rPr>
        <w:t>（十一）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spacing w:line="500" w:lineRule="exact"/>
        <w:ind w:firstLine="560"/>
        <w:rPr>
          <w:rFonts w:eastAsia="方正仿宋_GBK"/>
          <w:color w:val="000000"/>
          <w:sz w:val="28"/>
        </w:rPr>
      </w:pPr>
      <w:r>
        <w:rPr>
          <w:rFonts w:hint="eastAsia" w:eastAsia="方正仿宋_GBK"/>
          <w:color w:val="000000"/>
          <w:sz w:val="28"/>
        </w:rPr>
        <w:t>（十二）负责工作人员的教育、培训、管理和绩效考核。</w:t>
      </w:r>
    </w:p>
    <w:p>
      <w:pPr>
        <w:spacing w:line="500" w:lineRule="exact"/>
        <w:ind w:firstLine="560"/>
        <w:rPr>
          <w:rFonts w:eastAsia="方正仿宋_GBK"/>
          <w:color w:val="000000"/>
          <w:sz w:val="28"/>
        </w:rPr>
      </w:pPr>
      <w:r>
        <w:rPr>
          <w:rFonts w:hint="eastAsia" w:eastAsia="方正仿宋_GBK"/>
          <w:color w:val="000000"/>
          <w:sz w:val="28"/>
        </w:rPr>
        <w:t>（十三）完成县委、县政府交办的其他任务。</w:t>
      </w:r>
    </w:p>
    <w:p>
      <w:pPr>
        <w:spacing w:line="500" w:lineRule="exact"/>
        <w:ind w:firstLine="560"/>
        <w:rPr>
          <w:rFonts w:eastAsia="方正仿宋_GBK"/>
          <w:color w:val="000000"/>
          <w:sz w:val="30"/>
          <w:szCs w:val="30"/>
        </w:rPr>
      </w:pPr>
      <w:r>
        <w:rPr>
          <w:rFonts w:hint="eastAsia" w:eastAsia="方正仿宋_GBK"/>
          <w:color w:val="000000"/>
          <w:sz w:val="30"/>
          <w:szCs w:val="30"/>
        </w:rPr>
        <w:t>人员编制和领导职数</w:t>
      </w:r>
    </w:p>
    <w:p>
      <w:pPr>
        <w:spacing w:line="500" w:lineRule="exact"/>
        <w:ind w:firstLine="560"/>
        <w:rPr>
          <w:rFonts w:eastAsiaTheme="minorEastAsia"/>
          <w:color w:val="000000"/>
          <w:sz w:val="28"/>
          <w:lang w:eastAsia="zh-CN"/>
        </w:rPr>
      </w:pPr>
      <w:r>
        <w:rPr>
          <w:rFonts w:hint="eastAsia" w:eastAsia="方正仿宋_GBK"/>
          <w:color w:val="000000"/>
          <w:sz w:val="28"/>
        </w:rPr>
        <w:t>县行政审批局机关行政编制14名。股级领导职数5名。</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成安县行政审批局本级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line="500" w:lineRule="exact"/>
        <w:ind w:firstLine="560"/>
        <w:rPr>
          <w:rFonts w:eastAsia="方正仿宋_GBK"/>
          <w:color w:val="000000"/>
          <w:sz w:val="28"/>
        </w:rPr>
      </w:pPr>
      <w:r>
        <w:rPr>
          <w:rFonts w:hint="eastAsia" w:eastAsia="方正仿宋_GBK"/>
          <w:color w:val="000000"/>
          <w:sz w:val="28"/>
        </w:rPr>
        <w:t>成安县行政审批局，预算编码是223。内设5个内部机构。</w:t>
      </w:r>
    </w:p>
    <w:p>
      <w:pPr>
        <w:spacing w:line="500" w:lineRule="exact"/>
        <w:ind w:firstLine="560"/>
        <w:rPr>
          <w:rFonts w:eastAsia="方正仿宋_GBK"/>
          <w:color w:val="000000"/>
          <w:sz w:val="28"/>
        </w:rPr>
      </w:pPr>
      <w:r>
        <w:rPr>
          <w:rFonts w:hint="eastAsia" w:eastAsia="方正仿宋_GBK"/>
          <w:color w:val="000000"/>
          <w:sz w:val="28"/>
        </w:rPr>
        <w:t>（一）办公室。负责组织、协调、推进机关日常工作。负责文电、机要、保密、档案和政务公开工作；负责机关和所属单位财务、国有资产管理、安全保卫和内部审计工作；负责重要文件、综合性报告、领导讲话稿的起草，重大课题的政策研究和综合调研工作；负责重要会议、接待和活动的组织安排；负责局办公会议及内部管理制度的督办落实；负责人大代表建议及政协提案承办工作；负责</w:t>
      </w:r>
      <w:r>
        <w:rPr>
          <w:rFonts w:ascii="微锟斤拷锟脚猴拷" w:hAnsi="微锟斤拷锟脚猴拷" w:eastAsia="微锟斤拷锟脚猴拷" w:cs="微锟斤拷锟脚猴拷"/>
          <w:i w:val="0"/>
          <w:caps w:val="0"/>
          <w:color w:val="0000FF"/>
          <w:spacing w:val="0"/>
          <w:kern w:val="0"/>
          <w:sz w:val="24"/>
          <w:szCs w:val="24"/>
          <w:shd w:val="clear" w:fill="FFFFFF"/>
          <w:lang w:val="en-US" w:eastAsia="zh-CN" w:bidi="ar"/>
        </w:rPr>
        <w:t>拟订</w:t>
      </w:r>
      <w:bookmarkStart w:id="1" w:name="_GoBack"/>
      <w:bookmarkEnd w:id="1"/>
      <w:r>
        <w:rPr>
          <w:rFonts w:hint="eastAsia" w:eastAsia="方正仿宋_GBK"/>
          <w:color w:val="000000"/>
          <w:sz w:val="28"/>
        </w:rPr>
        <w:t>机关内部管理规章制度。</w:t>
      </w:r>
    </w:p>
    <w:p>
      <w:pPr>
        <w:spacing w:line="500" w:lineRule="exact"/>
        <w:ind w:firstLine="560"/>
        <w:rPr>
          <w:rFonts w:eastAsia="方正仿宋_GBK"/>
          <w:color w:val="000000"/>
          <w:sz w:val="28"/>
        </w:rPr>
      </w:pPr>
      <w:r>
        <w:rPr>
          <w:rFonts w:hint="eastAsia" w:eastAsia="方正仿宋_GBK"/>
          <w:color w:val="000000"/>
          <w:sz w:val="28"/>
        </w:rPr>
        <w:t>负责机关人事管理和干部教育培训工作；负责机关及直属单位党建工作，领导和指导各党支部工作，指导和支持工会、团委、妇委会工作；负责党员的教育、管理、服务和发展工作；负责党内民主与监督，落实党风廉政建设日常工作；负责思想政治工作和党务工作人员的队伍建设；负责机关宣传信息工作。</w:t>
      </w:r>
    </w:p>
    <w:p>
      <w:pPr>
        <w:spacing w:line="500" w:lineRule="exact"/>
        <w:ind w:firstLine="560"/>
        <w:rPr>
          <w:rFonts w:eastAsia="方正仿宋_GBK"/>
          <w:color w:val="000000"/>
          <w:sz w:val="28"/>
        </w:rPr>
      </w:pPr>
      <w:r>
        <w:rPr>
          <w:rFonts w:hint="eastAsia" w:eastAsia="方正仿宋_GBK"/>
          <w:color w:val="000000"/>
          <w:sz w:val="28"/>
        </w:rPr>
        <w:t>（二）综合股。负责政府投资和企业投资建设项目的立项、用地审批、环境评价、乡村规划许可、人防工程、施工许可、竣工验收等阶段的审批、备案、验收等事项；负责企业名称预先核准；企业设立、变更、注销登记；企业集团核准登记；内资企业股权出质设立、变更、注销登记；企业有关事项备案；企业申请增补、换发营业执照等；负责市场主体培育工作。</w:t>
      </w:r>
    </w:p>
    <w:p>
      <w:pPr>
        <w:spacing w:line="500" w:lineRule="exact"/>
        <w:ind w:firstLine="560"/>
        <w:rPr>
          <w:rFonts w:eastAsia="方正仿宋_GBK"/>
          <w:color w:val="000000"/>
          <w:sz w:val="28"/>
        </w:rPr>
      </w:pPr>
      <w:r>
        <w:rPr>
          <w:rFonts w:hint="eastAsia" w:eastAsia="方正仿宋_GBK"/>
          <w:color w:val="000000"/>
          <w:sz w:val="28"/>
        </w:rPr>
        <w:t>负责企事业单位、其他组织和个人从事生产、经营活动涉及的食品药品、安全生产等事项的许可、备案及相关资质、资格许可的办理；负责涉及文化广电、新闻出版、卫生计生、农林牧渔等领域审批及相关事项办理；负责涉及环境保护、城市管理、交通运输等领域的审批及相关事项办理；负责人力资源社会保障、教育、体育、民政等领域的审批及相关事项办理。</w:t>
      </w:r>
    </w:p>
    <w:p>
      <w:pPr>
        <w:spacing w:line="500" w:lineRule="exact"/>
        <w:ind w:firstLine="560"/>
        <w:rPr>
          <w:rFonts w:eastAsia="方正仿宋_GBK"/>
          <w:color w:val="000000"/>
          <w:sz w:val="28"/>
        </w:rPr>
      </w:pPr>
      <w:r>
        <w:rPr>
          <w:rFonts w:hint="eastAsia" w:eastAsia="方正仿宋_GBK"/>
          <w:color w:val="000000"/>
          <w:sz w:val="28"/>
        </w:rPr>
        <w:t>负责组织对进入审批程序的项目进行实地勘验或组织、协调专家进行评审勘验；负责评审专家库建设；负责汇总整理勘验或专家评审意见并转交至相关审批业务处室；负责全局审批业务涉及中介服务机构的对接、沟通、协调工作；负责“中介超市”管理工作；负责与业务关联部门的衔接、沟通、协调等工作</w:t>
      </w:r>
    </w:p>
    <w:p>
      <w:pPr>
        <w:spacing w:line="500" w:lineRule="exact"/>
        <w:ind w:firstLine="560"/>
        <w:rPr>
          <w:rFonts w:eastAsia="方正仿宋_GBK"/>
          <w:color w:val="000000"/>
          <w:sz w:val="28"/>
        </w:rPr>
      </w:pPr>
      <w:r>
        <w:rPr>
          <w:rFonts w:hint="eastAsia" w:eastAsia="方正仿宋_GBK"/>
          <w:color w:val="000000"/>
          <w:sz w:val="28"/>
        </w:rPr>
        <w:t>（三）公共资源交易监管股。承担成安县公共资源交易管理委员会日常工作。负责指导、协调全县公共资源交易平台建设与交易管理工作，提出加强和规范公共资源交易平台管理的意见建议；会同有关部门制定公共资源交易的监管配套制度、交易规则；负责县公共资源交易平台的监督与协调工作；负责对交易目录内的项目进场情况进行监督检查；负责汇总公共资源交易情况，及时向公共资源交易平台通报、发布相关信息；对进场交易情况进行考评；负责组织对有关入驻单位、工作人员的社会评议；受理对公共资源交易活动的投诉并会同有关部门调查处理。</w:t>
      </w:r>
    </w:p>
    <w:p>
      <w:pPr>
        <w:spacing w:line="500" w:lineRule="exact"/>
        <w:ind w:firstLine="560"/>
        <w:rPr>
          <w:rFonts w:eastAsia="方正仿宋_GBK"/>
          <w:color w:val="000000"/>
          <w:sz w:val="28"/>
        </w:rPr>
      </w:pPr>
      <w:r>
        <w:rPr>
          <w:rFonts w:hint="eastAsia" w:eastAsia="方正仿宋_GBK"/>
          <w:color w:val="000000"/>
          <w:sz w:val="28"/>
        </w:rPr>
        <w:t>（四）法规督查股。负责制定涉及行政审批的各项规章制度和管理办法并组织实施；负责规范行政审批行为，建立和完善相应工作机制；负责机关依法行政工作和行政审批涉及的法律、法规咨询解释、宣传教育和培训工作；负责处理涉及行政审批的行政复议、行政应诉等法律纠纷；负责对审批服务事项的设定依据、受理要件、办理流程进行合法性审查；负责内部监督和审批案卷规范性审查；负责进驻窗口单位及人员的日常管理、考评、考核等工作；负责对行政审批、公共资源交易及政务服务事项办理情况、办理效能以及工作人员的服务态度、服务质量、工作纪律等进行监督；负责受理服务对象行政投诉，接待群众来信来访。负责对行政审批、公共资源交易及政务服务事项的投诉举报的承办、转办和督办工作，配合有关部门查处违法、违规、违纪问题。</w:t>
      </w:r>
    </w:p>
    <w:p>
      <w:pPr>
        <w:spacing w:line="500" w:lineRule="exact"/>
        <w:ind w:firstLine="560"/>
        <w:rPr>
          <w:rFonts w:eastAsiaTheme="minorEastAsia"/>
          <w:color w:val="000000"/>
          <w:sz w:val="28"/>
          <w:lang w:eastAsia="zh-CN"/>
        </w:rPr>
      </w:pPr>
      <w:r>
        <w:rPr>
          <w:rFonts w:hint="eastAsia" w:eastAsia="方正仿宋_GBK"/>
          <w:color w:val="000000"/>
          <w:sz w:val="28"/>
        </w:rPr>
        <w:t>（五）统一受理股。负责咨询引导工作；负责非即办类审批事项的统一受理；负责统一制证及证照统一送达工作；负责受理办事申请，一次告知申请材料；负责审验申报材料完整度，核对申请人信息并录入审批系统；负责将接收的资料转交相关审批业务股室；负责各入驻窗口审批事项的统一登记工作。</w:t>
      </w: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按照预算管理有关规定，目前我省部门预算的编制实行综合预算管理，即全部收入和支出都反映在预算中。成安县行政审批局机关及所属事业单位的收支包含在部门预算中。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年预算收入</w:t>
      </w:r>
      <w:r>
        <w:rPr>
          <w:rFonts w:hint="eastAsia" w:eastAsiaTheme="minorEastAsia"/>
          <w:color w:val="000000"/>
          <w:sz w:val="28"/>
          <w:lang w:eastAsia="zh-CN"/>
        </w:rPr>
        <w:t>883.95</w:t>
      </w:r>
      <w:r>
        <w:rPr>
          <w:rFonts w:hint="eastAsia" w:eastAsia="方正仿宋_GBK"/>
          <w:color w:val="000000"/>
          <w:sz w:val="28"/>
        </w:rPr>
        <w:t>万元，其中：一般公共预算收入</w:t>
      </w:r>
      <w:r>
        <w:rPr>
          <w:rFonts w:hint="eastAsia" w:eastAsiaTheme="minorEastAsia"/>
          <w:color w:val="000000"/>
          <w:sz w:val="28"/>
          <w:lang w:eastAsia="zh-CN"/>
        </w:rPr>
        <w:t>883.95</w:t>
      </w:r>
      <w:r>
        <w:rPr>
          <w:rFonts w:hint="eastAsia" w:eastAsia="方正仿宋_GBK"/>
          <w:color w:val="000000"/>
          <w:sz w:val="28"/>
        </w:rPr>
        <w:t>万元，国有资本经营收入0万元，事业收入0万元，其他收入0万元。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年支出预算</w:t>
      </w:r>
      <w:r>
        <w:rPr>
          <w:rFonts w:hint="eastAsia" w:eastAsiaTheme="minorEastAsia"/>
          <w:color w:val="000000"/>
          <w:sz w:val="28"/>
          <w:lang w:eastAsia="zh-CN"/>
        </w:rPr>
        <w:t>883.95</w:t>
      </w:r>
      <w:r>
        <w:rPr>
          <w:rFonts w:hint="eastAsia" w:eastAsia="方正仿宋_GBK"/>
          <w:color w:val="000000"/>
          <w:sz w:val="28"/>
        </w:rPr>
        <w:t>万元，其中基本支出</w:t>
      </w:r>
      <w:r>
        <w:rPr>
          <w:rFonts w:hint="eastAsia" w:eastAsiaTheme="minorEastAsia"/>
          <w:color w:val="000000"/>
          <w:sz w:val="28"/>
          <w:lang w:eastAsia="zh-CN"/>
        </w:rPr>
        <w:t>693.95</w:t>
      </w:r>
      <w:r>
        <w:rPr>
          <w:rFonts w:hint="eastAsia" w:eastAsia="方正仿宋_GBK"/>
          <w:color w:val="000000"/>
          <w:sz w:val="28"/>
        </w:rPr>
        <w:t>万元，</w:t>
      </w:r>
      <w:r>
        <w:rPr>
          <w:rFonts w:hint="eastAsia" w:eastAsiaTheme="minorEastAsia"/>
          <w:color w:val="000000"/>
          <w:sz w:val="28"/>
          <w:lang w:eastAsia="zh-CN"/>
        </w:rPr>
        <w:t>一般公共服务支出595.78</w:t>
      </w:r>
      <w:r>
        <w:rPr>
          <w:rFonts w:hint="eastAsia" w:eastAsia="方正仿宋_GBK"/>
          <w:color w:val="000000"/>
          <w:sz w:val="28"/>
        </w:rPr>
        <w:t>万元，</w:t>
      </w:r>
      <w:r>
        <w:rPr>
          <w:rFonts w:hint="eastAsia" w:eastAsiaTheme="minorEastAsia"/>
          <w:color w:val="000000"/>
          <w:sz w:val="28"/>
          <w:lang w:eastAsia="zh-CN"/>
        </w:rPr>
        <w:t>社会保障和就业支出42.08</w:t>
      </w:r>
      <w:r>
        <w:rPr>
          <w:rFonts w:hint="eastAsia" w:eastAsia="方正仿宋_GBK"/>
          <w:color w:val="000000"/>
          <w:sz w:val="28"/>
        </w:rPr>
        <w:t>万元</w:t>
      </w:r>
      <w:r>
        <w:rPr>
          <w:rFonts w:hint="eastAsia" w:eastAsiaTheme="minorEastAsia"/>
          <w:color w:val="000000"/>
          <w:sz w:val="28"/>
          <w:lang w:eastAsia="zh-CN"/>
        </w:rPr>
        <w:t>，卫生健康支出24.51万元，住房保障支出31.58万元</w:t>
      </w:r>
      <w:r>
        <w:rPr>
          <w:rFonts w:hint="eastAsia" w:eastAsia="方正仿宋_GBK"/>
          <w:color w:val="000000"/>
          <w:sz w:val="28"/>
        </w:rPr>
        <w:t>；项目支出</w:t>
      </w:r>
      <w:r>
        <w:rPr>
          <w:rFonts w:hint="eastAsia" w:eastAsiaTheme="minorEastAsia"/>
          <w:color w:val="000000"/>
          <w:sz w:val="28"/>
          <w:lang w:eastAsia="zh-CN"/>
        </w:rPr>
        <w:t>190</w:t>
      </w:r>
      <w:r>
        <w:rPr>
          <w:rFonts w:hint="eastAsia" w:eastAsia="方正仿宋_GBK"/>
          <w:color w:val="000000"/>
          <w:sz w:val="28"/>
        </w:rPr>
        <w:t>万元，主要为</w:t>
      </w:r>
      <w:r>
        <w:rPr>
          <w:rFonts w:hint="eastAsia" w:eastAsiaTheme="minorEastAsia"/>
          <w:color w:val="000000"/>
          <w:sz w:val="28"/>
          <w:lang w:eastAsia="zh-CN"/>
        </w:rPr>
        <w:t>村（社区）服务站建设支出</w:t>
      </w:r>
      <w:r>
        <w:rPr>
          <w:rFonts w:hint="eastAsia" w:eastAsia="方正仿宋_GBK"/>
          <w:color w:val="000000"/>
          <w:sz w:val="28"/>
        </w:rPr>
        <w:t>。</w:t>
      </w:r>
    </w:p>
    <w:p>
      <w:pPr>
        <w:spacing w:line="500" w:lineRule="exact"/>
        <w:ind w:firstLine="560"/>
        <w:rPr>
          <w:rFonts w:eastAsia="方正仿宋_GBK"/>
          <w:color w:val="000000"/>
          <w:sz w:val="28"/>
        </w:rPr>
      </w:pPr>
      <w:r>
        <w:rPr>
          <w:rFonts w:hint="eastAsia" w:eastAsia="方正仿宋_GBK"/>
          <w:color w:val="000000"/>
          <w:sz w:val="28"/>
        </w:rPr>
        <w:t>3、比上年增减变化情况</w:t>
      </w:r>
    </w:p>
    <w:p>
      <w:pPr>
        <w:spacing w:line="500" w:lineRule="exact"/>
        <w:ind w:firstLine="560"/>
        <w:rPr>
          <w:rFonts w:eastAsiaTheme="minorEastAsia"/>
          <w:color w:val="000000"/>
          <w:sz w:val="28"/>
          <w:lang w:eastAsia="zh-CN"/>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年预算收支安排</w:t>
      </w:r>
      <w:r>
        <w:rPr>
          <w:rFonts w:hint="eastAsia" w:eastAsiaTheme="minorEastAsia"/>
          <w:color w:val="000000"/>
          <w:sz w:val="28"/>
          <w:lang w:eastAsia="zh-CN"/>
        </w:rPr>
        <w:t>883.95</w:t>
      </w:r>
      <w:r>
        <w:rPr>
          <w:rFonts w:hint="eastAsia" w:eastAsia="方正仿宋_GBK"/>
          <w:color w:val="000000"/>
          <w:sz w:val="28"/>
        </w:rPr>
        <w:t>万元，202</w:t>
      </w:r>
      <w:r>
        <w:rPr>
          <w:rFonts w:hint="eastAsia" w:eastAsiaTheme="minorEastAsia"/>
          <w:color w:val="000000"/>
          <w:sz w:val="28"/>
          <w:lang w:eastAsia="zh-CN"/>
        </w:rPr>
        <w:t>3</w:t>
      </w:r>
      <w:r>
        <w:rPr>
          <w:rFonts w:hint="eastAsia" w:eastAsia="方正仿宋_GBK"/>
          <w:color w:val="000000"/>
          <w:sz w:val="28"/>
        </w:rPr>
        <w:t>年财政拨款收入</w:t>
      </w:r>
      <w:r>
        <w:rPr>
          <w:rFonts w:hint="eastAsia" w:eastAsiaTheme="minorEastAsia"/>
          <w:color w:val="000000"/>
          <w:sz w:val="28"/>
          <w:lang w:eastAsia="zh-CN"/>
        </w:rPr>
        <w:t>750.46</w:t>
      </w:r>
      <w:r>
        <w:rPr>
          <w:rFonts w:hint="eastAsia" w:eastAsia="方正仿宋_GBK"/>
          <w:color w:val="000000"/>
          <w:sz w:val="28"/>
        </w:rPr>
        <w:t>万元，202</w:t>
      </w:r>
      <w:r>
        <w:rPr>
          <w:rFonts w:hint="eastAsia" w:eastAsiaTheme="minorEastAsia"/>
          <w:color w:val="000000"/>
          <w:sz w:val="28"/>
          <w:lang w:eastAsia="zh-CN"/>
        </w:rPr>
        <w:t>4</w:t>
      </w:r>
      <w:r>
        <w:rPr>
          <w:rFonts w:hint="eastAsia" w:eastAsia="方正仿宋_GBK"/>
          <w:color w:val="000000"/>
          <w:sz w:val="28"/>
        </w:rPr>
        <w:t>年比202</w:t>
      </w:r>
      <w:r>
        <w:rPr>
          <w:rFonts w:hint="eastAsia" w:eastAsiaTheme="minorEastAsia"/>
          <w:color w:val="000000"/>
          <w:sz w:val="28"/>
          <w:lang w:eastAsia="zh-CN"/>
        </w:rPr>
        <w:t>3</w:t>
      </w:r>
      <w:r>
        <w:rPr>
          <w:rFonts w:hint="eastAsia" w:eastAsia="方正仿宋_GBK"/>
          <w:color w:val="000000"/>
          <w:sz w:val="28"/>
        </w:rPr>
        <w:t>年</w:t>
      </w:r>
      <w:r>
        <w:rPr>
          <w:rFonts w:hint="eastAsia" w:eastAsiaTheme="minorEastAsia"/>
          <w:color w:val="000000"/>
          <w:sz w:val="28"/>
          <w:lang w:eastAsia="zh-CN"/>
        </w:rPr>
        <w:t>增加133.49</w:t>
      </w:r>
      <w:r>
        <w:rPr>
          <w:rFonts w:hint="eastAsia" w:eastAsia="方正仿宋_GBK"/>
          <w:color w:val="000000"/>
          <w:sz w:val="28"/>
        </w:rPr>
        <w:t>万元。其中：基本支出</w:t>
      </w:r>
      <w:r>
        <w:rPr>
          <w:rFonts w:hint="eastAsia" w:eastAsiaTheme="minorEastAsia"/>
          <w:color w:val="000000"/>
          <w:sz w:val="28"/>
          <w:lang w:eastAsia="zh-CN"/>
        </w:rPr>
        <w:t>增加47.58</w:t>
      </w:r>
      <w:r>
        <w:rPr>
          <w:rFonts w:hint="eastAsia" w:eastAsia="方正仿宋_GBK"/>
          <w:color w:val="000000"/>
          <w:sz w:val="28"/>
        </w:rPr>
        <w:t>万元，由于机构改革和职能变动，在202</w:t>
      </w:r>
      <w:r>
        <w:rPr>
          <w:rFonts w:hint="eastAsia" w:eastAsiaTheme="minorEastAsia"/>
          <w:color w:val="000000"/>
          <w:sz w:val="28"/>
          <w:lang w:eastAsia="zh-CN"/>
        </w:rPr>
        <w:t>4</w:t>
      </w:r>
      <w:r>
        <w:rPr>
          <w:rFonts w:hint="eastAsia" w:eastAsia="方正仿宋_GBK"/>
          <w:color w:val="000000"/>
          <w:sz w:val="28"/>
        </w:rPr>
        <w:t>年预算中予以调</w:t>
      </w:r>
      <w:r>
        <w:rPr>
          <w:rFonts w:hint="eastAsia" w:eastAsiaTheme="minorEastAsia"/>
          <w:color w:val="000000"/>
          <w:sz w:val="28"/>
          <w:lang w:eastAsia="zh-CN"/>
        </w:rPr>
        <w:t>增</w:t>
      </w:r>
      <w:r>
        <w:rPr>
          <w:rFonts w:hint="eastAsia" w:eastAsia="方正仿宋_GBK"/>
          <w:color w:val="000000"/>
          <w:sz w:val="28"/>
        </w:rPr>
        <w:t>；项目支出</w:t>
      </w:r>
      <w:r>
        <w:rPr>
          <w:rFonts w:hint="eastAsia" w:eastAsiaTheme="minorEastAsia"/>
          <w:color w:val="000000"/>
          <w:sz w:val="28"/>
          <w:lang w:eastAsia="zh-CN"/>
        </w:rPr>
        <w:t>增加85.91</w:t>
      </w:r>
      <w:r>
        <w:rPr>
          <w:rFonts w:hint="eastAsia" w:eastAsia="方正仿宋_GBK"/>
          <w:color w:val="000000"/>
          <w:sz w:val="28"/>
        </w:rPr>
        <w:t>万元，主要是</w:t>
      </w:r>
      <w:r>
        <w:rPr>
          <w:rFonts w:hint="eastAsia" w:eastAsiaTheme="minorEastAsia"/>
          <w:color w:val="000000"/>
          <w:sz w:val="28"/>
          <w:lang w:eastAsia="zh-CN"/>
        </w:rPr>
        <w:t>建设项目的增加</w:t>
      </w:r>
      <w:r>
        <w:rPr>
          <w:rFonts w:hint="eastAsia" w:eastAsia="方正仿宋_GBK"/>
          <w:color w:val="000000"/>
          <w:sz w:val="28"/>
        </w:rPr>
        <w:t>。</w:t>
      </w: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ind w:firstLine="640"/>
        <w:outlineLvl w:val="2"/>
      </w:pPr>
      <w:r>
        <w:rPr>
          <w:rFonts w:hint="eastAsia" w:eastAsia="方正仿宋_GBK"/>
          <w:color w:val="000000"/>
          <w:sz w:val="28"/>
        </w:rPr>
        <w:t>机关运行经费共计安排</w:t>
      </w:r>
      <w:r>
        <w:rPr>
          <w:rFonts w:hint="eastAsia" w:eastAsiaTheme="minorEastAsia"/>
          <w:color w:val="000000"/>
          <w:sz w:val="28"/>
          <w:lang w:eastAsia="zh-CN"/>
        </w:rPr>
        <w:t>595.78</w:t>
      </w:r>
      <w:r>
        <w:rPr>
          <w:rFonts w:hint="eastAsia" w:eastAsia="方正仿宋_GBK"/>
          <w:color w:val="000000"/>
          <w:sz w:val="28"/>
        </w:rPr>
        <w:t>万元，主要用于人员经费和办公区日常维修、办公用房水电费、邮电费、差旅费、办公用房物业管理费、印刷费等日常运行支出。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eastAsiaTheme="minorEastAsia"/>
          <w:lang w:eastAsia="zh-CN"/>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年度“三公”预算安排0万元，其中，因公出国（境）费0元，安排公务用车维护费0元，（其中公务用车购置费0元，公务用车运行维护费0万元），公务接待费0万元，202</w:t>
      </w:r>
      <w:r>
        <w:rPr>
          <w:rFonts w:hint="eastAsia" w:eastAsiaTheme="minorEastAsia"/>
          <w:color w:val="000000"/>
          <w:sz w:val="28"/>
          <w:lang w:eastAsia="zh-CN"/>
        </w:rPr>
        <w:t>3</w:t>
      </w:r>
      <w:r>
        <w:rPr>
          <w:rFonts w:hint="eastAsia" w:eastAsia="方正仿宋_GBK"/>
          <w:color w:val="000000"/>
          <w:sz w:val="28"/>
        </w:rPr>
        <w:t>年“三公”经费中因公出国（境）费与去年持平，公务用车维护费与去年持平，公务接待费与去年持平。</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spacing w:before="10" w:after="10"/>
        <w:ind w:firstLine="640"/>
        <w:outlineLvl w:val="5"/>
        <w:rPr>
          <w:rFonts w:ascii="黑体" w:hAnsi="黑体" w:eastAsia="黑体" w:cs="黑体"/>
          <w:color w:val="000000"/>
          <w:sz w:val="32"/>
          <w:lang w:eastAsia="zh-CN"/>
        </w:rPr>
      </w:pPr>
    </w:p>
    <w:p>
      <w:pPr>
        <w:spacing w:before="10" w:after="10" w:line="360" w:lineRule="auto"/>
        <w:ind w:firstLine="640"/>
        <w:outlineLvl w:val="2"/>
        <w:rPr>
          <w:rFonts w:eastAsiaTheme="minorEastAsia"/>
          <w:color w:val="000000"/>
          <w:sz w:val="28"/>
          <w:lang w:eastAsia="zh-CN"/>
        </w:rPr>
      </w:pPr>
      <w:r>
        <w:rPr>
          <w:rFonts w:hint="eastAsia" w:eastAsia="方正仿宋_GBK"/>
          <w:color w:val="000000"/>
          <w:sz w:val="28"/>
        </w:rPr>
        <w:t>注：我单位无</w:t>
      </w:r>
      <w:r>
        <w:rPr>
          <w:rFonts w:eastAsia="方正仿宋_GBK"/>
          <w:color w:val="000000"/>
          <w:sz w:val="28"/>
        </w:rPr>
        <w:t>单位项目预算安排</w:t>
      </w:r>
      <w:r>
        <w:rPr>
          <w:rFonts w:hint="eastAsia" w:eastAsiaTheme="minorEastAsia"/>
          <w:color w:val="000000"/>
          <w:sz w:val="28"/>
          <w:lang w:eastAsia="zh-CN"/>
        </w:rPr>
        <w:t>。</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1、村（社区）服务站及技术性审查绩效目标表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13042424P001PDR101203</w:t>
            </w:r>
          </w:p>
        </w:tc>
        <w:tc>
          <w:tcPr>
            <w:tcW w:w="2835" w:type="dxa"/>
            <w:vAlign w:val="center"/>
          </w:tcPr>
          <w:p>
            <w:pPr>
              <w:pStyle w:val="11"/>
            </w:pPr>
            <w:r>
              <w:t>项目名称</w:t>
            </w:r>
          </w:p>
        </w:tc>
        <w:tc>
          <w:tcPr>
            <w:tcW w:w="6094" w:type="dxa"/>
            <w:gridSpan w:val="3"/>
            <w:vAlign w:val="center"/>
          </w:tcPr>
          <w:p>
            <w:pPr>
              <w:pStyle w:val="13"/>
            </w:pPr>
            <w:r>
              <w:t>村（社区）服务站及技术性审查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提升村及社区服务站服务质量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47.50</w:t>
            </w:r>
          </w:p>
        </w:tc>
        <w:tc>
          <w:tcPr>
            <w:tcW w:w="2835" w:type="dxa"/>
            <w:vAlign w:val="center"/>
          </w:tcPr>
          <w:p>
            <w:pPr>
              <w:pStyle w:val="14"/>
            </w:pPr>
            <w:r>
              <w:t>95.00</w:t>
            </w:r>
          </w:p>
        </w:tc>
        <w:tc>
          <w:tcPr>
            <w:tcW w:w="2551" w:type="dxa"/>
            <w:vAlign w:val="center"/>
          </w:tcPr>
          <w:p>
            <w:pPr>
              <w:pStyle w:val="14"/>
            </w:pPr>
            <w:r>
              <w:t>142.50</w:t>
            </w:r>
          </w:p>
        </w:tc>
        <w:tc>
          <w:tcPr>
            <w:tcW w:w="3543" w:type="dxa"/>
            <w:gridSpan w:val="2"/>
            <w:vAlign w:val="center"/>
          </w:tcPr>
          <w:p>
            <w:pPr>
              <w:pStyle w:val="14"/>
            </w:pPr>
            <w:r>
              <w:t>190.00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1.提升村及社区服务站服务质量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综合服务站数量</w:t>
            </w:r>
          </w:p>
        </w:tc>
        <w:tc>
          <w:tcPr>
            <w:tcW w:w="5386" w:type="dxa"/>
            <w:vAlign w:val="center"/>
          </w:tcPr>
          <w:p>
            <w:pPr>
              <w:pStyle w:val="13"/>
            </w:pPr>
            <w:r>
              <w:t>综合服务站数量</w:t>
            </w:r>
          </w:p>
        </w:tc>
        <w:tc>
          <w:tcPr>
            <w:tcW w:w="2268" w:type="dxa"/>
            <w:vAlign w:val="center"/>
          </w:tcPr>
          <w:p>
            <w:pPr>
              <w:pStyle w:val="13"/>
            </w:pPr>
            <w:r>
              <w:t>208个</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综合服务站设施配置率</w:t>
            </w:r>
          </w:p>
        </w:tc>
        <w:tc>
          <w:tcPr>
            <w:tcW w:w="5386" w:type="dxa"/>
            <w:vAlign w:val="center"/>
          </w:tcPr>
          <w:p>
            <w:pPr>
              <w:pStyle w:val="13"/>
            </w:pPr>
            <w:r>
              <w:t>综合服务站设施配置率</w:t>
            </w:r>
          </w:p>
        </w:tc>
        <w:tc>
          <w:tcPr>
            <w:tcW w:w="2268" w:type="dxa"/>
            <w:vAlign w:val="center"/>
          </w:tcPr>
          <w:p>
            <w:pPr>
              <w:pStyle w:val="13"/>
            </w:pPr>
            <w:r>
              <w:t>100百分比</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综合服务站改造提升的按时完成率</w:t>
            </w:r>
          </w:p>
        </w:tc>
        <w:tc>
          <w:tcPr>
            <w:tcW w:w="5386" w:type="dxa"/>
            <w:vAlign w:val="center"/>
          </w:tcPr>
          <w:p>
            <w:pPr>
              <w:pStyle w:val="13"/>
            </w:pPr>
            <w:r>
              <w:t>综合服务站改造提升的按时完成率</w:t>
            </w:r>
          </w:p>
        </w:tc>
        <w:tc>
          <w:tcPr>
            <w:tcW w:w="2268" w:type="dxa"/>
            <w:vAlign w:val="center"/>
          </w:tcPr>
          <w:p>
            <w:pPr>
              <w:pStyle w:val="13"/>
            </w:pPr>
            <w:r>
              <w:t>100百分比</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服务站改造的成本</w:t>
            </w:r>
          </w:p>
        </w:tc>
        <w:tc>
          <w:tcPr>
            <w:tcW w:w="5386" w:type="dxa"/>
            <w:vAlign w:val="center"/>
          </w:tcPr>
          <w:p>
            <w:pPr>
              <w:pStyle w:val="13"/>
            </w:pPr>
            <w:r>
              <w:t>服务站改造的成本</w:t>
            </w:r>
          </w:p>
        </w:tc>
        <w:tc>
          <w:tcPr>
            <w:tcW w:w="2268" w:type="dxa"/>
            <w:vAlign w:val="center"/>
          </w:tcPr>
          <w:p>
            <w:pPr>
              <w:pStyle w:val="13"/>
            </w:pPr>
            <w:r>
              <w:t>190</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有效保障</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综合服务站持续使用时间</w:t>
            </w:r>
          </w:p>
        </w:tc>
        <w:tc>
          <w:tcPr>
            <w:tcW w:w="5386" w:type="dxa"/>
            <w:vAlign w:val="center"/>
          </w:tcPr>
          <w:p>
            <w:pPr>
              <w:pStyle w:val="13"/>
            </w:pPr>
            <w:r>
              <w:t>综合服务站持续使用时间</w:t>
            </w:r>
          </w:p>
        </w:tc>
        <w:tc>
          <w:tcPr>
            <w:tcW w:w="2268" w:type="dxa"/>
            <w:vAlign w:val="center"/>
          </w:tcPr>
          <w:p>
            <w:pPr>
              <w:pStyle w:val="13"/>
            </w:pPr>
            <w:r>
              <w:t>有效保障</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100百分比</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100百分比</w:t>
            </w:r>
          </w:p>
        </w:tc>
        <w:tc>
          <w:tcPr>
            <w:tcW w:w="1276" w:type="dxa"/>
            <w:vAlign w:val="center"/>
          </w:tcPr>
          <w:p>
            <w:pPr>
              <w:pStyle w:val="13"/>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100百分比</w:t>
            </w:r>
          </w:p>
        </w:tc>
        <w:tc>
          <w:tcPr>
            <w:tcW w:w="1276" w:type="dxa"/>
            <w:vAlign w:val="center"/>
          </w:tcPr>
          <w:p>
            <w:pPr>
              <w:pStyle w:val="13"/>
            </w:pPr>
            <w:r>
              <w:t>依据申请及合同</w:t>
            </w:r>
          </w:p>
        </w:tc>
      </w:tr>
    </w:tbl>
    <w:p>
      <w:pPr>
        <w:sectPr>
          <w:pgSz w:w="16840" w:h="11900" w:orient="landscape"/>
          <w:pgMar w:top="1134"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ind w:firstLine="56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lang w:val="uk-UA"/>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hint="eastAsia" w:ascii="方正仿宋_GBK" w:hAnsi="方正仿宋_GBK" w:eastAsia="方正仿宋_GBK" w:cs="方正仿宋_GBK"/>
          <w:color w:val="000000"/>
          <w:sz w:val="28"/>
        </w:rPr>
        <w:t>[2015]11</w:t>
      </w:r>
      <w:r>
        <w:rPr>
          <w:rFonts w:hint="eastAsia" w:ascii="方正仿宋_GBK" w:hAnsi="方正仿宋_GBK" w:eastAsia="方正仿宋_GBK" w:cs="方正仿宋_GBK"/>
          <w:color w:val="000000"/>
          <w:sz w:val="28"/>
          <w:lang w:val="uk-UA"/>
        </w:rPr>
        <w:t>号）要求的货物、工程或服务的项目，采购人均应编入政府采购预算。按照政府采购相关法律法规要求，结合我单位实际，</w:t>
      </w:r>
      <w:r>
        <w:rPr>
          <w:rFonts w:hint="eastAsia" w:ascii="方正仿宋_GBK" w:hAnsi="方正仿宋_GBK" w:eastAsia="方正仿宋_GBK" w:cs="方正仿宋_GBK"/>
          <w:color w:val="000000"/>
          <w:sz w:val="28"/>
        </w:rPr>
        <w:t>202</w:t>
      </w:r>
      <w:r>
        <w:rPr>
          <w:rFonts w:hint="eastAsia" w:ascii="方正仿宋_GBK" w:hAnsi="方正仿宋_GBK" w:cs="方正仿宋_GBK" w:eastAsiaTheme="minorEastAsia"/>
          <w:color w:val="000000"/>
          <w:sz w:val="28"/>
          <w:lang w:eastAsia="zh-CN"/>
        </w:rPr>
        <w:t>4</w:t>
      </w:r>
      <w:r>
        <w:rPr>
          <w:rFonts w:hint="eastAsia" w:ascii="方正仿宋_GBK" w:hAnsi="方正仿宋_GBK" w:eastAsia="方正仿宋_GBK" w:cs="方正仿宋_GBK"/>
          <w:color w:val="000000"/>
          <w:sz w:val="28"/>
          <w:lang w:val="uk-UA"/>
        </w:rPr>
        <w:t>年，我单位安排政府采购预算</w:t>
      </w:r>
      <w:r>
        <w:rPr>
          <w:rFonts w:hint="eastAsia" w:ascii="方正仿宋_GBK" w:hAnsi="方正仿宋_GBK" w:cs="方正仿宋_GBK" w:eastAsiaTheme="minorEastAsia"/>
          <w:color w:val="000000"/>
          <w:sz w:val="28"/>
          <w:lang w:eastAsia="zh-CN"/>
        </w:rPr>
        <w:t>0.33</w:t>
      </w:r>
      <w:r>
        <w:rPr>
          <w:rFonts w:hint="eastAsia" w:ascii="方正仿宋_GBK" w:hAnsi="方正仿宋_GBK" w:eastAsia="方正仿宋_GBK" w:cs="方正仿宋_GBK"/>
          <w:color w:val="000000"/>
          <w:sz w:val="28"/>
          <w:lang w:val="uk-UA"/>
        </w:rPr>
        <w:t>万元，主要用于改善办公条件，具体内容见下表。</w:t>
      </w:r>
    </w:p>
    <w:p>
      <w:pPr>
        <w:jc w:val="center"/>
      </w:pPr>
      <w:r>
        <w:rPr>
          <w:rFonts w:hint="eastAsia" w:ascii="方正小标宋_GBK" w:hAnsi="方正小标宋_GBK" w:eastAsia="方正小标宋_GBK" w:cs="方正小标宋_GBK"/>
          <w:color w:val="000000"/>
          <w:sz w:val="36"/>
          <w:lang w:val="uk-UA"/>
        </w:rPr>
        <w:t>部门政府采购预算</w:t>
      </w:r>
    </w:p>
    <w:tbl>
      <w:tblPr>
        <w:tblStyle w:val="5"/>
        <w:tblW w:w="16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965"/>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4" w:type="dxa"/>
            <w:gridSpan w:val="7"/>
            <w:tcBorders>
              <w:top w:val="single" w:color="FFFFFF" w:sz="6" w:space="0"/>
              <w:left w:val="single" w:color="FFFFFF" w:sz="6" w:space="0"/>
              <w:bottom w:val="single" w:color="000000" w:sz="6" w:space="0"/>
              <w:right w:val="single" w:color="FFFFFF" w:sz="6" w:space="0"/>
            </w:tcBorders>
            <w:vAlign w:val="center"/>
          </w:tcPr>
          <w:p>
            <w:pPr>
              <w:pStyle w:val="10"/>
              <w:rPr>
                <w:kern w:val="2"/>
              </w:rPr>
            </w:pPr>
            <w:r>
              <w:rPr>
                <w:rFonts w:hint="eastAsia"/>
                <w:kern w:val="2"/>
              </w:rPr>
              <w:t>223</w:t>
            </w:r>
            <w:r>
              <w:rPr>
                <w:rFonts w:hint="eastAsia"/>
                <w:kern w:val="2"/>
                <w:lang w:val="uk-UA"/>
              </w:rPr>
              <w:t>成安县行政审批局</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22"/>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7" w:type="dxa"/>
            <w:gridSpan w:val="2"/>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计量</w:t>
            </w:r>
            <w:r>
              <w:rPr>
                <w:rFonts w:hint="eastAsia"/>
                <w:kern w:val="2"/>
              </w:rPr>
              <w:t xml:space="preserve">  </w:t>
            </w:r>
            <w:r>
              <w:rPr>
                <w:rFonts w:hint="eastAsia"/>
                <w:kern w:val="2"/>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rPr>
              <w:t>2022</w:t>
            </w:r>
            <w:r>
              <w:rPr>
                <w:rFonts w:hint="eastAsia"/>
                <w:kern w:val="2"/>
                <w:lang w:val="uk-UA"/>
              </w:rPr>
              <w:t>年</w:t>
            </w:r>
            <w:r>
              <w:rPr>
                <w:rFonts w:hint="eastAsia"/>
                <w:kern w:val="2"/>
              </w:rPr>
              <w:t xml:space="preserve">  </w:t>
            </w:r>
            <w:r>
              <w:rPr>
                <w:rFonts w:hint="eastAsia"/>
                <w:kern w:val="2"/>
                <w:lang w:val="uk-UA"/>
              </w:rPr>
              <w:t>预留中</w:t>
            </w:r>
            <w:r>
              <w:rPr>
                <w:rFonts w:hint="eastAsia"/>
                <w:kern w:val="2"/>
              </w:rPr>
              <w:t xml:space="preserve">  </w:t>
            </w:r>
            <w:r>
              <w:rPr>
                <w:rFonts w:hint="eastAsia"/>
                <w:kern w:val="2"/>
                <w:lang w:val="uk-UA"/>
              </w:rPr>
              <w:t>小微企</w:t>
            </w:r>
            <w:r>
              <w:rPr>
                <w:rFonts w:hint="eastAsia"/>
                <w:kern w:val="2"/>
              </w:rPr>
              <w:t xml:space="preserve">  </w:t>
            </w:r>
            <w:r>
              <w:rPr>
                <w:rFonts w:hint="eastAsia"/>
                <w:kern w:val="2"/>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项目名称</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预算</w:t>
            </w:r>
            <w:r>
              <w:rPr>
                <w:rFonts w:hint="eastAsia"/>
                <w:kern w:val="2"/>
              </w:rPr>
              <w:t xml:space="preserve">    </w:t>
            </w:r>
            <w:r>
              <w:rPr>
                <w:rFonts w:hint="eastAsia"/>
                <w:kern w:val="2"/>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单位</w:t>
            </w:r>
            <w:r>
              <w:rPr>
                <w:rFonts w:hint="eastAsia"/>
                <w:kern w:val="2"/>
              </w:rPr>
              <w:t xml:space="preserve">    </w:t>
            </w:r>
            <w:r>
              <w:rPr>
                <w:rFonts w:hint="eastAsia"/>
                <w:kern w:val="2"/>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财政拨</w:t>
            </w:r>
            <w:r>
              <w:rPr>
                <w:rFonts w:hint="eastAsia"/>
                <w:kern w:val="2"/>
              </w:rPr>
              <w:t xml:space="preserve">    </w:t>
            </w:r>
            <w:r>
              <w:rPr>
                <w:rFonts w:hint="eastAsia"/>
                <w:kern w:val="2"/>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rFonts w:hint="eastAsia"/>
                <w:kern w:val="2"/>
                <w:lang w:val="uk-UA"/>
              </w:rPr>
              <w:t>非财政</w:t>
            </w:r>
            <w:r>
              <w:rPr>
                <w:rFonts w:hint="eastAsia"/>
                <w:kern w:val="2"/>
              </w:rPr>
              <w:t xml:space="preserve">    </w:t>
            </w:r>
            <w:r>
              <w:rPr>
                <w:rFonts w:hint="eastAsia"/>
                <w:kern w:val="2"/>
                <w:lang w:val="uk-UA"/>
              </w:rPr>
              <w:t>拨款结</w:t>
            </w:r>
            <w:r>
              <w:rPr>
                <w:rFonts w:hint="eastAsia"/>
                <w:kern w:val="2"/>
              </w:rPr>
              <w:t xml:space="preserve">    </w:t>
            </w:r>
            <w:r>
              <w:rPr>
                <w:rFonts w:hint="eastAsia"/>
                <w:kern w:val="2"/>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b w:val="0"/>
                <w:kern w:val="2"/>
                <w:lang w:val="uk-UA" w:eastAsia="zh-CN"/>
              </w:rPr>
            </w:pPr>
            <w:r>
              <w:rPr>
                <w:rFonts w:hint="eastAsia" w:eastAsiaTheme="minorEastAsia"/>
                <w:b w:val="0"/>
                <w:kern w:val="2"/>
                <w:lang w:val="uk-UA" w:eastAsia="zh-CN"/>
              </w:rPr>
              <w:t>合计：</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eastAsiaTheme="minorEastAsia"/>
                <w:b w:val="0"/>
                <w:kern w:val="2"/>
                <w:lang w:val="uk-UA" w:eastAsia="zh-CN"/>
              </w:rPr>
              <w:t>公用</w:t>
            </w:r>
            <w:r>
              <w:rPr>
                <w:rFonts w:hint="eastAsia"/>
                <w:b w:val="0"/>
                <w:kern w:val="2"/>
                <w:lang w:val="uk-UA"/>
              </w:rPr>
              <w:t>经费</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420"/>
        <w:rPr>
          <w:rFonts w:ascii="方正书宋_GBK" w:hAnsi="方正书宋_GBK" w:eastAsia="方正书宋_GBK" w:cs="方正书宋_GBK"/>
          <w:color w:val="000000"/>
          <w:sz w:val="28"/>
          <w:szCs w:val="28"/>
        </w:rPr>
      </w:pPr>
      <w:r>
        <w:rPr>
          <w:rFonts w:ascii="方正书宋_GBK" w:hAnsi="方正书宋_GBK" w:eastAsia="方正书宋_GBK" w:cs="方正书宋_GBK"/>
          <w:color w:val="000000"/>
          <w:sz w:val="28"/>
          <w:szCs w:val="28"/>
        </w:rPr>
        <w:t>成安县行政审批局（含所属单位）上年末固定资产金额为</w:t>
      </w:r>
      <w:r>
        <w:rPr>
          <w:rFonts w:hint="eastAsia" w:eastAsia="方正书宋_GBK"/>
          <w:b/>
          <w:lang w:val="en-US" w:eastAsia="zh-CN"/>
        </w:rPr>
        <w:t>472.57734</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（详见下表）。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223成安县行政审批局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eastAsiaTheme="minor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b w:val="0"/>
              </w:rPr>
            </w:pPr>
            <w:r>
              <w:rPr>
                <w:rFonts w:hint="eastAsia"/>
                <w:b w:val="0"/>
              </w:rPr>
              <w:t>资产总额</w:t>
            </w:r>
          </w:p>
        </w:tc>
        <w:tc>
          <w:tcPr>
            <w:tcW w:w="2835" w:type="dxa"/>
            <w:vAlign w:val="center"/>
          </w:tcPr>
          <w:p>
            <w:pPr>
              <w:pStyle w:val="11"/>
              <w:rPr>
                <w:b w:val="0"/>
              </w:rPr>
            </w:pPr>
            <w:r>
              <w:rPr>
                <w:rFonts w:hint="eastAsia"/>
                <w:b w:val="0"/>
              </w:rPr>
              <w:t>——</w:t>
            </w:r>
          </w:p>
        </w:tc>
        <w:tc>
          <w:tcPr>
            <w:tcW w:w="2835" w:type="dxa"/>
            <w:vAlign w:val="center"/>
          </w:tcPr>
          <w:p>
            <w:pPr>
              <w:pStyle w:val="11"/>
              <w:rPr>
                <w:rFonts w:eastAsiaTheme="minorEastAsia"/>
                <w:b w:val="0"/>
                <w:lang w:eastAsia="zh-CN"/>
              </w:rPr>
            </w:pPr>
            <w:r>
              <w:rPr>
                <w:rFonts w:hint="eastAsia" w:eastAsiaTheme="minorEastAsia"/>
                <w:b w:val="0"/>
                <w:lang w:eastAsia="zh-CN"/>
              </w:rPr>
              <w:t>472.57734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1"/>
              <w:rPr>
                <w:b w:val="0"/>
              </w:rPr>
            </w:pPr>
            <w:r>
              <w:rPr>
                <w:rFonts w:hint="eastAsia"/>
                <w:b w:val="0"/>
              </w:rPr>
              <w:t>1、房屋（平方米）</w:t>
            </w:r>
          </w:p>
        </w:tc>
        <w:tc>
          <w:tcPr>
            <w:tcW w:w="2835" w:type="dxa"/>
            <w:vAlign w:val="center"/>
          </w:tcPr>
          <w:p>
            <w:pPr>
              <w:pStyle w:val="11"/>
              <w:rPr>
                <w:b w:val="0"/>
              </w:rPr>
            </w:pPr>
            <w:r>
              <w:rPr>
                <w:rFonts w:hint="eastAsia"/>
                <w:b w:val="0"/>
              </w:rPr>
              <w:t>3900</w:t>
            </w:r>
          </w:p>
        </w:tc>
        <w:tc>
          <w:tcPr>
            <w:tcW w:w="2835" w:type="dxa"/>
            <w:vAlign w:val="center"/>
          </w:tcPr>
          <w:p>
            <w:pPr>
              <w:pStyle w:val="11"/>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b w:val="0"/>
              </w:rPr>
            </w:pPr>
            <w:r>
              <w:rPr>
                <w:rFonts w:hint="eastAsia"/>
                <w:b w:val="0"/>
              </w:rPr>
              <w:t>其中：办公用房（平方米）</w:t>
            </w:r>
          </w:p>
        </w:tc>
        <w:tc>
          <w:tcPr>
            <w:tcW w:w="2835" w:type="dxa"/>
            <w:vAlign w:val="center"/>
          </w:tcPr>
          <w:p>
            <w:pPr>
              <w:pStyle w:val="11"/>
              <w:rPr>
                <w:b w:val="0"/>
              </w:rPr>
            </w:pPr>
            <w:r>
              <w:rPr>
                <w:rFonts w:hint="eastAsia"/>
                <w:b w:val="0"/>
              </w:rPr>
              <w:t>3900</w:t>
            </w:r>
          </w:p>
        </w:tc>
        <w:tc>
          <w:tcPr>
            <w:tcW w:w="2835" w:type="dxa"/>
            <w:vAlign w:val="center"/>
          </w:tcPr>
          <w:p>
            <w:pPr>
              <w:pStyle w:val="11"/>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b w:val="0"/>
              </w:rPr>
            </w:pPr>
            <w:r>
              <w:rPr>
                <w:rFonts w:hint="eastAsia"/>
                <w:b w:val="0"/>
              </w:rPr>
              <w:t>2、车辆（台、辆）</w:t>
            </w:r>
          </w:p>
        </w:tc>
        <w:tc>
          <w:tcPr>
            <w:tcW w:w="2835" w:type="dxa"/>
            <w:vAlign w:val="center"/>
          </w:tcPr>
          <w:p>
            <w:pPr>
              <w:pStyle w:val="11"/>
              <w:rPr>
                <w:b w:val="0"/>
              </w:rPr>
            </w:pPr>
            <w:r>
              <w:rPr>
                <w:rFonts w:hint="eastAsia"/>
                <w:b w:val="0"/>
              </w:rPr>
              <w:t>0</w:t>
            </w:r>
          </w:p>
        </w:tc>
        <w:tc>
          <w:tcPr>
            <w:tcW w:w="2835" w:type="dxa"/>
            <w:vAlign w:val="center"/>
          </w:tcPr>
          <w:p>
            <w:pPr>
              <w:pStyle w:val="11"/>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b w:val="0"/>
              </w:rPr>
            </w:pPr>
            <w:r>
              <w:rPr>
                <w:rFonts w:hint="eastAsia"/>
                <w:b w:val="0"/>
              </w:rPr>
              <w:t>3、单价在50万元以上的设备</w:t>
            </w:r>
          </w:p>
        </w:tc>
        <w:tc>
          <w:tcPr>
            <w:tcW w:w="2835" w:type="dxa"/>
            <w:vAlign w:val="center"/>
          </w:tcPr>
          <w:p>
            <w:pPr>
              <w:pStyle w:val="11"/>
              <w:rPr>
                <w:b w:val="0"/>
              </w:rPr>
            </w:pPr>
            <w:r>
              <w:rPr>
                <w:rFonts w:hint="eastAsia"/>
                <w:b w:val="0"/>
              </w:rPr>
              <w:t>0</w:t>
            </w:r>
          </w:p>
        </w:tc>
        <w:tc>
          <w:tcPr>
            <w:tcW w:w="2835" w:type="dxa"/>
            <w:vAlign w:val="center"/>
          </w:tcPr>
          <w:p>
            <w:pPr>
              <w:pStyle w:val="11"/>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1"/>
              <w:rPr>
                <w:b w:val="0"/>
              </w:rPr>
            </w:pPr>
            <w:r>
              <w:rPr>
                <w:rFonts w:hint="eastAsia"/>
                <w:b w:val="0"/>
              </w:rPr>
              <w:t>4、其他固定资产</w:t>
            </w:r>
          </w:p>
        </w:tc>
        <w:tc>
          <w:tcPr>
            <w:tcW w:w="2835" w:type="dxa"/>
            <w:vAlign w:val="center"/>
          </w:tcPr>
          <w:p>
            <w:pPr>
              <w:pStyle w:val="11"/>
              <w:rPr>
                <w:rFonts w:eastAsiaTheme="minorEastAsia"/>
                <w:b w:val="0"/>
                <w:lang w:eastAsia="zh-CN"/>
              </w:rPr>
            </w:pPr>
            <w:r>
              <w:rPr>
                <w:rFonts w:hint="eastAsia"/>
                <w:b w:val="0"/>
              </w:rPr>
              <w:t>114</w:t>
            </w:r>
            <w:r>
              <w:rPr>
                <w:rFonts w:hint="eastAsia" w:eastAsiaTheme="minorEastAsia"/>
                <w:b w:val="0"/>
                <w:lang w:eastAsia="zh-CN"/>
              </w:rPr>
              <w:t>70</w:t>
            </w:r>
          </w:p>
        </w:tc>
        <w:tc>
          <w:tcPr>
            <w:tcW w:w="2835" w:type="dxa"/>
            <w:vAlign w:val="center"/>
          </w:tcPr>
          <w:p>
            <w:pPr>
              <w:pStyle w:val="11"/>
              <w:rPr>
                <w:rFonts w:eastAsiaTheme="minorEastAsia"/>
                <w:b w:val="0"/>
                <w:lang w:eastAsia="zh-CN"/>
              </w:rPr>
            </w:pPr>
            <w:r>
              <w:rPr>
                <w:rFonts w:hint="eastAsia" w:eastAsiaTheme="minorEastAsia"/>
                <w:b w:val="0"/>
                <w:lang w:eastAsia="zh-CN"/>
              </w:rPr>
              <w:t>472.57734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hYjc5ZWFkOTZiZDA4NWMwYTAyMjRlMzBlYTViMzgifQ=="/>
  </w:docVars>
  <w:rsids>
    <w:rsidRoot w:val="008131B9"/>
    <w:rsid w:val="000F1A9A"/>
    <w:rsid w:val="001607A8"/>
    <w:rsid w:val="001F2720"/>
    <w:rsid w:val="003332C2"/>
    <w:rsid w:val="00407F07"/>
    <w:rsid w:val="007C5E57"/>
    <w:rsid w:val="008131B9"/>
    <w:rsid w:val="008424EE"/>
    <w:rsid w:val="00A5720F"/>
    <w:rsid w:val="00AF01BA"/>
    <w:rsid w:val="00B13154"/>
    <w:rsid w:val="00B33B35"/>
    <w:rsid w:val="00B609A8"/>
    <w:rsid w:val="00BF157D"/>
    <w:rsid w:val="00D13DA5"/>
    <w:rsid w:val="00D86AA6"/>
    <w:rsid w:val="00E05EC3"/>
    <w:rsid w:val="00FC57EA"/>
    <w:rsid w:val="1EFF2BA5"/>
    <w:rsid w:val="28053F34"/>
    <w:rsid w:val="45E77E50"/>
    <w:rsid w:val="FF0F9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26"/>
    <w:semiHidden/>
    <w:unhideWhenUsed/>
    <w:qFormat/>
    <w:uiPriority w:val="99"/>
    <w:pPr>
      <w:tabs>
        <w:tab w:val="center" w:pos="4153"/>
        <w:tab w:val="right" w:pos="8306"/>
      </w:tabs>
      <w:snapToGrid w:val="0"/>
    </w:pPr>
    <w:rPr>
      <w:sz w:val="18"/>
      <w:szCs w:val="18"/>
    </w:rPr>
  </w:style>
  <w:style w:type="paragraph" w:styleId="4">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4"/>
    <w:semiHidden/>
    <w:qFormat/>
    <w:uiPriority w:val="99"/>
    <w:rPr>
      <w:rFonts w:eastAsia="Times New Roman"/>
      <w:sz w:val="18"/>
      <w:szCs w:val="18"/>
      <w:lang w:eastAsia="uk-UA"/>
    </w:rPr>
  </w:style>
  <w:style w:type="character" w:customStyle="1" w:styleId="26">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1845</Words>
  <Characters>10518</Characters>
  <Lines>87</Lines>
  <Paragraphs>24</Paragraphs>
  <TotalTime>0</TotalTime>
  <ScaleCrop>false</ScaleCrop>
  <LinksUpToDate>false</LinksUpToDate>
  <CharactersWithSpaces>12339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2024-02-21T23:26:00Z</dcterms:created>
  <dc:creator>dell</dc:creator>
  <cp:lastModifiedBy>Administrator</cp:lastModifiedBy>
  <cp:lastPrinted>2024-02-26T15:50:00Z</cp:lastPrinted>
  <dcterms:modified xsi:type="dcterms:W3CDTF">2024-03-21T02:17:10Z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896DC05A5DE7413CADC4BB96170F9B4A_12</vt:lpwstr>
  </property>
</Properties>
</file>