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成安县发展和改革局</w:t>
      </w: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8"/>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2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2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28"/>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28"/>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pPr>
        <w:pStyle w:val="2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2</w:t>
      </w:r>
    </w:p>
    <w:p>
      <w:pPr>
        <w:pStyle w:val="2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3</w:t>
      </w:r>
    </w:p>
    <w:p>
      <w:pPr>
        <w:pStyle w:val="2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3</w:t>
      </w:r>
    </w:p>
    <w:p>
      <w:pPr>
        <w:pStyle w:val="2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3</w:t>
      </w:r>
    </w:p>
    <w:p>
      <w:pPr>
        <w:pStyle w:val="28"/>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4</w:t>
      </w:r>
    </w:p>
    <w:p>
      <w:pPr>
        <w:pStyle w:val="28"/>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303成安县发展和改革局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12093.30</w:t>
            </w:r>
          </w:p>
        </w:tc>
        <w:tc>
          <w:tcPr>
            <w:tcW w:w="4535" w:type="dxa"/>
            <w:vAlign w:val="center"/>
          </w:tcPr>
          <w:p>
            <w:pPr>
              <w:pStyle w:val="13"/>
            </w:pPr>
            <w:r>
              <w:t>一、一般公共服务支出</w:t>
            </w:r>
          </w:p>
        </w:tc>
        <w:tc>
          <w:tcPr>
            <w:tcW w:w="2126" w:type="dxa"/>
            <w:vAlign w:val="center"/>
          </w:tcPr>
          <w:p>
            <w:pPr>
              <w:pStyle w:val="12"/>
            </w:pPr>
            <w:r>
              <w:t>1395.22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r>
              <w:t>320.80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12093.30</w:t>
            </w:r>
          </w:p>
        </w:tc>
        <w:tc>
          <w:tcPr>
            <w:tcW w:w="4535" w:type="dxa"/>
            <w:vAlign w:val="center"/>
          </w:tcPr>
          <w:p>
            <w:pPr>
              <w:pStyle w:val="15"/>
            </w:pPr>
            <w:r>
              <w:t>本年支出合计</w:t>
            </w:r>
          </w:p>
        </w:tc>
        <w:tc>
          <w:tcPr>
            <w:tcW w:w="2126" w:type="dxa"/>
            <w:vAlign w:val="center"/>
          </w:tcPr>
          <w:p>
            <w:pPr>
              <w:pStyle w:val="16"/>
            </w:pPr>
            <w:r>
              <w:t>12093.30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12093.30</w:t>
            </w:r>
          </w:p>
        </w:tc>
        <w:tc>
          <w:tcPr>
            <w:tcW w:w="4535" w:type="dxa"/>
            <w:vAlign w:val="center"/>
          </w:tcPr>
          <w:p>
            <w:pPr>
              <w:pStyle w:val="15"/>
            </w:pPr>
            <w:r>
              <w:t>支出总计</w:t>
            </w:r>
          </w:p>
        </w:tc>
        <w:tc>
          <w:tcPr>
            <w:tcW w:w="2126" w:type="dxa"/>
            <w:vAlign w:val="center"/>
          </w:tcPr>
          <w:p>
            <w:pPr>
              <w:pStyle w:val="16"/>
            </w:pPr>
            <w:r>
              <w:t>12093.30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303成安县发展和改革局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12093.30</w:t>
            </w:r>
          </w:p>
        </w:tc>
        <w:tc>
          <w:tcPr>
            <w:tcW w:w="1134" w:type="dxa"/>
            <w:vAlign w:val="center"/>
          </w:tcPr>
          <w:p>
            <w:pPr>
              <w:pStyle w:val="16"/>
            </w:pPr>
            <w:r>
              <w:t>12093.30</w:t>
            </w:r>
          </w:p>
        </w:tc>
        <w:tc>
          <w:tcPr>
            <w:tcW w:w="1134" w:type="dxa"/>
            <w:vAlign w:val="center"/>
          </w:tcPr>
          <w:p>
            <w:pPr>
              <w:pStyle w:val="16"/>
            </w:pPr>
            <w:r>
              <w:t>12093.30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1395.22</w:t>
            </w:r>
          </w:p>
        </w:tc>
        <w:tc>
          <w:tcPr>
            <w:tcW w:w="1134" w:type="dxa"/>
            <w:vAlign w:val="center"/>
          </w:tcPr>
          <w:p>
            <w:pPr>
              <w:pStyle w:val="12"/>
            </w:pPr>
            <w:r>
              <w:t>1395.22</w:t>
            </w:r>
          </w:p>
        </w:tc>
        <w:tc>
          <w:tcPr>
            <w:tcW w:w="1134" w:type="dxa"/>
            <w:vAlign w:val="center"/>
          </w:tcPr>
          <w:p>
            <w:pPr>
              <w:pStyle w:val="12"/>
            </w:pPr>
            <w:r>
              <w:t>1395.22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1395.22</w:t>
            </w:r>
          </w:p>
        </w:tc>
        <w:tc>
          <w:tcPr>
            <w:tcW w:w="1134" w:type="dxa"/>
            <w:vAlign w:val="center"/>
          </w:tcPr>
          <w:p>
            <w:pPr>
              <w:pStyle w:val="12"/>
            </w:pPr>
            <w:r>
              <w:t>1395.22</w:t>
            </w:r>
          </w:p>
        </w:tc>
        <w:tc>
          <w:tcPr>
            <w:tcW w:w="1134" w:type="dxa"/>
            <w:vAlign w:val="center"/>
          </w:tcPr>
          <w:p>
            <w:pPr>
              <w:pStyle w:val="12"/>
            </w:pPr>
            <w:r>
              <w:t>1395.22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936.03</w:t>
            </w:r>
          </w:p>
        </w:tc>
        <w:tc>
          <w:tcPr>
            <w:tcW w:w="1134" w:type="dxa"/>
            <w:vAlign w:val="center"/>
          </w:tcPr>
          <w:p>
            <w:pPr>
              <w:pStyle w:val="12"/>
            </w:pPr>
            <w:r>
              <w:t>936.03</w:t>
            </w:r>
          </w:p>
        </w:tc>
        <w:tc>
          <w:tcPr>
            <w:tcW w:w="1134" w:type="dxa"/>
            <w:vAlign w:val="center"/>
          </w:tcPr>
          <w:p>
            <w:pPr>
              <w:pStyle w:val="12"/>
            </w:pPr>
            <w:r>
              <w:t>936.03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2010402</w:t>
            </w:r>
          </w:p>
        </w:tc>
        <w:tc>
          <w:tcPr>
            <w:tcW w:w="1559" w:type="dxa"/>
            <w:vAlign w:val="center"/>
          </w:tcPr>
          <w:p>
            <w:pPr>
              <w:pStyle w:val="13"/>
            </w:pPr>
            <w:r>
              <w:t>一般行政管理事务</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2010403</w:t>
            </w:r>
          </w:p>
        </w:tc>
        <w:tc>
          <w:tcPr>
            <w:tcW w:w="1559" w:type="dxa"/>
            <w:vAlign w:val="center"/>
          </w:tcPr>
          <w:p>
            <w:pPr>
              <w:pStyle w:val="13"/>
            </w:pPr>
            <w:r>
              <w:t>机关服务</w:t>
            </w:r>
          </w:p>
        </w:tc>
        <w:tc>
          <w:tcPr>
            <w:tcW w:w="1134" w:type="dxa"/>
            <w:vAlign w:val="center"/>
          </w:tcPr>
          <w:p>
            <w:pPr>
              <w:pStyle w:val="12"/>
            </w:pPr>
            <w:r>
              <w:t>3.94</w:t>
            </w:r>
          </w:p>
        </w:tc>
        <w:tc>
          <w:tcPr>
            <w:tcW w:w="1134" w:type="dxa"/>
            <w:vAlign w:val="center"/>
          </w:tcPr>
          <w:p>
            <w:pPr>
              <w:pStyle w:val="12"/>
            </w:pPr>
            <w:r>
              <w:t>3.94</w:t>
            </w:r>
          </w:p>
        </w:tc>
        <w:tc>
          <w:tcPr>
            <w:tcW w:w="1134" w:type="dxa"/>
            <w:vAlign w:val="center"/>
          </w:tcPr>
          <w:p>
            <w:pPr>
              <w:pStyle w:val="12"/>
            </w:pPr>
            <w:r>
              <w:t>3.94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2010408</w:t>
            </w:r>
          </w:p>
        </w:tc>
        <w:tc>
          <w:tcPr>
            <w:tcW w:w="1559" w:type="dxa"/>
            <w:vAlign w:val="center"/>
          </w:tcPr>
          <w:p>
            <w:pPr>
              <w:pStyle w:val="13"/>
            </w:pPr>
            <w:r>
              <w:t>物价管理</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2010450</w:t>
            </w:r>
          </w:p>
        </w:tc>
        <w:tc>
          <w:tcPr>
            <w:tcW w:w="1559" w:type="dxa"/>
            <w:vAlign w:val="center"/>
          </w:tcPr>
          <w:p>
            <w:pPr>
              <w:pStyle w:val="13"/>
            </w:pPr>
            <w:r>
              <w:t>事业运行</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2010499</w:t>
            </w:r>
          </w:p>
        </w:tc>
        <w:tc>
          <w:tcPr>
            <w:tcW w:w="1559" w:type="dxa"/>
            <w:vAlign w:val="center"/>
          </w:tcPr>
          <w:p>
            <w:pPr>
              <w:pStyle w:val="13"/>
            </w:pPr>
            <w:r>
              <w:t>其他发展与改革事务支出</w:t>
            </w:r>
          </w:p>
        </w:tc>
        <w:tc>
          <w:tcPr>
            <w:tcW w:w="1134" w:type="dxa"/>
            <w:vAlign w:val="center"/>
          </w:tcPr>
          <w:p>
            <w:pPr>
              <w:pStyle w:val="12"/>
            </w:pPr>
            <w:r>
              <w:t>435.55</w:t>
            </w:r>
          </w:p>
        </w:tc>
        <w:tc>
          <w:tcPr>
            <w:tcW w:w="1134" w:type="dxa"/>
            <w:vAlign w:val="center"/>
          </w:tcPr>
          <w:p>
            <w:pPr>
              <w:pStyle w:val="12"/>
            </w:pPr>
            <w:r>
              <w:t>435.55</w:t>
            </w:r>
          </w:p>
        </w:tc>
        <w:tc>
          <w:tcPr>
            <w:tcW w:w="1134" w:type="dxa"/>
            <w:vAlign w:val="center"/>
          </w:tcPr>
          <w:p>
            <w:pPr>
              <w:pStyle w:val="12"/>
            </w:pPr>
            <w:r>
              <w:t>435.55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260.92</w:t>
            </w:r>
          </w:p>
        </w:tc>
        <w:tc>
          <w:tcPr>
            <w:tcW w:w="1134" w:type="dxa"/>
            <w:vAlign w:val="center"/>
          </w:tcPr>
          <w:p>
            <w:pPr>
              <w:pStyle w:val="12"/>
            </w:pPr>
            <w:r>
              <w:t>260.92</w:t>
            </w:r>
          </w:p>
        </w:tc>
        <w:tc>
          <w:tcPr>
            <w:tcW w:w="1134" w:type="dxa"/>
            <w:vAlign w:val="center"/>
          </w:tcPr>
          <w:p>
            <w:pPr>
              <w:pStyle w:val="12"/>
            </w:pPr>
            <w:r>
              <w:t>260.92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258.23</w:t>
            </w:r>
          </w:p>
        </w:tc>
        <w:tc>
          <w:tcPr>
            <w:tcW w:w="1134" w:type="dxa"/>
            <w:vAlign w:val="center"/>
          </w:tcPr>
          <w:p>
            <w:pPr>
              <w:pStyle w:val="12"/>
            </w:pPr>
            <w:r>
              <w:t>258.23</w:t>
            </w:r>
          </w:p>
        </w:tc>
        <w:tc>
          <w:tcPr>
            <w:tcW w:w="1134" w:type="dxa"/>
            <w:vAlign w:val="center"/>
          </w:tcPr>
          <w:p>
            <w:pPr>
              <w:pStyle w:val="12"/>
            </w:pPr>
            <w:r>
              <w:t>258.23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95.23</w:t>
            </w:r>
          </w:p>
        </w:tc>
        <w:tc>
          <w:tcPr>
            <w:tcW w:w="1134" w:type="dxa"/>
            <w:vAlign w:val="center"/>
          </w:tcPr>
          <w:p>
            <w:pPr>
              <w:pStyle w:val="12"/>
            </w:pPr>
            <w:r>
              <w:t>95.23</w:t>
            </w:r>
          </w:p>
        </w:tc>
        <w:tc>
          <w:tcPr>
            <w:tcW w:w="1134" w:type="dxa"/>
            <w:vAlign w:val="center"/>
          </w:tcPr>
          <w:p>
            <w:pPr>
              <w:pStyle w:val="12"/>
            </w:pPr>
            <w:r>
              <w:t>95.23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163.00</w:t>
            </w:r>
          </w:p>
        </w:tc>
        <w:tc>
          <w:tcPr>
            <w:tcW w:w="1134" w:type="dxa"/>
            <w:vAlign w:val="center"/>
          </w:tcPr>
          <w:p>
            <w:pPr>
              <w:pStyle w:val="12"/>
            </w:pPr>
            <w:r>
              <w:t>163.00</w:t>
            </w:r>
          </w:p>
        </w:tc>
        <w:tc>
          <w:tcPr>
            <w:tcW w:w="1134" w:type="dxa"/>
            <w:vAlign w:val="center"/>
          </w:tcPr>
          <w:p>
            <w:pPr>
              <w:pStyle w:val="12"/>
            </w:pPr>
            <w:r>
              <w:t>163.00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2.69</w:t>
            </w:r>
          </w:p>
        </w:tc>
        <w:tc>
          <w:tcPr>
            <w:tcW w:w="1134" w:type="dxa"/>
            <w:vAlign w:val="center"/>
          </w:tcPr>
          <w:p>
            <w:pPr>
              <w:pStyle w:val="12"/>
            </w:pPr>
            <w:r>
              <w:t>2.69</w:t>
            </w:r>
          </w:p>
        </w:tc>
        <w:tc>
          <w:tcPr>
            <w:tcW w:w="1134" w:type="dxa"/>
            <w:vAlign w:val="center"/>
          </w:tcPr>
          <w:p>
            <w:pPr>
              <w:pStyle w:val="12"/>
            </w:pPr>
            <w:r>
              <w:t>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2.69</w:t>
            </w:r>
          </w:p>
        </w:tc>
        <w:tc>
          <w:tcPr>
            <w:tcW w:w="1134" w:type="dxa"/>
            <w:vAlign w:val="center"/>
          </w:tcPr>
          <w:p>
            <w:pPr>
              <w:pStyle w:val="12"/>
            </w:pPr>
            <w:r>
              <w:t>2.69</w:t>
            </w:r>
          </w:p>
        </w:tc>
        <w:tc>
          <w:tcPr>
            <w:tcW w:w="1134" w:type="dxa"/>
            <w:vAlign w:val="center"/>
          </w:tcPr>
          <w:p>
            <w:pPr>
              <w:pStyle w:val="12"/>
            </w:pPr>
            <w:r>
              <w:t>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31.13</w:t>
            </w:r>
          </w:p>
        </w:tc>
        <w:tc>
          <w:tcPr>
            <w:tcW w:w="1134" w:type="dxa"/>
            <w:vAlign w:val="center"/>
          </w:tcPr>
          <w:p>
            <w:pPr>
              <w:pStyle w:val="12"/>
            </w:pPr>
            <w:r>
              <w:t>31.13</w:t>
            </w:r>
          </w:p>
        </w:tc>
        <w:tc>
          <w:tcPr>
            <w:tcW w:w="1134" w:type="dxa"/>
            <w:vAlign w:val="center"/>
          </w:tcPr>
          <w:p>
            <w:pPr>
              <w:pStyle w:val="12"/>
            </w:pPr>
            <w:r>
              <w:t>31.13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31.13</w:t>
            </w:r>
          </w:p>
        </w:tc>
        <w:tc>
          <w:tcPr>
            <w:tcW w:w="1134" w:type="dxa"/>
            <w:vAlign w:val="center"/>
          </w:tcPr>
          <w:p>
            <w:pPr>
              <w:pStyle w:val="12"/>
            </w:pPr>
            <w:r>
              <w:t>31.13</w:t>
            </w:r>
          </w:p>
        </w:tc>
        <w:tc>
          <w:tcPr>
            <w:tcW w:w="1134" w:type="dxa"/>
            <w:vAlign w:val="center"/>
          </w:tcPr>
          <w:p>
            <w:pPr>
              <w:pStyle w:val="12"/>
            </w:pPr>
            <w:r>
              <w:t>31.13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31.13</w:t>
            </w:r>
          </w:p>
        </w:tc>
        <w:tc>
          <w:tcPr>
            <w:tcW w:w="1134" w:type="dxa"/>
            <w:vAlign w:val="center"/>
          </w:tcPr>
          <w:p>
            <w:pPr>
              <w:pStyle w:val="12"/>
            </w:pPr>
            <w:r>
              <w:t>31.13</w:t>
            </w:r>
          </w:p>
        </w:tc>
        <w:tc>
          <w:tcPr>
            <w:tcW w:w="1134" w:type="dxa"/>
            <w:vAlign w:val="center"/>
          </w:tcPr>
          <w:p>
            <w:pPr>
              <w:pStyle w:val="12"/>
            </w:pPr>
            <w:r>
              <w:t>31.13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10027.90</w:t>
            </w:r>
          </w:p>
        </w:tc>
        <w:tc>
          <w:tcPr>
            <w:tcW w:w="1134" w:type="dxa"/>
            <w:vAlign w:val="center"/>
          </w:tcPr>
          <w:p>
            <w:pPr>
              <w:pStyle w:val="12"/>
            </w:pPr>
            <w:r>
              <w:t>10027.90</w:t>
            </w:r>
          </w:p>
        </w:tc>
        <w:tc>
          <w:tcPr>
            <w:tcW w:w="1134" w:type="dxa"/>
            <w:vAlign w:val="center"/>
          </w:tcPr>
          <w:p>
            <w:pPr>
              <w:pStyle w:val="12"/>
            </w:pPr>
            <w:r>
              <w:t>10027.90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10027.90</w:t>
            </w:r>
          </w:p>
        </w:tc>
        <w:tc>
          <w:tcPr>
            <w:tcW w:w="1134" w:type="dxa"/>
            <w:vAlign w:val="center"/>
          </w:tcPr>
          <w:p>
            <w:pPr>
              <w:pStyle w:val="12"/>
            </w:pPr>
            <w:r>
              <w:t>10027.90</w:t>
            </w:r>
          </w:p>
        </w:tc>
        <w:tc>
          <w:tcPr>
            <w:tcW w:w="1134" w:type="dxa"/>
            <w:vAlign w:val="center"/>
          </w:tcPr>
          <w:p>
            <w:pPr>
              <w:pStyle w:val="12"/>
            </w:pPr>
            <w:r>
              <w:t>10027.90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2150899</w:t>
            </w:r>
          </w:p>
        </w:tc>
        <w:tc>
          <w:tcPr>
            <w:tcW w:w="1559" w:type="dxa"/>
            <w:vAlign w:val="center"/>
          </w:tcPr>
          <w:p>
            <w:pPr>
              <w:pStyle w:val="13"/>
            </w:pPr>
            <w:r>
              <w:t>其他支持中小企业发展和管理支出</w:t>
            </w:r>
          </w:p>
        </w:tc>
        <w:tc>
          <w:tcPr>
            <w:tcW w:w="1134" w:type="dxa"/>
            <w:vAlign w:val="center"/>
          </w:tcPr>
          <w:p>
            <w:pPr>
              <w:pStyle w:val="12"/>
            </w:pPr>
            <w:r>
              <w:t>10027.90</w:t>
            </w:r>
          </w:p>
        </w:tc>
        <w:tc>
          <w:tcPr>
            <w:tcW w:w="1134" w:type="dxa"/>
            <w:vAlign w:val="center"/>
          </w:tcPr>
          <w:p>
            <w:pPr>
              <w:pStyle w:val="12"/>
            </w:pPr>
            <w:r>
              <w:t>10027.90</w:t>
            </w:r>
          </w:p>
        </w:tc>
        <w:tc>
          <w:tcPr>
            <w:tcW w:w="1134" w:type="dxa"/>
            <w:vAlign w:val="center"/>
          </w:tcPr>
          <w:p>
            <w:pPr>
              <w:pStyle w:val="12"/>
            </w:pPr>
            <w:r>
              <w:t>10027.90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57.33</w:t>
            </w:r>
          </w:p>
        </w:tc>
        <w:tc>
          <w:tcPr>
            <w:tcW w:w="1134" w:type="dxa"/>
            <w:vAlign w:val="center"/>
          </w:tcPr>
          <w:p>
            <w:pPr>
              <w:pStyle w:val="12"/>
            </w:pPr>
            <w:r>
              <w:t>57.33</w:t>
            </w:r>
          </w:p>
        </w:tc>
        <w:tc>
          <w:tcPr>
            <w:tcW w:w="1134" w:type="dxa"/>
            <w:vAlign w:val="center"/>
          </w:tcPr>
          <w:p>
            <w:pPr>
              <w:pStyle w:val="12"/>
            </w:pPr>
            <w:r>
              <w:t>57.33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57.33</w:t>
            </w:r>
          </w:p>
        </w:tc>
        <w:tc>
          <w:tcPr>
            <w:tcW w:w="1134" w:type="dxa"/>
            <w:vAlign w:val="center"/>
          </w:tcPr>
          <w:p>
            <w:pPr>
              <w:pStyle w:val="12"/>
            </w:pPr>
            <w:r>
              <w:t>57.33</w:t>
            </w:r>
          </w:p>
        </w:tc>
        <w:tc>
          <w:tcPr>
            <w:tcW w:w="1134" w:type="dxa"/>
            <w:vAlign w:val="center"/>
          </w:tcPr>
          <w:p>
            <w:pPr>
              <w:pStyle w:val="12"/>
            </w:pPr>
            <w:r>
              <w:t>57.33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57.33</w:t>
            </w:r>
          </w:p>
        </w:tc>
        <w:tc>
          <w:tcPr>
            <w:tcW w:w="1134" w:type="dxa"/>
            <w:vAlign w:val="center"/>
          </w:tcPr>
          <w:p>
            <w:pPr>
              <w:pStyle w:val="12"/>
            </w:pPr>
            <w:r>
              <w:t>57.33</w:t>
            </w:r>
          </w:p>
        </w:tc>
        <w:tc>
          <w:tcPr>
            <w:tcW w:w="1134" w:type="dxa"/>
            <w:vAlign w:val="center"/>
          </w:tcPr>
          <w:p>
            <w:pPr>
              <w:pStyle w:val="12"/>
            </w:pPr>
            <w:r>
              <w:t>57.33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222</w:t>
            </w:r>
          </w:p>
        </w:tc>
        <w:tc>
          <w:tcPr>
            <w:tcW w:w="1559" w:type="dxa"/>
            <w:vAlign w:val="center"/>
          </w:tcPr>
          <w:p>
            <w:pPr>
              <w:pStyle w:val="13"/>
            </w:pPr>
            <w:r>
              <w:t>粮油物资储备支出</w:t>
            </w:r>
          </w:p>
        </w:tc>
        <w:tc>
          <w:tcPr>
            <w:tcW w:w="1134" w:type="dxa"/>
            <w:vAlign w:val="center"/>
          </w:tcPr>
          <w:p>
            <w:pPr>
              <w:pStyle w:val="12"/>
            </w:pPr>
            <w:r>
              <w:t>320.80</w:t>
            </w:r>
          </w:p>
        </w:tc>
        <w:tc>
          <w:tcPr>
            <w:tcW w:w="1134" w:type="dxa"/>
            <w:vAlign w:val="center"/>
          </w:tcPr>
          <w:p>
            <w:pPr>
              <w:pStyle w:val="12"/>
            </w:pPr>
            <w:r>
              <w:t>320.80</w:t>
            </w:r>
          </w:p>
        </w:tc>
        <w:tc>
          <w:tcPr>
            <w:tcW w:w="1134" w:type="dxa"/>
            <w:vAlign w:val="center"/>
          </w:tcPr>
          <w:p>
            <w:pPr>
              <w:pStyle w:val="12"/>
            </w:pPr>
            <w:r>
              <w:t>320.80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22201</w:t>
            </w:r>
          </w:p>
        </w:tc>
        <w:tc>
          <w:tcPr>
            <w:tcW w:w="1559" w:type="dxa"/>
            <w:vAlign w:val="center"/>
          </w:tcPr>
          <w:p>
            <w:pPr>
              <w:pStyle w:val="13"/>
            </w:pPr>
            <w:r>
              <w:t>粮油物资事务</w:t>
            </w:r>
          </w:p>
        </w:tc>
        <w:tc>
          <w:tcPr>
            <w:tcW w:w="1134" w:type="dxa"/>
            <w:vAlign w:val="center"/>
          </w:tcPr>
          <w:p>
            <w:pPr>
              <w:pStyle w:val="12"/>
            </w:pPr>
            <w:r>
              <w:t>153.00</w:t>
            </w:r>
          </w:p>
        </w:tc>
        <w:tc>
          <w:tcPr>
            <w:tcW w:w="1134" w:type="dxa"/>
            <w:vAlign w:val="center"/>
          </w:tcPr>
          <w:p>
            <w:pPr>
              <w:pStyle w:val="12"/>
            </w:pPr>
            <w:r>
              <w:t>153.00</w:t>
            </w:r>
          </w:p>
        </w:tc>
        <w:tc>
          <w:tcPr>
            <w:tcW w:w="1134" w:type="dxa"/>
            <w:vAlign w:val="center"/>
          </w:tcPr>
          <w:p>
            <w:pPr>
              <w:pStyle w:val="12"/>
            </w:pPr>
            <w:r>
              <w:t>153.00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2220101</w:t>
            </w:r>
          </w:p>
        </w:tc>
        <w:tc>
          <w:tcPr>
            <w:tcW w:w="1559" w:type="dxa"/>
            <w:vAlign w:val="center"/>
          </w:tcPr>
          <w:p>
            <w:pPr>
              <w:pStyle w:val="13"/>
            </w:pPr>
            <w:r>
              <w:t>行政运行</w:t>
            </w:r>
          </w:p>
        </w:tc>
        <w:tc>
          <w:tcPr>
            <w:tcW w:w="1134" w:type="dxa"/>
            <w:vAlign w:val="center"/>
          </w:tcPr>
          <w:p>
            <w:pPr>
              <w:pStyle w:val="12"/>
            </w:pPr>
            <w:r>
              <w:t>93.00</w:t>
            </w:r>
          </w:p>
        </w:tc>
        <w:tc>
          <w:tcPr>
            <w:tcW w:w="1134" w:type="dxa"/>
            <w:vAlign w:val="center"/>
          </w:tcPr>
          <w:p>
            <w:pPr>
              <w:pStyle w:val="12"/>
            </w:pPr>
            <w:r>
              <w:t>93.00</w:t>
            </w:r>
          </w:p>
        </w:tc>
        <w:tc>
          <w:tcPr>
            <w:tcW w:w="1134" w:type="dxa"/>
            <w:vAlign w:val="center"/>
          </w:tcPr>
          <w:p>
            <w:pPr>
              <w:pStyle w:val="12"/>
            </w:pPr>
            <w:r>
              <w:t>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2220199</w:t>
            </w:r>
          </w:p>
        </w:tc>
        <w:tc>
          <w:tcPr>
            <w:tcW w:w="1559" w:type="dxa"/>
            <w:vAlign w:val="center"/>
          </w:tcPr>
          <w:p>
            <w:pPr>
              <w:pStyle w:val="13"/>
            </w:pPr>
            <w:r>
              <w:t>其他粮油物资事务支出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22204</w:t>
            </w:r>
          </w:p>
        </w:tc>
        <w:tc>
          <w:tcPr>
            <w:tcW w:w="1559" w:type="dxa"/>
            <w:vAlign w:val="center"/>
          </w:tcPr>
          <w:p>
            <w:pPr>
              <w:pStyle w:val="13"/>
            </w:pPr>
            <w:r>
              <w:t>粮油储备</w:t>
            </w:r>
          </w:p>
        </w:tc>
        <w:tc>
          <w:tcPr>
            <w:tcW w:w="1134" w:type="dxa"/>
            <w:vAlign w:val="center"/>
          </w:tcPr>
          <w:p>
            <w:pPr>
              <w:pStyle w:val="12"/>
            </w:pPr>
            <w:r>
              <w:t>167.80</w:t>
            </w:r>
          </w:p>
        </w:tc>
        <w:tc>
          <w:tcPr>
            <w:tcW w:w="1134" w:type="dxa"/>
            <w:vAlign w:val="center"/>
          </w:tcPr>
          <w:p>
            <w:pPr>
              <w:pStyle w:val="12"/>
            </w:pPr>
            <w:r>
              <w:t>167.80</w:t>
            </w:r>
          </w:p>
        </w:tc>
        <w:tc>
          <w:tcPr>
            <w:tcW w:w="1134" w:type="dxa"/>
            <w:vAlign w:val="center"/>
          </w:tcPr>
          <w:p>
            <w:pPr>
              <w:pStyle w:val="12"/>
            </w:pPr>
            <w:r>
              <w:t>167.80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2220401</w:t>
            </w:r>
          </w:p>
        </w:tc>
        <w:tc>
          <w:tcPr>
            <w:tcW w:w="1559" w:type="dxa"/>
            <w:vAlign w:val="center"/>
          </w:tcPr>
          <w:p>
            <w:pPr>
              <w:pStyle w:val="13"/>
            </w:pPr>
            <w:r>
              <w:t>储备粮油补贴</w:t>
            </w:r>
          </w:p>
        </w:tc>
        <w:tc>
          <w:tcPr>
            <w:tcW w:w="1134" w:type="dxa"/>
            <w:vAlign w:val="center"/>
          </w:tcPr>
          <w:p>
            <w:pPr>
              <w:pStyle w:val="12"/>
            </w:pPr>
            <w:r>
              <w:t>167.80</w:t>
            </w:r>
          </w:p>
        </w:tc>
        <w:tc>
          <w:tcPr>
            <w:tcW w:w="1134" w:type="dxa"/>
            <w:vAlign w:val="center"/>
          </w:tcPr>
          <w:p>
            <w:pPr>
              <w:pStyle w:val="12"/>
            </w:pPr>
            <w:r>
              <w:t>167.80</w:t>
            </w:r>
          </w:p>
        </w:tc>
        <w:tc>
          <w:tcPr>
            <w:tcW w:w="1134" w:type="dxa"/>
            <w:vAlign w:val="center"/>
          </w:tcPr>
          <w:p>
            <w:pPr>
              <w:pStyle w:val="12"/>
            </w:pPr>
            <w:r>
              <w:t>167.80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303成安县发展和改革局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12093.30</w:t>
            </w:r>
          </w:p>
        </w:tc>
        <w:tc>
          <w:tcPr>
            <w:tcW w:w="1361" w:type="dxa"/>
            <w:vAlign w:val="center"/>
          </w:tcPr>
          <w:p>
            <w:pPr>
              <w:pStyle w:val="16"/>
            </w:pPr>
            <w:r>
              <w:t>1243.15</w:t>
            </w:r>
          </w:p>
        </w:tc>
        <w:tc>
          <w:tcPr>
            <w:tcW w:w="1361" w:type="dxa"/>
            <w:vAlign w:val="center"/>
          </w:tcPr>
          <w:p>
            <w:pPr>
              <w:pStyle w:val="16"/>
            </w:pPr>
            <w:r>
              <w:t>10850.15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1395.22</w:t>
            </w:r>
          </w:p>
        </w:tc>
        <w:tc>
          <w:tcPr>
            <w:tcW w:w="1361" w:type="dxa"/>
            <w:vAlign w:val="center"/>
          </w:tcPr>
          <w:p>
            <w:pPr>
              <w:pStyle w:val="12"/>
            </w:pPr>
            <w:r>
              <w:t>893.77</w:t>
            </w:r>
          </w:p>
        </w:tc>
        <w:tc>
          <w:tcPr>
            <w:tcW w:w="1361" w:type="dxa"/>
            <w:vAlign w:val="center"/>
          </w:tcPr>
          <w:p>
            <w:pPr>
              <w:pStyle w:val="12"/>
            </w:pPr>
            <w:r>
              <w:t>501.45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1395.22</w:t>
            </w:r>
          </w:p>
        </w:tc>
        <w:tc>
          <w:tcPr>
            <w:tcW w:w="1361" w:type="dxa"/>
            <w:vAlign w:val="center"/>
          </w:tcPr>
          <w:p>
            <w:pPr>
              <w:pStyle w:val="12"/>
            </w:pPr>
            <w:r>
              <w:t>893.77</w:t>
            </w:r>
          </w:p>
        </w:tc>
        <w:tc>
          <w:tcPr>
            <w:tcW w:w="1361" w:type="dxa"/>
            <w:vAlign w:val="center"/>
          </w:tcPr>
          <w:p>
            <w:pPr>
              <w:pStyle w:val="12"/>
            </w:pPr>
            <w:r>
              <w:t>501.45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936.03</w:t>
            </w:r>
          </w:p>
        </w:tc>
        <w:tc>
          <w:tcPr>
            <w:tcW w:w="1361" w:type="dxa"/>
            <w:vAlign w:val="center"/>
          </w:tcPr>
          <w:p>
            <w:pPr>
              <w:pStyle w:val="12"/>
            </w:pPr>
            <w:r>
              <w:t>893.77</w:t>
            </w:r>
          </w:p>
        </w:tc>
        <w:tc>
          <w:tcPr>
            <w:tcW w:w="1361" w:type="dxa"/>
            <w:vAlign w:val="center"/>
          </w:tcPr>
          <w:p>
            <w:pPr>
              <w:pStyle w:val="12"/>
            </w:pPr>
            <w:r>
              <w:t>42.26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2010402</w:t>
            </w:r>
          </w:p>
        </w:tc>
        <w:tc>
          <w:tcPr>
            <w:tcW w:w="4535" w:type="dxa"/>
            <w:vAlign w:val="center"/>
          </w:tcPr>
          <w:p>
            <w:pPr>
              <w:pStyle w:val="13"/>
            </w:pPr>
            <w:r>
              <w:t>一般行政管理事务</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2010403</w:t>
            </w:r>
          </w:p>
        </w:tc>
        <w:tc>
          <w:tcPr>
            <w:tcW w:w="4535" w:type="dxa"/>
            <w:vAlign w:val="center"/>
          </w:tcPr>
          <w:p>
            <w:pPr>
              <w:pStyle w:val="13"/>
            </w:pPr>
            <w:r>
              <w:t>机关服务</w:t>
            </w:r>
          </w:p>
        </w:tc>
        <w:tc>
          <w:tcPr>
            <w:tcW w:w="1361" w:type="dxa"/>
            <w:vAlign w:val="center"/>
          </w:tcPr>
          <w:p>
            <w:pPr>
              <w:pStyle w:val="12"/>
            </w:pPr>
            <w:r>
              <w:t>3.94</w:t>
            </w:r>
          </w:p>
        </w:tc>
        <w:tc>
          <w:tcPr>
            <w:tcW w:w="1361" w:type="dxa"/>
            <w:vAlign w:val="center"/>
          </w:tcPr>
          <w:p>
            <w:pPr>
              <w:pStyle w:val="12"/>
            </w:pPr>
          </w:p>
        </w:tc>
        <w:tc>
          <w:tcPr>
            <w:tcW w:w="1361" w:type="dxa"/>
            <w:vAlign w:val="center"/>
          </w:tcPr>
          <w:p>
            <w:pPr>
              <w:pStyle w:val="12"/>
            </w:pPr>
            <w:r>
              <w:t>3.94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2010408</w:t>
            </w:r>
          </w:p>
        </w:tc>
        <w:tc>
          <w:tcPr>
            <w:tcW w:w="4535" w:type="dxa"/>
            <w:vAlign w:val="center"/>
          </w:tcPr>
          <w:p>
            <w:pPr>
              <w:pStyle w:val="13"/>
            </w:pPr>
            <w:r>
              <w:t>物价管理</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2010450</w:t>
            </w:r>
          </w:p>
        </w:tc>
        <w:tc>
          <w:tcPr>
            <w:tcW w:w="4535" w:type="dxa"/>
            <w:vAlign w:val="center"/>
          </w:tcPr>
          <w:p>
            <w:pPr>
              <w:pStyle w:val="13"/>
            </w:pPr>
            <w:r>
              <w:t>事业运行</w:t>
            </w: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2010499</w:t>
            </w:r>
          </w:p>
        </w:tc>
        <w:tc>
          <w:tcPr>
            <w:tcW w:w="4535" w:type="dxa"/>
            <w:vAlign w:val="center"/>
          </w:tcPr>
          <w:p>
            <w:pPr>
              <w:pStyle w:val="13"/>
            </w:pPr>
            <w:r>
              <w:t>其他发展与改革事务支出</w:t>
            </w:r>
          </w:p>
        </w:tc>
        <w:tc>
          <w:tcPr>
            <w:tcW w:w="1361" w:type="dxa"/>
            <w:vAlign w:val="center"/>
          </w:tcPr>
          <w:p>
            <w:pPr>
              <w:pStyle w:val="12"/>
            </w:pPr>
            <w:r>
              <w:t>435.55</w:t>
            </w:r>
          </w:p>
        </w:tc>
        <w:tc>
          <w:tcPr>
            <w:tcW w:w="1361" w:type="dxa"/>
            <w:vAlign w:val="center"/>
          </w:tcPr>
          <w:p>
            <w:pPr>
              <w:pStyle w:val="12"/>
            </w:pPr>
          </w:p>
        </w:tc>
        <w:tc>
          <w:tcPr>
            <w:tcW w:w="1361" w:type="dxa"/>
            <w:vAlign w:val="center"/>
          </w:tcPr>
          <w:p>
            <w:pPr>
              <w:pStyle w:val="12"/>
            </w:pPr>
            <w:r>
              <w:t>435.55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260.92</w:t>
            </w:r>
          </w:p>
        </w:tc>
        <w:tc>
          <w:tcPr>
            <w:tcW w:w="1361" w:type="dxa"/>
            <w:vAlign w:val="center"/>
          </w:tcPr>
          <w:p>
            <w:pPr>
              <w:pStyle w:val="12"/>
            </w:pPr>
            <w:r>
              <w:t>260.92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258.23</w:t>
            </w:r>
          </w:p>
        </w:tc>
        <w:tc>
          <w:tcPr>
            <w:tcW w:w="1361" w:type="dxa"/>
            <w:vAlign w:val="center"/>
          </w:tcPr>
          <w:p>
            <w:pPr>
              <w:pStyle w:val="12"/>
            </w:pPr>
            <w:r>
              <w:t>258.23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95.23</w:t>
            </w:r>
          </w:p>
        </w:tc>
        <w:tc>
          <w:tcPr>
            <w:tcW w:w="1361" w:type="dxa"/>
            <w:vAlign w:val="center"/>
          </w:tcPr>
          <w:p>
            <w:pPr>
              <w:pStyle w:val="12"/>
            </w:pPr>
            <w:r>
              <w:t>95.23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163.00</w:t>
            </w:r>
          </w:p>
        </w:tc>
        <w:tc>
          <w:tcPr>
            <w:tcW w:w="1361" w:type="dxa"/>
            <w:vAlign w:val="center"/>
          </w:tcPr>
          <w:p>
            <w:pPr>
              <w:pStyle w:val="12"/>
            </w:pPr>
            <w:r>
              <w:t>163.00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2.69</w:t>
            </w:r>
          </w:p>
        </w:tc>
        <w:tc>
          <w:tcPr>
            <w:tcW w:w="1361" w:type="dxa"/>
            <w:vAlign w:val="center"/>
          </w:tcPr>
          <w:p>
            <w:pPr>
              <w:pStyle w:val="12"/>
            </w:pPr>
            <w:r>
              <w:t>2.69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2.69</w:t>
            </w:r>
          </w:p>
        </w:tc>
        <w:tc>
          <w:tcPr>
            <w:tcW w:w="1361" w:type="dxa"/>
            <w:vAlign w:val="center"/>
          </w:tcPr>
          <w:p>
            <w:pPr>
              <w:pStyle w:val="12"/>
            </w:pPr>
            <w:r>
              <w:t>2.69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31.13</w:t>
            </w:r>
          </w:p>
        </w:tc>
        <w:tc>
          <w:tcPr>
            <w:tcW w:w="1361" w:type="dxa"/>
            <w:vAlign w:val="center"/>
          </w:tcPr>
          <w:p>
            <w:pPr>
              <w:pStyle w:val="12"/>
            </w:pPr>
            <w:r>
              <w:t>31.13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31.13</w:t>
            </w:r>
          </w:p>
        </w:tc>
        <w:tc>
          <w:tcPr>
            <w:tcW w:w="1361" w:type="dxa"/>
            <w:vAlign w:val="center"/>
          </w:tcPr>
          <w:p>
            <w:pPr>
              <w:pStyle w:val="12"/>
            </w:pPr>
            <w:r>
              <w:t>31.13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31.13</w:t>
            </w:r>
          </w:p>
        </w:tc>
        <w:tc>
          <w:tcPr>
            <w:tcW w:w="1361" w:type="dxa"/>
            <w:vAlign w:val="center"/>
          </w:tcPr>
          <w:p>
            <w:pPr>
              <w:pStyle w:val="12"/>
            </w:pPr>
            <w:r>
              <w:t>31.13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10027.90</w:t>
            </w:r>
          </w:p>
        </w:tc>
        <w:tc>
          <w:tcPr>
            <w:tcW w:w="1361" w:type="dxa"/>
            <w:vAlign w:val="center"/>
          </w:tcPr>
          <w:p>
            <w:pPr>
              <w:pStyle w:val="12"/>
            </w:pPr>
          </w:p>
        </w:tc>
        <w:tc>
          <w:tcPr>
            <w:tcW w:w="1361" w:type="dxa"/>
            <w:vAlign w:val="center"/>
          </w:tcPr>
          <w:p>
            <w:pPr>
              <w:pStyle w:val="12"/>
            </w:pPr>
            <w:r>
              <w:t>10027.90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10027.90</w:t>
            </w:r>
          </w:p>
        </w:tc>
        <w:tc>
          <w:tcPr>
            <w:tcW w:w="1361" w:type="dxa"/>
            <w:vAlign w:val="center"/>
          </w:tcPr>
          <w:p>
            <w:pPr>
              <w:pStyle w:val="12"/>
            </w:pPr>
          </w:p>
        </w:tc>
        <w:tc>
          <w:tcPr>
            <w:tcW w:w="1361" w:type="dxa"/>
            <w:vAlign w:val="center"/>
          </w:tcPr>
          <w:p>
            <w:pPr>
              <w:pStyle w:val="12"/>
            </w:pPr>
            <w:r>
              <w:t>10027.90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2150899</w:t>
            </w:r>
          </w:p>
        </w:tc>
        <w:tc>
          <w:tcPr>
            <w:tcW w:w="4535" w:type="dxa"/>
            <w:vAlign w:val="center"/>
          </w:tcPr>
          <w:p>
            <w:pPr>
              <w:pStyle w:val="13"/>
            </w:pPr>
            <w:r>
              <w:t>其他支持中小企业发展和管理支出</w:t>
            </w:r>
          </w:p>
        </w:tc>
        <w:tc>
          <w:tcPr>
            <w:tcW w:w="1361" w:type="dxa"/>
            <w:vAlign w:val="center"/>
          </w:tcPr>
          <w:p>
            <w:pPr>
              <w:pStyle w:val="12"/>
            </w:pPr>
            <w:r>
              <w:t>10027.90</w:t>
            </w:r>
          </w:p>
        </w:tc>
        <w:tc>
          <w:tcPr>
            <w:tcW w:w="1361" w:type="dxa"/>
            <w:vAlign w:val="center"/>
          </w:tcPr>
          <w:p>
            <w:pPr>
              <w:pStyle w:val="12"/>
            </w:pPr>
          </w:p>
        </w:tc>
        <w:tc>
          <w:tcPr>
            <w:tcW w:w="1361" w:type="dxa"/>
            <w:vAlign w:val="center"/>
          </w:tcPr>
          <w:p>
            <w:pPr>
              <w:pStyle w:val="12"/>
            </w:pPr>
            <w:r>
              <w:t>10027.90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57.33</w:t>
            </w:r>
          </w:p>
        </w:tc>
        <w:tc>
          <w:tcPr>
            <w:tcW w:w="1361" w:type="dxa"/>
            <w:vAlign w:val="center"/>
          </w:tcPr>
          <w:p>
            <w:pPr>
              <w:pStyle w:val="12"/>
            </w:pPr>
            <w:r>
              <w:t>57.33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57.33</w:t>
            </w:r>
          </w:p>
        </w:tc>
        <w:tc>
          <w:tcPr>
            <w:tcW w:w="1361" w:type="dxa"/>
            <w:vAlign w:val="center"/>
          </w:tcPr>
          <w:p>
            <w:pPr>
              <w:pStyle w:val="12"/>
            </w:pPr>
            <w:r>
              <w:t>57.33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57.33</w:t>
            </w:r>
          </w:p>
        </w:tc>
        <w:tc>
          <w:tcPr>
            <w:tcW w:w="1361" w:type="dxa"/>
            <w:vAlign w:val="center"/>
          </w:tcPr>
          <w:p>
            <w:pPr>
              <w:pStyle w:val="12"/>
            </w:pPr>
            <w:r>
              <w:t>57.33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222</w:t>
            </w:r>
          </w:p>
        </w:tc>
        <w:tc>
          <w:tcPr>
            <w:tcW w:w="4535" w:type="dxa"/>
            <w:vAlign w:val="center"/>
          </w:tcPr>
          <w:p>
            <w:pPr>
              <w:pStyle w:val="13"/>
            </w:pPr>
            <w:r>
              <w:t>粮油物资储备支出</w:t>
            </w:r>
          </w:p>
        </w:tc>
        <w:tc>
          <w:tcPr>
            <w:tcW w:w="1361" w:type="dxa"/>
            <w:vAlign w:val="center"/>
          </w:tcPr>
          <w:p>
            <w:pPr>
              <w:pStyle w:val="12"/>
            </w:pPr>
            <w:r>
              <w:t>320.80</w:t>
            </w:r>
          </w:p>
        </w:tc>
        <w:tc>
          <w:tcPr>
            <w:tcW w:w="1361" w:type="dxa"/>
            <w:vAlign w:val="center"/>
          </w:tcPr>
          <w:p>
            <w:pPr>
              <w:pStyle w:val="12"/>
            </w:pPr>
          </w:p>
        </w:tc>
        <w:tc>
          <w:tcPr>
            <w:tcW w:w="1361" w:type="dxa"/>
            <w:vAlign w:val="center"/>
          </w:tcPr>
          <w:p>
            <w:pPr>
              <w:pStyle w:val="12"/>
            </w:pPr>
            <w:r>
              <w:t>320.80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22201</w:t>
            </w:r>
          </w:p>
        </w:tc>
        <w:tc>
          <w:tcPr>
            <w:tcW w:w="4535" w:type="dxa"/>
            <w:vAlign w:val="center"/>
          </w:tcPr>
          <w:p>
            <w:pPr>
              <w:pStyle w:val="13"/>
            </w:pPr>
            <w:r>
              <w:t>粮油物资事务</w:t>
            </w:r>
          </w:p>
        </w:tc>
        <w:tc>
          <w:tcPr>
            <w:tcW w:w="1361" w:type="dxa"/>
            <w:vAlign w:val="center"/>
          </w:tcPr>
          <w:p>
            <w:pPr>
              <w:pStyle w:val="12"/>
            </w:pPr>
            <w:r>
              <w:t>153.00</w:t>
            </w:r>
          </w:p>
        </w:tc>
        <w:tc>
          <w:tcPr>
            <w:tcW w:w="1361" w:type="dxa"/>
            <w:vAlign w:val="center"/>
          </w:tcPr>
          <w:p>
            <w:pPr>
              <w:pStyle w:val="12"/>
            </w:pPr>
          </w:p>
        </w:tc>
        <w:tc>
          <w:tcPr>
            <w:tcW w:w="1361" w:type="dxa"/>
            <w:vAlign w:val="center"/>
          </w:tcPr>
          <w:p>
            <w:pPr>
              <w:pStyle w:val="12"/>
            </w:pPr>
            <w:r>
              <w:t>153.00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2220101</w:t>
            </w:r>
          </w:p>
        </w:tc>
        <w:tc>
          <w:tcPr>
            <w:tcW w:w="4535" w:type="dxa"/>
            <w:vAlign w:val="center"/>
          </w:tcPr>
          <w:p>
            <w:pPr>
              <w:pStyle w:val="13"/>
            </w:pPr>
            <w:r>
              <w:t>行政运行</w:t>
            </w:r>
          </w:p>
        </w:tc>
        <w:tc>
          <w:tcPr>
            <w:tcW w:w="1361" w:type="dxa"/>
            <w:vAlign w:val="center"/>
          </w:tcPr>
          <w:p>
            <w:pPr>
              <w:pStyle w:val="12"/>
            </w:pPr>
            <w:r>
              <w:t>93.00</w:t>
            </w:r>
          </w:p>
        </w:tc>
        <w:tc>
          <w:tcPr>
            <w:tcW w:w="1361" w:type="dxa"/>
            <w:vAlign w:val="center"/>
          </w:tcPr>
          <w:p>
            <w:pPr>
              <w:pStyle w:val="12"/>
            </w:pPr>
          </w:p>
        </w:tc>
        <w:tc>
          <w:tcPr>
            <w:tcW w:w="1361" w:type="dxa"/>
            <w:vAlign w:val="center"/>
          </w:tcPr>
          <w:p>
            <w:pPr>
              <w:pStyle w:val="12"/>
            </w:pPr>
            <w:r>
              <w:t>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2220199</w:t>
            </w:r>
          </w:p>
        </w:tc>
        <w:tc>
          <w:tcPr>
            <w:tcW w:w="4535" w:type="dxa"/>
            <w:vAlign w:val="center"/>
          </w:tcPr>
          <w:p>
            <w:pPr>
              <w:pStyle w:val="13"/>
            </w:pPr>
            <w:r>
              <w:t>其他粮油物资事务支出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22204</w:t>
            </w:r>
          </w:p>
        </w:tc>
        <w:tc>
          <w:tcPr>
            <w:tcW w:w="4535" w:type="dxa"/>
            <w:vAlign w:val="center"/>
          </w:tcPr>
          <w:p>
            <w:pPr>
              <w:pStyle w:val="13"/>
            </w:pPr>
            <w:r>
              <w:t>粮油储备</w:t>
            </w:r>
          </w:p>
        </w:tc>
        <w:tc>
          <w:tcPr>
            <w:tcW w:w="1361" w:type="dxa"/>
            <w:vAlign w:val="center"/>
          </w:tcPr>
          <w:p>
            <w:pPr>
              <w:pStyle w:val="12"/>
            </w:pPr>
            <w:r>
              <w:t>167.80</w:t>
            </w:r>
          </w:p>
        </w:tc>
        <w:tc>
          <w:tcPr>
            <w:tcW w:w="1361" w:type="dxa"/>
            <w:vAlign w:val="center"/>
          </w:tcPr>
          <w:p>
            <w:pPr>
              <w:pStyle w:val="12"/>
            </w:pPr>
          </w:p>
        </w:tc>
        <w:tc>
          <w:tcPr>
            <w:tcW w:w="1361" w:type="dxa"/>
            <w:vAlign w:val="center"/>
          </w:tcPr>
          <w:p>
            <w:pPr>
              <w:pStyle w:val="12"/>
            </w:pPr>
            <w:r>
              <w:t>167.80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2220401</w:t>
            </w:r>
          </w:p>
        </w:tc>
        <w:tc>
          <w:tcPr>
            <w:tcW w:w="4535" w:type="dxa"/>
            <w:vAlign w:val="center"/>
          </w:tcPr>
          <w:p>
            <w:pPr>
              <w:pStyle w:val="13"/>
            </w:pPr>
            <w:r>
              <w:t>储备粮油补贴</w:t>
            </w:r>
          </w:p>
        </w:tc>
        <w:tc>
          <w:tcPr>
            <w:tcW w:w="1361" w:type="dxa"/>
            <w:vAlign w:val="center"/>
          </w:tcPr>
          <w:p>
            <w:pPr>
              <w:pStyle w:val="12"/>
            </w:pPr>
            <w:r>
              <w:t>167.80</w:t>
            </w:r>
          </w:p>
        </w:tc>
        <w:tc>
          <w:tcPr>
            <w:tcW w:w="1361" w:type="dxa"/>
            <w:vAlign w:val="center"/>
          </w:tcPr>
          <w:p>
            <w:pPr>
              <w:pStyle w:val="12"/>
            </w:pPr>
          </w:p>
        </w:tc>
        <w:tc>
          <w:tcPr>
            <w:tcW w:w="1361" w:type="dxa"/>
            <w:vAlign w:val="center"/>
          </w:tcPr>
          <w:p>
            <w:pPr>
              <w:pStyle w:val="12"/>
            </w:pPr>
            <w:r>
              <w:t>167.80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303成安县发展和改革局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12093.30</w:t>
            </w:r>
          </w:p>
        </w:tc>
        <w:tc>
          <w:tcPr>
            <w:tcW w:w="3402" w:type="dxa"/>
            <w:vAlign w:val="center"/>
          </w:tcPr>
          <w:p>
            <w:pPr>
              <w:pStyle w:val="13"/>
            </w:pPr>
            <w:r>
              <w:t>一、一般公共服务支出</w:t>
            </w:r>
          </w:p>
        </w:tc>
        <w:tc>
          <w:tcPr>
            <w:tcW w:w="1474" w:type="dxa"/>
            <w:vAlign w:val="center"/>
          </w:tcPr>
          <w:p>
            <w:pPr>
              <w:pStyle w:val="12"/>
            </w:pPr>
            <w:r>
              <w:t>1395.22</w:t>
            </w:r>
          </w:p>
        </w:tc>
        <w:tc>
          <w:tcPr>
            <w:tcW w:w="1474" w:type="dxa"/>
            <w:vAlign w:val="center"/>
          </w:tcPr>
          <w:p>
            <w:pPr>
              <w:pStyle w:val="12"/>
            </w:pPr>
            <w:r>
              <w:t>1395.22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260.92</w:t>
            </w:r>
          </w:p>
        </w:tc>
        <w:tc>
          <w:tcPr>
            <w:tcW w:w="1474" w:type="dxa"/>
            <w:vAlign w:val="center"/>
          </w:tcPr>
          <w:p>
            <w:pPr>
              <w:pStyle w:val="12"/>
            </w:pPr>
            <w:r>
              <w:t>260.92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31.13</w:t>
            </w:r>
          </w:p>
        </w:tc>
        <w:tc>
          <w:tcPr>
            <w:tcW w:w="1474" w:type="dxa"/>
            <w:vAlign w:val="center"/>
          </w:tcPr>
          <w:p>
            <w:pPr>
              <w:pStyle w:val="12"/>
            </w:pPr>
            <w:r>
              <w:t>31.13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10027.90</w:t>
            </w:r>
          </w:p>
        </w:tc>
        <w:tc>
          <w:tcPr>
            <w:tcW w:w="1474" w:type="dxa"/>
            <w:vAlign w:val="center"/>
          </w:tcPr>
          <w:p>
            <w:pPr>
              <w:pStyle w:val="12"/>
            </w:pPr>
            <w:r>
              <w:t>10027.90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57.33</w:t>
            </w:r>
          </w:p>
        </w:tc>
        <w:tc>
          <w:tcPr>
            <w:tcW w:w="1474" w:type="dxa"/>
            <w:vAlign w:val="center"/>
          </w:tcPr>
          <w:p>
            <w:pPr>
              <w:pStyle w:val="12"/>
            </w:pPr>
            <w:r>
              <w:t>57.33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r>
              <w:t>320.80</w:t>
            </w:r>
          </w:p>
        </w:tc>
        <w:tc>
          <w:tcPr>
            <w:tcW w:w="1474" w:type="dxa"/>
            <w:vAlign w:val="center"/>
          </w:tcPr>
          <w:p>
            <w:pPr>
              <w:pStyle w:val="12"/>
            </w:pPr>
            <w:r>
              <w:t>320.80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12093.30</w:t>
            </w:r>
          </w:p>
        </w:tc>
        <w:tc>
          <w:tcPr>
            <w:tcW w:w="3402" w:type="dxa"/>
            <w:vAlign w:val="center"/>
          </w:tcPr>
          <w:p>
            <w:pPr>
              <w:pStyle w:val="15"/>
            </w:pPr>
            <w:r>
              <w:t>本年支出合计</w:t>
            </w:r>
          </w:p>
        </w:tc>
        <w:tc>
          <w:tcPr>
            <w:tcW w:w="1474" w:type="dxa"/>
            <w:vAlign w:val="center"/>
          </w:tcPr>
          <w:p>
            <w:pPr>
              <w:pStyle w:val="16"/>
            </w:pPr>
            <w:r>
              <w:t>12093.30</w:t>
            </w:r>
          </w:p>
        </w:tc>
        <w:tc>
          <w:tcPr>
            <w:tcW w:w="1474" w:type="dxa"/>
            <w:vAlign w:val="center"/>
          </w:tcPr>
          <w:p>
            <w:pPr>
              <w:pStyle w:val="16"/>
            </w:pPr>
            <w:r>
              <w:t>12093.30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12093.30</w:t>
            </w:r>
          </w:p>
        </w:tc>
        <w:tc>
          <w:tcPr>
            <w:tcW w:w="3402" w:type="dxa"/>
            <w:vAlign w:val="center"/>
          </w:tcPr>
          <w:p>
            <w:pPr>
              <w:pStyle w:val="15"/>
            </w:pPr>
            <w:r>
              <w:t>支出总计</w:t>
            </w:r>
          </w:p>
        </w:tc>
        <w:tc>
          <w:tcPr>
            <w:tcW w:w="1474" w:type="dxa"/>
            <w:vAlign w:val="center"/>
          </w:tcPr>
          <w:p>
            <w:pPr>
              <w:pStyle w:val="16"/>
            </w:pPr>
            <w:r>
              <w:t>12093.30</w:t>
            </w:r>
          </w:p>
        </w:tc>
        <w:tc>
          <w:tcPr>
            <w:tcW w:w="1474" w:type="dxa"/>
            <w:vAlign w:val="center"/>
          </w:tcPr>
          <w:p>
            <w:pPr>
              <w:pStyle w:val="16"/>
            </w:pPr>
            <w:r>
              <w:t>12093.30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303成安县发展和改革局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12093.30</w:t>
            </w:r>
          </w:p>
        </w:tc>
        <w:tc>
          <w:tcPr>
            <w:tcW w:w="2551" w:type="dxa"/>
            <w:vAlign w:val="center"/>
          </w:tcPr>
          <w:p>
            <w:pPr>
              <w:pStyle w:val="16"/>
            </w:pPr>
            <w:r>
              <w:t>1243.15</w:t>
            </w:r>
          </w:p>
        </w:tc>
        <w:tc>
          <w:tcPr>
            <w:tcW w:w="2551" w:type="dxa"/>
            <w:vAlign w:val="center"/>
          </w:tcPr>
          <w:p>
            <w:pPr>
              <w:pStyle w:val="16"/>
            </w:pPr>
            <w:r>
              <w:t>10850.15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1395.22</w:t>
            </w:r>
          </w:p>
        </w:tc>
        <w:tc>
          <w:tcPr>
            <w:tcW w:w="2551" w:type="dxa"/>
            <w:vAlign w:val="center"/>
          </w:tcPr>
          <w:p>
            <w:pPr>
              <w:pStyle w:val="12"/>
            </w:pPr>
            <w:r>
              <w:t>893.77</w:t>
            </w:r>
          </w:p>
        </w:tc>
        <w:tc>
          <w:tcPr>
            <w:tcW w:w="2551" w:type="dxa"/>
            <w:vAlign w:val="center"/>
          </w:tcPr>
          <w:p>
            <w:pPr>
              <w:pStyle w:val="12"/>
            </w:pPr>
            <w:r>
              <w:t>501.45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1395.22</w:t>
            </w:r>
          </w:p>
        </w:tc>
        <w:tc>
          <w:tcPr>
            <w:tcW w:w="2551" w:type="dxa"/>
            <w:vAlign w:val="center"/>
          </w:tcPr>
          <w:p>
            <w:pPr>
              <w:pStyle w:val="12"/>
            </w:pPr>
            <w:r>
              <w:t>893.77</w:t>
            </w:r>
          </w:p>
        </w:tc>
        <w:tc>
          <w:tcPr>
            <w:tcW w:w="2551" w:type="dxa"/>
            <w:vAlign w:val="center"/>
          </w:tcPr>
          <w:p>
            <w:pPr>
              <w:pStyle w:val="12"/>
            </w:pPr>
            <w:r>
              <w:t>501.45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936.03</w:t>
            </w:r>
          </w:p>
        </w:tc>
        <w:tc>
          <w:tcPr>
            <w:tcW w:w="2551" w:type="dxa"/>
            <w:vAlign w:val="center"/>
          </w:tcPr>
          <w:p>
            <w:pPr>
              <w:pStyle w:val="12"/>
            </w:pPr>
            <w:r>
              <w:t>893.77</w:t>
            </w:r>
          </w:p>
        </w:tc>
        <w:tc>
          <w:tcPr>
            <w:tcW w:w="2551" w:type="dxa"/>
            <w:vAlign w:val="center"/>
          </w:tcPr>
          <w:p>
            <w:pPr>
              <w:pStyle w:val="12"/>
            </w:pPr>
            <w:r>
              <w:t>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2010402</w:t>
            </w:r>
          </w:p>
        </w:tc>
        <w:tc>
          <w:tcPr>
            <w:tcW w:w="4535" w:type="dxa"/>
            <w:vAlign w:val="center"/>
          </w:tcPr>
          <w:p>
            <w:pPr>
              <w:pStyle w:val="13"/>
            </w:pPr>
            <w:r>
              <w:t>一般行政管理事务</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2010403</w:t>
            </w:r>
          </w:p>
        </w:tc>
        <w:tc>
          <w:tcPr>
            <w:tcW w:w="4535" w:type="dxa"/>
            <w:vAlign w:val="center"/>
          </w:tcPr>
          <w:p>
            <w:pPr>
              <w:pStyle w:val="13"/>
            </w:pPr>
            <w:r>
              <w:t>机关服务</w:t>
            </w:r>
          </w:p>
        </w:tc>
        <w:tc>
          <w:tcPr>
            <w:tcW w:w="2551" w:type="dxa"/>
            <w:vAlign w:val="center"/>
          </w:tcPr>
          <w:p>
            <w:pPr>
              <w:pStyle w:val="12"/>
            </w:pPr>
            <w:r>
              <w:t>3.94</w:t>
            </w:r>
          </w:p>
        </w:tc>
        <w:tc>
          <w:tcPr>
            <w:tcW w:w="2551" w:type="dxa"/>
            <w:vAlign w:val="center"/>
          </w:tcPr>
          <w:p>
            <w:pPr>
              <w:pStyle w:val="12"/>
            </w:pPr>
          </w:p>
        </w:tc>
        <w:tc>
          <w:tcPr>
            <w:tcW w:w="2551" w:type="dxa"/>
            <w:vAlign w:val="center"/>
          </w:tcPr>
          <w:p>
            <w:pPr>
              <w:pStyle w:val="12"/>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2010408</w:t>
            </w:r>
          </w:p>
        </w:tc>
        <w:tc>
          <w:tcPr>
            <w:tcW w:w="4535" w:type="dxa"/>
            <w:vAlign w:val="center"/>
          </w:tcPr>
          <w:p>
            <w:pPr>
              <w:pStyle w:val="13"/>
            </w:pPr>
            <w:r>
              <w:t>物价管理</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2010450</w:t>
            </w:r>
          </w:p>
        </w:tc>
        <w:tc>
          <w:tcPr>
            <w:tcW w:w="4535" w:type="dxa"/>
            <w:vAlign w:val="center"/>
          </w:tcPr>
          <w:p>
            <w:pPr>
              <w:pStyle w:val="13"/>
            </w:pPr>
            <w:r>
              <w:t>事业运行</w:t>
            </w:r>
          </w:p>
        </w:tc>
        <w:tc>
          <w:tcPr>
            <w:tcW w:w="2551" w:type="dxa"/>
            <w:vAlign w:val="center"/>
          </w:tcPr>
          <w:p>
            <w:pPr>
              <w:pStyle w:val="12"/>
            </w:pPr>
            <w:r>
              <w:t>8.50</w:t>
            </w:r>
          </w:p>
        </w:tc>
        <w:tc>
          <w:tcPr>
            <w:tcW w:w="2551" w:type="dxa"/>
            <w:vAlign w:val="center"/>
          </w:tcPr>
          <w:p>
            <w:pPr>
              <w:pStyle w:val="12"/>
            </w:pPr>
          </w:p>
        </w:tc>
        <w:tc>
          <w:tcPr>
            <w:tcW w:w="2551" w:type="dxa"/>
            <w:vAlign w:val="center"/>
          </w:tcPr>
          <w:p>
            <w:pPr>
              <w:pStyle w:val="12"/>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2010499</w:t>
            </w:r>
          </w:p>
        </w:tc>
        <w:tc>
          <w:tcPr>
            <w:tcW w:w="4535" w:type="dxa"/>
            <w:vAlign w:val="center"/>
          </w:tcPr>
          <w:p>
            <w:pPr>
              <w:pStyle w:val="13"/>
            </w:pPr>
            <w:r>
              <w:t>其他发展与改革事务支出</w:t>
            </w:r>
          </w:p>
        </w:tc>
        <w:tc>
          <w:tcPr>
            <w:tcW w:w="2551" w:type="dxa"/>
            <w:vAlign w:val="center"/>
          </w:tcPr>
          <w:p>
            <w:pPr>
              <w:pStyle w:val="12"/>
            </w:pPr>
            <w:r>
              <w:t>435.55</w:t>
            </w:r>
          </w:p>
        </w:tc>
        <w:tc>
          <w:tcPr>
            <w:tcW w:w="2551" w:type="dxa"/>
            <w:vAlign w:val="center"/>
          </w:tcPr>
          <w:p>
            <w:pPr>
              <w:pStyle w:val="12"/>
            </w:pPr>
          </w:p>
        </w:tc>
        <w:tc>
          <w:tcPr>
            <w:tcW w:w="2551" w:type="dxa"/>
            <w:vAlign w:val="center"/>
          </w:tcPr>
          <w:p>
            <w:pPr>
              <w:pStyle w:val="12"/>
            </w:pPr>
            <w:r>
              <w:t>435.55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260.92</w:t>
            </w:r>
          </w:p>
        </w:tc>
        <w:tc>
          <w:tcPr>
            <w:tcW w:w="2551" w:type="dxa"/>
            <w:vAlign w:val="center"/>
          </w:tcPr>
          <w:p>
            <w:pPr>
              <w:pStyle w:val="12"/>
            </w:pPr>
            <w:r>
              <w:t>260.92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258.23</w:t>
            </w:r>
          </w:p>
        </w:tc>
        <w:tc>
          <w:tcPr>
            <w:tcW w:w="2551" w:type="dxa"/>
            <w:vAlign w:val="center"/>
          </w:tcPr>
          <w:p>
            <w:pPr>
              <w:pStyle w:val="12"/>
            </w:pPr>
            <w:r>
              <w:t>258.23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95.23</w:t>
            </w:r>
          </w:p>
        </w:tc>
        <w:tc>
          <w:tcPr>
            <w:tcW w:w="2551" w:type="dxa"/>
            <w:vAlign w:val="center"/>
          </w:tcPr>
          <w:p>
            <w:pPr>
              <w:pStyle w:val="12"/>
            </w:pPr>
            <w:r>
              <w:t>95.23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163.00</w:t>
            </w:r>
          </w:p>
        </w:tc>
        <w:tc>
          <w:tcPr>
            <w:tcW w:w="2551" w:type="dxa"/>
            <w:vAlign w:val="center"/>
          </w:tcPr>
          <w:p>
            <w:pPr>
              <w:pStyle w:val="12"/>
            </w:pPr>
            <w:r>
              <w:t>163.00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2.69</w:t>
            </w:r>
          </w:p>
        </w:tc>
        <w:tc>
          <w:tcPr>
            <w:tcW w:w="2551" w:type="dxa"/>
            <w:vAlign w:val="center"/>
          </w:tcPr>
          <w:p>
            <w:pPr>
              <w:pStyle w:val="12"/>
            </w:pPr>
            <w:r>
              <w:t>2.69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2.69</w:t>
            </w:r>
          </w:p>
        </w:tc>
        <w:tc>
          <w:tcPr>
            <w:tcW w:w="2551" w:type="dxa"/>
            <w:vAlign w:val="center"/>
          </w:tcPr>
          <w:p>
            <w:pPr>
              <w:pStyle w:val="12"/>
            </w:pPr>
            <w:r>
              <w:t>2.69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31.13</w:t>
            </w:r>
          </w:p>
        </w:tc>
        <w:tc>
          <w:tcPr>
            <w:tcW w:w="2551" w:type="dxa"/>
            <w:vAlign w:val="center"/>
          </w:tcPr>
          <w:p>
            <w:pPr>
              <w:pStyle w:val="12"/>
            </w:pPr>
            <w:r>
              <w:t>31.13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31.13</w:t>
            </w:r>
          </w:p>
        </w:tc>
        <w:tc>
          <w:tcPr>
            <w:tcW w:w="2551" w:type="dxa"/>
            <w:vAlign w:val="center"/>
          </w:tcPr>
          <w:p>
            <w:pPr>
              <w:pStyle w:val="12"/>
            </w:pPr>
            <w:r>
              <w:t>31.13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31.13</w:t>
            </w:r>
          </w:p>
        </w:tc>
        <w:tc>
          <w:tcPr>
            <w:tcW w:w="2551" w:type="dxa"/>
            <w:vAlign w:val="center"/>
          </w:tcPr>
          <w:p>
            <w:pPr>
              <w:pStyle w:val="12"/>
            </w:pPr>
            <w:r>
              <w:t>31.13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10027.90</w:t>
            </w:r>
          </w:p>
        </w:tc>
        <w:tc>
          <w:tcPr>
            <w:tcW w:w="2551" w:type="dxa"/>
            <w:vAlign w:val="center"/>
          </w:tcPr>
          <w:p>
            <w:pPr>
              <w:pStyle w:val="12"/>
            </w:pPr>
          </w:p>
        </w:tc>
        <w:tc>
          <w:tcPr>
            <w:tcW w:w="2551" w:type="dxa"/>
            <w:vAlign w:val="center"/>
          </w:tcPr>
          <w:p>
            <w:pPr>
              <w:pStyle w:val="12"/>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10027.90</w:t>
            </w:r>
          </w:p>
        </w:tc>
        <w:tc>
          <w:tcPr>
            <w:tcW w:w="2551" w:type="dxa"/>
            <w:vAlign w:val="center"/>
          </w:tcPr>
          <w:p>
            <w:pPr>
              <w:pStyle w:val="12"/>
            </w:pPr>
          </w:p>
        </w:tc>
        <w:tc>
          <w:tcPr>
            <w:tcW w:w="2551" w:type="dxa"/>
            <w:vAlign w:val="center"/>
          </w:tcPr>
          <w:p>
            <w:pPr>
              <w:pStyle w:val="12"/>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2150899</w:t>
            </w:r>
          </w:p>
        </w:tc>
        <w:tc>
          <w:tcPr>
            <w:tcW w:w="4535" w:type="dxa"/>
            <w:vAlign w:val="center"/>
          </w:tcPr>
          <w:p>
            <w:pPr>
              <w:pStyle w:val="13"/>
            </w:pPr>
            <w:r>
              <w:t>其他支持中小企业发展和管理支出</w:t>
            </w:r>
          </w:p>
        </w:tc>
        <w:tc>
          <w:tcPr>
            <w:tcW w:w="2551" w:type="dxa"/>
            <w:vAlign w:val="center"/>
          </w:tcPr>
          <w:p>
            <w:pPr>
              <w:pStyle w:val="12"/>
            </w:pPr>
            <w:r>
              <w:t>10027.90</w:t>
            </w:r>
          </w:p>
        </w:tc>
        <w:tc>
          <w:tcPr>
            <w:tcW w:w="2551" w:type="dxa"/>
            <w:vAlign w:val="center"/>
          </w:tcPr>
          <w:p>
            <w:pPr>
              <w:pStyle w:val="12"/>
            </w:pPr>
          </w:p>
        </w:tc>
        <w:tc>
          <w:tcPr>
            <w:tcW w:w="2551" w:type="dxa"/>
            <w:vAlign w:val="center"/>
          </w:tcPr>
          <w:p>
            <w:pPr>
              <w:pStyle w:val="12"/>
            </w:pPr>
            <w:r>
              <w:t>10027.90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57.33</w:t>
            </w:r>
          </w:p>
        </w:tc>
        <w:tc>
          <w:tcPr>
            <w:tcW w:w="2551" w:type="dxa"/>
            <w:vAlign w:val="center"/>
          </w:tcPr>
          <w:p>
            <w:pPr>
              <w:pStyle w:val="12"/>
            </w:pPr>
            <w:r>
              <w:t>57.33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57.33</w:t>
            </w:r>
          </w:p>
        </w:tc>
        <w:tc>
          <w:tcPr>
            <w:tcW w:w="2551" w:type="dxa"/>
            <w:vAlign w:val="center"/>
          </w:tcPr>
          <w:p>
            <w:pPr>
              <w:pStyle w:val="12"/>
            </w:pPr>
            <w:r>
              <w:t>57.33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57.33</w:t>
            </w:r>
          </w:p>
        </w:tc>
        <w:tc>
          <w:tcPr>
            <w:tcW w:w="2551" w:type="dxa"/>
            <w:vAlign w:val="center"/>
          </w:tcPr>
          <w:p>
            <w:pPr>
              <w:pStyle w:val="12"/>
            </w:pPr>
            <w:r>
              <w:t>57.33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222</w:t>
            </w:r>
          </w:p>
        </w:tc>
        <w:tc>
          <w:tcPr>
            <w:tcW w:w="4535" w:type="dxa"/>
            <w:vAlign w:val="center"/>
          </w:tcPr>
          <w:p>
            <w:pPr>
              <w:pStyle w:val="13"/>
            </w:pPr>
            <w:r>
              <w:t>粮油物资储备支出</w:t>
            </w:r>
          </w:p>
        </w:tc>
        <w:tc>
          <w:tcPr>
            <w:tcW w:w="2551" w:type="dxa"/>
            <w:vAlign w:val="center"/>
          </w:tcPr>
          <w:p>
            <w:pPr>
              <w:pStyle w:val="12"/>
            </w:pPr>
            <w:r>
              <w:t>320.80</w:t>
            </w:r>
          </w:p>
        </w:tc>
        <w:tc>
          <w:tcPr>
            <w:tcW w:w="2551" w:type="dxa"/>
            <w:vAlign w:val="center"/>
          </w:tcPr>
          <w:p>
            <w:pPr>
              <w:pStyle w:val="12"/>
            </w:pPr>
          </w:p>
        </w:tc>
        <w:tc>
          <w:tcPr>
            <w:tcW w:w="2551" w:type="dxa"/>
            <w:vAlign w:val="center"/>
          </w:tcPr>
          <w:p>
            <w:pPr>
              <w:pStyle w:val="12"/>
            </w:pPr>
            <w:r>
              <w:t>320.80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22201</w:t>
            </w:r>
          </w:p>
        </w:tc>
        <w:tc>
          <w:tcPr>
            <w:tcW w:w="4535" w:type="dxa"/>
            <w:vAlign w:val="center"/>
          </w:tcPr>
          <w:p>
            <w:pPr>
              <w:pStyle w:val="13"/>
            </w:pPr>
            <w:r>
              <w:t>粮油物资事务</w:t>
            </w:r>
          </w:p>
        </w:tc>
        <w:tc>
          <w:tcPr>
            <w:tcW w:w="2551" w:type="dxa"/>
            <w:vAlign w:val="center"/>
          </w:tcPr>
          <w:p>
            <w:pPr>
              <w:pStyle w:val="12"/>
            </w:pPr>
            <w:r>
              <w:t>153.00</w:t>
            </w:r>
          </w:p>
        </w:tc>
        <w:tc>
          <w:tcPr>
            <w:tcW w:w="2551" w:type="dxa"/>
            <w:vAlign w:val="center"/>
          </w:tcPr>
          <w:p>
            <w:pPr>
              <w:pStyle w:val="12"/>
            </w:pPr>
          </w:p>
        </w:tc>
        <w:tc>
          <w:tcPr>
            <w:tcW w:w="2551" w:type="dxa"/>
            <w:vAlign w:val="center"/>
          </w:tcPr>
          <w:p>
            <w:pPr>
              <w:pStyle w:val="12"/>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2220101</w:t>
            </w:r>
          </w:p>
        </w:tc>
        <w:tc>
          <w:tcPr>
            <w:tcW w:w="4535" w:type="dxa"/>
            <w:vAlign w:val="center"/>
          </w:tcPr>
          <w:p>
            <w:pPr>
              <w:pStyle w:val="13"/>
            </w:pPr>
            <w:r>
              <w:t>行政运行</w:t>
            </w:r>
          </w:p>
        </w:tc>
        <w:tc>
          <w:tcPr>
            <w:tcW w:w="2551" w:type="dxa"/>
            <w:vAlign w:val="center"/>
          </w:tcPr>
          <w:p>
            <w:pPr>
              <w:pStyle w:val="12"/>
            </w:pPr>
            <w:r>
              <w:t>93.00</w:t>
            </w:r>
          </w:p>
        </w:tc>
        <w:tc>
          <w:tcPr>
            <w:tcW w:w="2551" w:type="dxa"/>
            <w:vAlign w:val="center"/>
          </w:tcPr>
          <w:p>
            <w:pPr>
              <w:pStyle w:val="12"/>
            </w:pPr>
          </w:p>
        </w:tc>
        <w:tc>
          <w:tcPr>
            <w:tcW w:w="2551" w:type="dxa"/>
            <w:vAlign w:val="center"/>
          </w:tcPr>
          <w:p>
            <w:pPr>
              <w:pStyle w:val="12"/>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2220199</w:t>
            </w:r>
          </w:p>
        </w:tc>
        <w:tc>
          <w:tcPr>
            <w:tcW w:w="4535" w:type="dxa"/>
            <w:vAlign w:val="center"/>
          </w:tcPr>
          <w:p>
            <w:pPr>
              <w:pStyle w:val="13"/>
            </w:pPr>
            <w:r>
              <w:t>其他粮油物资事务支出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22204</w:t>
            </w:r>
          </w:p>
        </w:tc>
        <w:tc>
          <w:tcPr>
            <w:tcW w:w="4535" w:type="dxa"/>
            <w:vAlign w:val="center"/>
          </w:tcPr>
          <w:p>
            <w:pPr>
              <w:pStyle w:val="13"/>
            </w:pPr>
            <w:r>
              <w:t>粮油储备</w:t>
            </w:r>
          </w:p>
        </w:tc>
        <w:tc>
          <w:tcPr>
            <w:tcW w:w="2551" w:type="dxa"/>
            <w:vAlign w:val="center"/>
          </w:tcPr>
          <w:p>
            <w:pPr>
              <w:pStyle w:val="12"/>
            </w:pPr>
            <w:r>
              <w:t>167.80</w:t>
            </w:r>
          </w:p>
        </w:tc>
        <w:tc>
          <w:tcPr>
            <w:tcW w:w="2551" w:type="dxa"/>
            <w:vAlign w:val="center"/>
          </w:tcPr>
          <w:p>
            <w:pPr>
              <w:pStyle w:val="12"/>
            </w:pPr>
          </w:p>
        </w:tc>
        <w:tc>
          <w:tcPr>
            <w:tcW w:w="2551" w:type="dxa"/>
            <w:vAlign w:val="center"/>
          </w:tcPr>
          <w:p>
            <w:pPr>
              <w:pStyle w:val="12"/>
            </w:pPr>
            <w:r>
              <w:t>167.80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2220401</w:t>
            </w:r>
          </w:p>
        </w:tc>
        <w:tc>
          <w:tcPr>
            <w:tcW w:w="4535" w:type="dxa"/>
            <w:vAlign w:val="center"/>
          </w:tcPr>
          <w:p>
            <w:pPr>
              <w:pStyle w:val="13"/>
            </w:pPr>
            <w:r>
              <w:t>储备粮油补贴</w:t>
            </w:r>
          </w:p>
        </w:tc>
        <w:tc>
          <w:tcPr>
            <w:tcW w:w="2551" w:type="dxa"/>
            <w:vAlign w:val="center"/>
          </w:tcPr>
          <w:p>
            <w:pPr>
              <w:pStyle w:val="12"/>
            </w:pPr>
            <w:r>
              <w:t>167.80</w:t>
            </w:r>
          </w:p>
        </w:tc>
        <w:tc>
          <w:tcPr>
            <w:tcW w:w="2551" w:type="dxa"/>
            <w:vAlign w:val="center"/>
          </w:tcPr>
          <w:p>
            <w:pPr>
              <w:pStyle w:val="12"/>
            </w:pPr>
          </w:p>
        </w:tc>
        <w:tc>
          <w:tcPr>
            <w:tcW w:w="2551" w:type="dxa"/>
            <w:vAlign w:val="center"/>
          </w:tcPr>
          <w:p>
            <w:pPr>
              <w:pStyle w:val="12"/>
            </w:pPr>
            <w:r>
              <w:t>167.80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303成安县发展和改革局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1243.15</w:t>
            </w:r>
          </w:p>
        </w:tc>
        <w:tc>
          <w:tcPr>
            <w:tcW w:w="2551" w:type="dxa"/>
            <w:vAlign w:val="center"/>
          </w:tcPr>
          <w:p>
            <w:pPr>
              <w:pStyle w:val="16"/>
            </w:pPr>
            <w:r>
              <w:t>1161.15</w:t>
            </w:r>
          </w:p>
        </w:tc>
        <w:tc>
          <w:tcPr>
            <w:tcW w:w="2551" w:type="dxa"/>
            <w:vAlign w:val="center"/>
          </w:tcPr>
          <w:p>
            <w:pPr>
              <w:pStyle w:val="16"/>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1063.23</w:t>
            </w:r>
          </w:p>
        </w:tc>
        <w:tc>
          <w:tcPr>
            <w:tcW w:w="2551" w:type="dxa"/>
            <w:vAlign w:val="center"/>
          </w:tcPr>
          <w:p>
            <w:pPr>
              <w:pStyle w:val="12"/>
            </w:pPr>
            <w:r>
              <w:t>1063.23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667.04</w:t>
            </w:r>
          </w:p>
        </w:tc>
        <w:tc>
          <w:tcPr>
            <w:tcW w:w="2551" w:type="dxa"/>
            <w:vAlign w:val="center"/>
          </w:tcPr>
          <w:p>
            <w:pPr>
              <w:pStyle w:val="12"/>
            </w:pPr>
            <w:r>
              <w:t>667.04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95.83</w:t>
            </w:r>
          </w:p>
        </w:tc>
        <w:tc>
          <w:tcPr>
            <w:tcW w:w="2551" w:type="dxa"/>
            <w:vAlign w:val="center"/>
          </w:tcPr>
          <w:p>
            <w:pPr>
              <w:pStyle w:val="12"/>
            </w:pPr>
            <w:r>
              <w:t>95.83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10.34</w:t>
            </w:r>
          </w:p>
        </w:tc>
        <w:tc>
          <w:tcPr>
            <w:tcW w:w="2551" w:type="dxa"/>
            <w:vAlign w:val="center"/>
          </w:tcPr>
          <w:p>
            <w:pPr>
              <w:pStyle w:val="12"/>
            </w:pPr>
            <w:r>
              <w:t>10.34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38.56</w:t>
            </w:r>
          </w:p>
        </w:tc>
        <w:tc>
          <w:tcPr>
            <w:tcW w:w="2551" w:type="dxa"/>
            <w:vAlign w:val="center"/>
          </w:tcPr>
          <w:p>
            <w:pPr>
              <w:pStyle w:val="12"/>
            </w:pPr>
            <w:r>
              <w:t>38.56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60.28</w:t>
            </w:r>
          </w:p>
        </w:tc>
        <w:tc>
          <w:tcPr>
            <w:tcW w:w="2551" w:type="dxa"/>
            <w:vAlign w:val="center"/>
          </w:tcPr>
          <w:p>
            <w:pPr>
              <w:pStyle w:val="12"/>
            </w:pPr>
            <w:r>
              <w:t>60.28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28.61</w:t>
            </w:r>
          </w:p>
        </w:tc>
        <w:tc>
          <w:tcPr>
            <w:tcW w:w="2551" w:type="dxa"/>
            <w:vAlign w:val="center"/>
          </w:tcPr>
          <w:p>
            <w:pPr>
              <w:pStyle w:val="12"/>
            </w:pPr>
            <w:r>
              <w:t>28.61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2.52</w:t>
            </w:r>
          </w:p>
        </w:tc>
        <w:tc>
          <w:tcPr>
            <w:tcW w:w="2551" w:type="dxa"/>
            <w:vAlign w:val="center"/>
          </w:tcPr>
          <w:p>
            <w:pPr>
              <w:pStyle w:val="12"/>
            </w:pPr>
            <w:r>
              <w:t>2.52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57.33</w:t>
            </w:r>
          </w:p>
        </w:tc>
        <w:tc>
          <w:tcPr>
            <w:tcW w:w="2551" w:type="dxa"/>
            <w:vAlign w:val="center"/>
          </w:tcPr>
          <w:p>
            <w:pPr>
              <w:pStyle w:val="12"/>
            </w:pPr>
            <w:r>
              <w:t>57.33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102.72</w:t>
            </w:r>
          </w:p>
        </w:tc>
        <w:tc>
          <w:tcPr>
            <w:tcW w:w="2551" w:type="dxa"/>
            <w:vAlign w:val="center"/>
          </w:tcPr>
          <w:p>
            <w:pPr>
              <w:pStyle w:val="12"/>
            </w:pPr>
            <w:r>
              <w:t>102.72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82.00</w:t>
            </w:r>
          </w:p>
        </w:tc>
        <w:tc>
          <w:tcPr>
            <w:tcW w:w="2551" w:type="dxa"/>
            <w:vAlign w:val="center"/>
          </w:tcPr>
          <w:p>
            <w:pPr>
              <w:pStyle w:val="12"/>
            </w:pPr>
          </w:p>
        </w:tc>
        <w:tc>
          <w:tcPr>
            <w:tcW w:w="2551" w:type="dxa"/>
            <w:vAlign w:val="center"/>
          </w:tcPr>
          <w:p>
            <w:pPr>
              <w:pStyle w:val="12"/>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21.00</w:t>
            </w:r>
          </w:p>
        </w:tc>
        <w:tc>
          <w:tcPr>
            <w:tcW w:w="2551" w:type="dxa"/>
            <w:vAlign w:val="center"/>
          </w:tcPr>
          <w:p>
            <w:pPr>
              <w:pStyle w:val="12"/>
            </w:pPr>
          </w:p>
        </w:tc>
        <w:tc>
          <w:tcPr>
            <w:tcW w:w="2551" w:type="dxa"/>
            <w:vAlign w:val="center"/>
          </w:tcPr>
          <w:p>
            <w:pPr>
              <w:pStyle w:val="12"/>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97.92</w:t>
            </w:r>
          </w:p>
        </w:tc>
        <w:tc>
          <w:tcPr>
            <w:tcW w:w="2551" w:type="dxa"/>
            <w:vAlign w:val="center"/>
          </w:tcPr>
          <w:p>
            <w:pPr>
              <w:pStyle w:val="12"/>
            </w:pPr>
            <w:r>
              <w:t>97.92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95.23</w:t>
            </w:r>
          </w:p>
        </w:tc>
        <w:tc>
          <w:tcPr>
            <w:tcW w:w="2551" w:type="dxa"/>
            <w:vAlign w:val="center"/>
          </w:tcPr>
          <w:p>
            <w:pPr>
              <w:pStyle w:val="12"/>
            </w:pPr>
            <w:r>
              <w:t>95.23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2.69</w:t>
            </w:r>
          </w:p>
        </w:tc>
        <w:tc>
          <w:tcPr>
            <w:tcW w:w="2551" w:type="dxa"/>
            <w:vAlign w:val="center"/>
          </w:tcPr>
          <w:p>
            <w:pPr>
              <w:pStyle w:val="12"/>
            </w:pPr>
            <w:r>
              <w:t>2.69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303成安县发展和改革局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303成安县发展和改革局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303成安县发展和改革局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lang w:eastAsia="zh-CN"/>
              </w:rPr>
            </w:pPr>
            <w:r>
              <w:rPr>
                <w:rFonts w:hint="eastAsia"/>
                <w:lang w:eastAsia="zh-CN"/>
              </w:rPr>
              <w:t>3.00</w:t>
            </w:r>
          </w:p>
        </w:tc>
        <w:tc>
          <w:tcPr>
            <w:tcW w:w="2381" w:type="dxa"/>
            <w:vAlign w:val="center"/>
          </w:tcPr>
          <w:p>
            <w:pPr>
              <w:pStyle w:val="16"/>
              <w:rPr>
                <w:lang w:eastAsia="zh-CN"/>
              </w:rPr>
            </w:pPr>
            <w:r>
              <w:rPr>
                <w:rFonts w:hint="eastAsia"/>
                <w:lang w:eastAsia="zh-CN"/>
              </w:rPr>
              <w:t>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rPr>
                <w:lang w:eastAsia="zh-CN"/>
              </w:rPr>
            </w:pPr>
            <w:r>
              <w:rPr>
                <w:rFonts w:hint="eastAsia"/>
                <w:lang w:eastAsia="zh-CN"/>
              </w:rPr>
              <w:t>3.00</w:t>
            </w:r>
          </w:p>
        </w:tc>
        <w:tc>
          <w:tcPr>
            <w:tcW w:w="2381" w:type="dxa"/>
            <w:vAlign w:val="center"/>
          </w:tcPr>
          <w:p>
            <w:pPr>
              <w:pStyle w:val="12"/>
              <w:rPr>
                <w:lang w:eastAsia="zh-CN"/>
              </w:rPr>
            </w:pPr>
            <w:r>
              <w:rPr>
                <w:rFonts w:hint="eastAsia"/>
                <w:lang w:eastAsia="zh-CN"/>
              </w:rPr>
              <w:t>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3.00</w:t>
            </w:r>
          </w:p>
        </w:tc>
        <w:tc>
          <w:tcPr>
            <w:tcW w:w="2381" w:type="dxa"/>
            <w:vAlign w:val="center"/>
          </w:tcPr>
          <w:p>
            <w:pPr>
              <w:pStyle w:val="12"/>
            </w:pPr>
            <w:r>
              <w:t>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pPr>
      <w:r>
        <w:rPr>
          <w:rFonts w:ascii="方正小标宋_GBK" w:hAnsi="方正小标宋_GBK" w:eastAsia="方正小标宋_GBK" w:cs="方正小标宋_GBK"/>
          <w:color w:val="000000"/>
          <w:sz w:val="44"/>
        </w:rPr>
        <w:t>成安县发展和改革局2024年部门预算信息公开情况说明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按照《中华人民共和国预算法》、《地方预决算公开操作规程》和《关于进一步推进预算公开工作的实施意见》规定，现将成安县发展和改革局2024年部门预算公开如下：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r>
        <w:rPr>
          <w:rFonts w:hint="eastAsia" w:ascii="仿宋" w:hAnsi="仿宋" w:eastAsia="仿宋"/>
          <w:sz w:val="28"/>
          <w:szCs w:val="28"/>
        </w:rPr>
        <w:t>成安县发展和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成安县发展和改革局本级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铁路建设小组</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bookmarkEnd w:id="10"/>
    </w:p>
    <w:p>
      <w:pPr>
        <w:spacing w:line="500" w:lineRule="exact"/>
        <w:ind w:firstLine="560"/>
        <w:rPr>
          <w:rFonts w:eastAsiaTheme="minorEastAsia"/>
          <w:color w:val="000000"/>
          <w:sz w:val="28"/>
          <w:lang w:eastAsia="zh-CN"/>
        </w:rPr>
      </w:pPr>
      <w:r>
        <w:rPr>
          <w:rFonts w:hint="eastAsia" w:ascii="黑体" w:hAnsi="黑体" w:eastAsia="黑体" w:cs="黑体"/>
          <w:color w:val="000000"/>
          <w:sz w:val="32"/>
          <w:lang w:eastAsia="zh-CN"/>
        </w:rPr>
        <w:t xml:space="preserve">   </w:t>
      </w:r>
      <w:r>
        <w:rPr>
          <w:rFonts w:eastAsia="方正仿宋_GBK"/>
          <w:color w:val="000000"/>
          <w:sz w:val="28"/>
        </w:rPr>
        <w:t>按照预算管理有关规定，目前我省部门预算的编制实行综合预算管理，即全部收入和支出都反映在预算中。成安县发展和改革局机关及所属事业单位的收支包含在部门预算中。按照预算管理有关规定，目前我部门预算的编制实行综合预算制度，即全部收入和支出都反映在预算中。</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1、收入说明</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2024年预算收入为</w:t>
      </w:r>
      <w:r>
        <w:t>12093.30</w:t>
      </w:r>
      <w:r>
        <w:rPr>
          <w:rFonts w:hint="eastAsia" w:eastAsiaTheme="minorEastAsia"/>
          <w:color w:val="000000"/>
          <w:sz w:val="28"/>
          <w:lang w:eastAsia="zh-CN"/>
        </w:rPr>
        <w:t>万元，其中：一般公共预算收入</w:t>
      </w:r>
      <w:r>
        <w:t>12093.30</w:t>
      </w:r>
      <w:r>
        <w:rPr>
          <w:rFonts w:hint="eastAsia" w:eastAsiaTheme="minorEastAsia"/>
          <w:color w:val="000000"/>
          <w:sz w:val="28"/>
          <w:lang w:eastAsia="zh-CN"/>
        </w:rPr>
        <w:t xml:space="preserve"> 万元，政府性基金收入0万元，事业收入0万元，其他收入0万元。</w:t>
      </w:r>
    </w:p>
    <w:p>
      <w:pPr>
        <w:spacing w:line="500" w:lineRule="exact"/>
        <w:ind w:firstLine="560"/>
        <w:rPr>
          <w:rFonts w:eastAsiaTheme="minorEastAsia"/>
          <w:lang w:eastAsia="zh-CN"/>
        </w:rPr>
      </w:pPr>
      <w:r>
        <w:rPr>
          <w:rFonts w:hint="eastAsia" w:eastAsiaTheme="minorEastAsia"/>
          <w:lang w:eastAsia="zh-CN"/>
        </w:rPr>
        <w:t>2、支出说明</w:t>
      </w:r>
    </w:p>
    <w:p>
      <w:pPr>
        <w:spacing w:line="500" w:lineRule="exact"/>
        <w:ind w:firstLine="560"/>
        <w:rPr>
          <w:rFonts w:eastAsiaTheme="minorEastAsia"/>
          <w:lang w:eastAsia="zh-CN"/>
        </w:rPr>
      </w:pPr>
      <w:r>
        <w:rPr>
          <w:rFonts w:hint="eastAsia" w:eastAsiaTheme="minorEastAsia"/>
          <w:lang w:eastAsia="zh-CN"/>
        </w:rPr>
        <w:t>2024年支出预算总额为</w:t>
      </w:r>
      <w:r>
        <w:t>12093.30</w:t>
      </w:r>
      <w:r>
        <w:rPr>
          <w:rFonts w:hint="eastAsia" w:eastAsiaTheme="minorEastAsia"/>
          <w:lang w:eastAsia="zh-CN"/>
        </w:rPr>
        <w:t>万元，其中基本支出1243.15万元，项目支出10850.15万元，</w:t>
      </w:r>
    </w:p>
    <w:p>
      <w:pPr>
        <w:spacing w:line="500" w:lineRule="exact"/>
        <w:ind w:firstLine="560"/>
        <w:rPr>
          <w:rFonts w:eastAsiaTheme="minorEastAsia"/>
          <w:lang w:eastAsia="zh-CN"/>
        </w:rPr>
      </w:pPr>
      <w:r>
        <w:rPr>
          <w:rFonts w:hint="eastAsia" w:eastAsiaTheme="minorEastAsia"/>
          <w:lang w:eastAsia="zh-CN"/>
        </w:rPr>
        <w:t>3、比上年增减变化情况</w:t>
      </w:r>
    </w:p>
    <w:p>
      <w:pPr>
        <w:spacing w:line="500" w:lineRule="exact"/>
        <w:ind w:firstLine="799" w:firstLineChars="333"/>
        <w:rPr>
          <w:rFonts w:eastAsiaTheme="minorEastAsia"/>
          <w:lang w:eastAsia="zh-CN"/>
        </w:rPr>
      </w:pPr>
      <w:r>
        <w:rPr>
          <w:rFonts w:hint="eastAsia" w:eastAsiaTheme="minorEastAsia"/>
          <w:lang w:eastAsia="zh-CN"/>
        </w:rPr>
        <w:t xml:space="preserve">2024年预算收支安排12093.30万元，2023年财政拨款收入28893.17万元，其中：基本支出增加214.59万元，项目支出减少17014.46万元。 </w:t>
      </w:r>
    </w:p>
    <w:p>
      <w:pPr>
        <w:spacing w:before="10" w:after="10" w:line="360" w:lineRule="auto"/>
        <w:ind w:firstLine="640"/>
        <w:outlineLvl w:val="2"/>
        <w:rPr>
          <w:rFonts w:ascii="黑体" w:hAnsi="黑体" w:eastAsia="黑体" w:cs="黑体"/>
          <w:color w:val="000000"/>
          <w:sz w:val="32"/>
          <w:lang w:eastAsia="zh-CN"/>
        </w:rPr>
      </w:pP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20"/>
        <w:rPr>
          <w:rFonts w:eastAsiaTheme="minorEastAsia"/>
          <w:lang w:eastAsia="zh-CN"/>
        </w:rPr>
      </w:pPr>
      <w:r>
        <w:rPr>
          <w:rFonts w:hint="eastAsia" w:ascii="仿宋" w:hAnsi="仿宋" w:eastAsia="仿宋" w:cs="仿宋"/>
          <w:bCs/>
          <w:szCs w:val="28"/>
        </w:rPr>
        <w:t>机关运行经费共计安排</w:t>
      </w:r>
      <w:r>
        <w:rPr>
          <w:rFonts w:hint="eastAsia" w:ascii="仿宋" w:hAnsi="仿宋" w:eastAsia="仿宋" w:cs="仿宋"/>
          <w:bCs/>
          <w:szCs w:val="28"/>
          <w:lang w:eastAsia="zh-CN"/>
        </w:rPr>
        <w:t>40</w:t>
      </w:r>
      <w:r>
        <w:rPr>
          <w:rFonts w:hint="eastAsia" w:ascii="仿宋" w:hAnsi="仿宋" w:eastAsia="仿宋" w:cs="仿宋"/>
          <w:bCs/>
          <w:szCs w:val="28"/>
        </w:rPr>
        <w:t>万元，主要用于办公区的日常维修、办公用房水电费、邮电费、办公用房取暖费、办公用房物业管理费等日常运行支出。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ascii="黑体" w:hAnsi="黑体" w:eastAsia="黑体" w:cs="黑体"/>
          <w:color w:val="000000"/>
          <w:sz w:val="32"/>
          <w:lang w:eastAsia="zh-CN"/>
        </w:rPr>
      </w:pPr>
      <w:r>
        <w:rPr>
          <w:rFonts w:hint="eastAsia" w:eastAsiaTheme="minorEastAsia"/>
          <w:lang w:eastAsia="zh-CN"/>
        </w:rPr>
        <w:t xml:space="preserve"> </w:t>
      </w:r>
      <w:r>
        <w:rPr>
          <w:rFonts w:ascii="仿宋" w:hAnsi="仿宋" w:eastAsia="仿宋" w:cs="仿宋"/>
          <w:bCs/>
          <w:sz w:val="32"/>
          <w:szCs w:val="32"/>
        </w:rPr>
        <w:t>20</w:t>
      </w:r>
      <w:r>
        <w:rPr>
          <w:rFonts w:hint="eastAsia" w:ascii="仿宋" w:hAnsi="仿宋" w:eastAsia="仿宋" w:cs="仿宋"/>
          <w:bCs/>
          <w:sz w:val="32"/>
          <w:szCs w:val="32"/>
        </w:rPr>
        <w:t>2</w:t>
      </w:r>
      <w:r>
        <w:rPr>
          <w:rFonts w:hint="eastAsia" w:ascii="仿宋" w:hAnsi="仿宋" w:eastAsia="仿宋" w:cs="仿宋"/>
          <w:bCs/>
          <w:sz w:val="32"/>
          <w:szCs w:val="32"/>
          <w:lang w:eastAsia="zh-CN"/>
        </w:rPr>
        <w:t>3</w:t>
      </w:r>
      <w:r>
        <w:rPr>
          <w:rFonts w:hint="eastAsia" w:ascii="仿宋" w:hAnsi="仿宋" w:eastAsia="仿宋" w:cs="仿宋"/>
          <w:bCs/>
          <w:sz w:val="32"/>
          <w:szCs w:val="32"/>
        </w:rPr>
        <w:t>年，我单位“三公”经费预算安排3万元，其中因公出国（境）费0万元与去年持平；公务用车购置及运维费3万元（其中：公务用车购置费为0万元，公务用车运行费3万元</w:t>
      </w:r>
      <w:r>
        <w:rPr>
          <w:rFonts w:ascii="仿宋" w:hAnsi="仿宋" w:eastAsia="仿宋" w:cs="仿宋"/>
          <w:bCs/>
          <w:sz w:val="32"/>
          <w:szCs w:val="32"/>
        </w:rPr>
        <w:t>)</w:t>
      </w:r>
      <w:r>
        <w:rPr>
          <w:rFonts w:hint="eastAsia" w:ascii="仿宋" w:hAnsi="仿宋" w:eastAsia="仿宋" w:cs="仿宋"/>
          <w:bCs/>
          <w:sz w:val="32"/>
          <w:szCs w:val="32"/>
          <w:lang w:eastAsia="zh-CN"/>
        </w:rPr>
        <w:t>与去年持平</w:t>
      </w:r>
      <w:r>
        <w:rPr>
          <w:rFonts w:hint="eastAsia" w:ascii="仿宋" w:hAnsi="仿宋" w:eastAsia="仿宋" w:cs="仿宋"/>
          <w:bCs/>
          <w:sz w:val="32"/>
          <w:szCs w:val="32"/>
        </w:rPr>
        <w:t>；公务接待费0万元与去年持平。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rPr>
          <w:rFonts w:eastAsiaTheme="minorEastAsia"/>
          <w:lang w:eastAsia="zh-CN"/>
        </w:rPr>
      </w:pPr>
      <w:r>
        <w:rPr>
          <w:rFonts w:hint="eastAsia" w:eastAsiaTheme="minorEastAsia"/>
          <w:lang w:eastAsia="zh-CN"/>
        </w:rPr>
        <w:t xml:space="preserve"> </w:t>
      </w:r>
      <w:r>
        <w:rPr>
          <w:rFonts w:hint="eastAsia" w:ascii="仿宋" w:hAnsi="仿宋" w:eastAsia="仿宋" w:cs="仿宋"/>
          <w:bCs/>
          <w:szCs w:val="28"/>
        </w:rPr>
        <w:t>增强规划和计划的前瞻性、科学性、可操作性；规划目标全面、先进、可行；组织落实措施得力，调度有序。确保重点领域和区域经济社会规划与国民经济和社会发展规划、计划的衔接和协调；与北京、天津开展战略合作，推动合作协议的落实，深化拓展合作领域，实质性推动一批重大合作事项进展；加强项目监管，保证建设项目工程质量和建设资金安全及有效使用，维护国家和社会公共利益。处罚项目建设中重大突出违法问题；招投标管理制度完善，操作实施规范，应依法必须招投标项目覆盖全面；行业协会管理体制科学规范，行业协会与政府、企业间桥梁、纽带、参谋、助手作用充分发挥。</w:t>
      </w:r>
    </w:p>
    <w:p>
      <w:pPr>
        <w:spacing w:line="500" w:lineRule="exact"/>
        <w:ind w:firstLine="560"/>
      </w:pPr>
      <w:r>
        <w:rPr>
          <w:rFonts w:eastAsia="方正仿宋_GBK"/>
          <w:color w:val="000000"/>
          <w:sz w:val="28"/>
        </w:rPr>
        <w:t>（二）分项绩效目标</w:t>
      </w:r>
    </w:p>
    <w:p>
      <w:pPr>
        <w:pStyle w:val="23"/>
      </w:pPr>
      <w:r>
        <w:rPr>
          <w:rFonts w:hint="eastAsia" w:ascii="仿宋" w:hAnsi="仿宋" w:eastAsia="仿宋" w:cs="宋体"/>
          <w:color w:val="000000"/>
          <w:szCs w:val="28"/>
        </w:rPr>
        <w:t>经济社会发展计划切实体现县委、县政府决策目标和部署确保重点领域和区域经济社会规划与国民经济和社会发展规划、计划的衔接和协调稳步提高1、全县利用外资、境外投资规模和水平。引进县外资金技术人才明显增加；2、推进经济社会健康协调发展，提升全县经济、装备动员能力。3、推进全县统一的信用信息数据库和共享、公示平台；4、与北京、天津开展战略合作，推动合作协议的落实，深化拓展合作领域，实质性推动一批重大合作事项进展。5、加强区域经济发展管理工作，提高县域经济发展水平，改善重点流域水环境；6、掌握我县资源现状及动态变化，培育壮大我县战略性新兴产业，提高自主创新能力，促进产业转型升级；7、加快物流产业聚集区建设；争取省和国家经贸流通领域和服务业产业发展引导资金；加快物流产业聚集区、已列入物流发展规划的重点项目、农产品物流项目交易设施改造升级及大型冷链物流项目建设；8、发挥专项资金的引导和激励的作用，通过采取补助、奖励等方式调动企业节能降耗的积极性，确保完成节能、降碳目标任务；电能使用效率不断提高；积极助推节能减排和大气污染防治；确保实现年度单位GDP能耗下降率；9、按时编制并提交年度预算内基建项目安排建议，并落实到具体项目；足额保证县委、县政府确定的重点基建投资项目；落实与中央、省投资项目配套；及时下达预算内基建项目投资计划，提高县级政务设施服务保障能力；10、承办县委、县政府交办的其它事项。</w:t>
      </w:r>
    </w:p>
    <w:p>
      <w:pPr>
        <w:spacing w:line="500" w:lineRule="exact"/>
        <w:ind w:firstLine="560"/>
      </w:pPr>
      <w:r>
        <w:rPr>
          <w:rFonts w:eastAsia="方正仿宋_GBK"/>
          <w:color w:val="000000"/>
          <w:sz w:val="28"/>
        </w:rPr>
        <w:t>（三）工作保障措施</w:t>
      </w:r>
    </w:p>
    <w:p>
      <w:pPr>
        <w:pStyle w:val="24"/>
        <w:rPr>
          <w:rFonts w:eastAsiaTheme="minorEastAsia"/>
          <w:lang w:eastAsia="zh-CN"/>
        </w:rPr>
      </w:pPr>
    </w:p>
    <w:p>
      <w:pPr>
        <w:autoSpaceDE w:val="0"/>
        <w:autoSpaceDN w:val="0"/>
        <w:adjustRightInd w:val="0"/>
        <w:spacing w:line="560" w:lineRule="exact"/>
        <w:ind w:left="198" w:firstLine="560" w:firstLineChars="200"/>
        <w:rPr>
          <w:rFonts w:ascii="仿宋" w:hAnsi="仿宋" w:eastAsia="仿宋" w:cs="仿宋"/>
          <w:bCs/>
          <w:sz w:val="28"/>
          <w:szCs w:val="28"/>
        </w:rPr>
      </w:pPr>
      <w:r>
        <w:rPr>
          <w:rFonts w:hint="eastAsia" w:ascii="仿宋" w:hAnsi="仿宋" w:eastAsia="仿宋" w:cs="仿宋"/>
          <w:bCs/>
          <w:sz w:val="28"/>
          <w:szCs w:val="28"/>
        </w:rPr>
        <w:t>1、严格</w:t>
      </w:r>
      <w:r>
        <w:rPr>
          <w:rFonts w:hint="eastAsia" w:ascii="仿宋" w:hAnsi="仿宋" w:eastAsia="仿宋"/>
          <w:sz w:val="28"/>
          <w:szCs w:val="28"/>
        </w:rPr>
        <w:t>落实</w:t>
      </w:r>
      <w:r>
        <w:rPr>
          <w:rFonts w:hint="eastAsia" w:ascii="仿宋" w:hAnsi="仿宋" w:eastAsia="仿宋"/>
          <w:sz w:val="28"/>
          <w:szCs w:val="28"/>
          <w:highlight w:val="none"/>
        </w:rPr>
        <w:t>县委</w:t>
      </w:r>
      <w:r>
        <w:rPr>
          <w:rFonts w:hint="eastAsia" w:ascii="仿宋" w:hAnsi="仿宋" w:eastAsia="仿宋"/>
          <w:sz w:val="28"/>
          <w:szCs w:val="28"/>
          <w:highlight w:val="none"/>
          <w:lang w:eastAsia="zh-CN"/>
        </w:rPr>
        <w:t>、</w:t>
      </w:r>
      <w:r>
        <w:rPr>
          <w:rFonts w:hint="eastAsia" w:ascii="仿宋" w:hAnsi="仿宋" w:eastAsia="仿宋"/>
          <w:sz w:val="28"/>
          <w:szCs w:val="28"/>
          <w:highlight w:val="none"/>
        </w:rPr>
        <w:t>县</w:t>
      </w:r>
      <w:r>
        <w:rPr>
          <w:rFonts w:hint="eastAsia" w:ascii="仿宋" w:hAnsi="仿宋" w:eastAsia="仿宋"/>
          <w:sz w:val="28"/>
          <w:szCs w:val="28"/>
          <w:highlight w:val="none"/>
          <w:lang w:eastAsia="zh-CN"/>
        </w:rPr>
        <w:t>政府</w:t>
      </w:r>
      <w:r>
        <w:rPr>
          <w:rFonts w:hint="eastAsia" w:ascii="仿宋" w:hAnsi="仿宋" w:eastAsia="仿宋"/>
          <w:sz w:val="28"/>
          <w:szCs w:val="28"/>
        </w:rPr>
        <w:t>策部署，依据发展规划和年度计划，确保重点领域和区域经济社会规划与国民经济和社会发展规划衔接和协调；2、增强规划前瞻性、科学性、可操作性；规划目标全面、先进、可行；组织落实措施得力，调度有序；3、配合国家首都经</w:t>
      </w:r>
      <w:bookmarkStart w:id="20" w:name="_GoBack"/>
      <w:bookmarkEnd w:id="20"/>
      <w:r>
        <w:rPr>
          <w:rFonts w:hint="eastAsia" w:ascii="仿宋" w:hAnsi="仿宋" w:eastAsia="仿宋"/>
          <w:sz w:val="28"/>
          <w:szCs w:val="28"/>
        </w:rPr>
        <w:t>济圈发展规划，做好与国家规划的有效衔接；4、加强重点项目谋划、协调、督导，推动重点项目顺利实施。加强项目监管，保证建设项目工程质量和建设资金安全及有效使用，维护国家和社会公共利益。</w:t>
      </w:r>
    </w:p>
    <w:p>
      <w:pPr>
        <w:pStyle w:val="24"/>
        <w:rPr>
          <w:rFonts w:eastAsiaTheme="minorEastAsia"/>
          <w:lang w:eastAsia="zh-CN"/>
        </w:rPr>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320" w:firstLineChars="10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1、2024年度成安县电子政务外网扩容续约合同款项绩效目标表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13042424P0090N0100117</w:t>
            </w:r>
          </w:p>
        </w:tc>
        <w:tc>
          <w:tcPr>
            <w:tcW w:w="2835" w:type="dxa"/>
            <w:vAlign w:val="center"/>
          </w:tcPr>
          <w:p>
            <w:pPr>
              <w:pStyle w:val="11"/>
            </w:pPr>
            <w:r>
              <w:t>项目名称</w:t>
            </w:r>
          </w:p>
        </w:tc>
        <w:tc>
          <w:tcPr>
            <w:tcW w:w="6094" w:type="dxa"/>
            <w:gridSpan w:val="3"/>
            <w:vAlign w:val="center"/>
          </w:tcPr>
          <w:p>
            <w:pPr>
              <w:pStyle w:val="13"/>
            </w:pPr>
            <w:r>
              <w:t>2024年度成安县电子政务外网扩容续约合同款项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46.69</w:t>
            </w:r>
          </w:p>
        </w:tc>
        <w:tc>
          <w:tcPr>
            <w:tcW w:w="2835" w:type="dxa"/>
            <w:vAlign w:val="center"/>
          </w:tcPr>
          <w:p>
            <w:pPr>
              <w:pStyle w:val="11"/>
            </w:pPr>
            <w:r>
              <w:t>其中：财政    资金</w:t>
            </w:r>
          </w:p>
        </w:tc>
        <w:tc>
          <w:tcPr>
            <w:tcW w:w="2551" w:type="dxa"/>
            <w:vAlign w:val="center"/>
          </w:tcPr>
          <w:p>
            <w:pPr>
              <w:pStyle w:val="13"/>
            </w:pPr>
            <w:r>
              <w:t>46.69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政务外网续约年费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46.69</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1.完成329条线路铺设，由见面办理改网上办理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线路铺设条数</w:t>
            </w:r>
          </w:p>
        </w:tc>
        <w:tc>
          <w:tcPr>
            <w:tcW w:w="5386" w:type="dxa"/>
            <w:vAlign w:val="center"/>
          </w:tcPr>
          <w:p>
            <w:pPr>
              <w:pStyle w:val="13"/>
            </w:pPr>
            <w:r>
              <w:t>完成329条线路铺设</w:t>
            </w:r>
          </w:p>
        </w:tc>
        <w:tc>
          <w:tcPr>
            <w:tcW w:w="2268" w:type="dxa"/>
            <w:vAlign w:val="center"/>
          </w:tcPr>
          <w:p>
            <w:pPr>
              <w:pStyle w:val="13"/>
            </w:pPr>
            <w:r>
              <w:t>≥329条</w:t>
            </w:r>
          </w:p>
        </w:tc>
        <w:tc>
          <w:tcPr>
            <w:tcW w:w="1276" w:type="dxa"/>
            <w:vAlign w:val="center"/>
          </w:tcPr>
          <w:p>
            <w:pPr>
              <w:pStyle w:val="13"/>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线路铺设覆盖率</w:t>
            </w:r>
          </w:p>
        </w:tc>
        <w:tc>
          <w:tcPr>
            <w:tcW w:w="5386" w:type="dxa"/>
            <w:vAlign w:val="center"/>
          </w:tcPr>
          <w:p>
            <w:pPr>
              <w:pStyle w:val="13"/>
            </w:pPr>
            <w:r>
              <w:t>对单位和行政村铺设线路覆盖率</w:t>
            </w:r>
          </w:p>
        </w:tc>
        <w:tc>
          <w:tcPr>
            <w:tcW w:w="2268" w:type="dxa"/>
            <w:vAlign w:val="center"/>
          </w:tcPr>
          <w:p>
            <w:pPr>
              <w:pStyle w:val="13"/>
            </w:pPr>
            <w:r>
              <w:t>≥95%</w:t>
            </w:r>
          </w:p>
        </w:tc>
        <w:tc>
          <w:tcPr>
            <w:tcW w:w="1276" w:type="dxa"/>
            <w:vAlign w:val="center"/>
          </w:tcPr>
          <w:p>
            <w:pPr>
              <w:pStyle w:val="13"/>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工期完工时间</w:t>
            </w:r>
          </w:p>
        </w:tc>
        <w:tc>
          <w:tcPr>
            <w:tcW w:w="5386" w:type="dxa"/>
            <w:vAlign w:val="center"/>
          </w:tcPr>
          <w:p>
            <w:pPr>
              <w:pStyle w:val="13"/>
            </w:pPr>
            <w:r>
              <w:t>合同签订后180天内完成</w:t>
            </w:r>
          </w:p>
        </w:tc>
        <w:tc>
          <w:tcPr>
            <w:tcW w:w="2268" w:type="dxa"/>
            <w:vAlign w:val="center"/>
          </w:tcPr>
          <w:p>
            <w:pPr>
              <w:pStyle w:val="13"/>
            </w:pPr>
            <w:r>
              <w:t>≤180天</w:t>
            </w:r>
          </w:p>
        </w:tc>
        <w:tc>
          <w:tcPr>
            <w:tcW w:w="1276" w:type="dxa"/>
            <w:vAlign w:val="center"/>
          </w:tcPr>
          <w:p>
            <w:pPr>
              <w:pStyle w:val="13"/>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支出费用与预算费用比率</w:t>
            </w:r>
          </w:p>
        </w:tc>
        <w:tc>
          <w:tcPr>
            <w:tcW w:w="5386" w:type="dxa"/>
            <w:vAlign w:val="center"/>
          </w:tcPr>
          <w:p>
            <w:pPr>
              <w:pStyle w:val="13"/>
            </w:pPr>
            <w:r>
              <w:t>支出费用与预算费用比率</w:t>
            </w:r>
          </w:p>
        </w:tc>
        <w:tc>
          <w:tcPr>
            <w:tcW w:w="2268" w:type="dxa"/>
            <w:vAlign w:val="center"/>
          </w:tcPr>
          <w:p>
            <w:pPr>
              <w:pStyle w:val="13"/>
            </w:pPr>
            <w:r>
              <w:t>≤100%</w:t>
            </w:r>
          </w:p>
        </w:tc>
        <w:tc>
          <w:tcPr>
            <w:tcW w:w="1276" w:type="dxa"/>
            <w:vAlign w:val="center"/>
          </w:tcPr>
          <w:p>
            <w:pPr>
              <w:pStyle w:val="13"/>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数据共享率</w:t>
            </w:r>
          </w:p>
        </w:tc>
        <w:tc>
          <w:tcPr>
            <w:tcW w:w="5386" w:type="dxa"/>
            <w:vAlign w:val="center"/>
          </w:tcPr>
          <w:p>
            <w:pPr>
              <w:pStyle w:val="13"/>
            </w:pPr>
            <w:r>
              <w:t>覆盖区域数据共享率</w:t>
            </w:r>
          </w:p>
        </w:tc>
        <w:tc>
          <w:tcPr>
            <w:tcW w:w="2268" w:type="dxa"/>
            <w:vAlign w:val="center"/>
          </w:tcPr>
          <w:p>
            <w:pPr>
              <w:pStyle w:val="13"/>
            </w:pPr>
            <w:r>
              <w:t>≥90%</w:t>
            </w:r>
          </w:p>
        </w:tc>
        <w:tc>
          <w:tcPr>
            <w:tcW w:w="1276" w:type="dxa"/>
            <w:vAlign w:val="center"/>
          </w:tcPr>
          <w:p>
            <w:pPr>
              <w:pStyle w:val="13"/>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提高办事效率</w:t>
            </w:r>
          </w:p>
        </w:tc>
        <w:tc>
          <w:tcPr>
            <w:tcW w:w="5386" w:type="dxa"/>
            <w:vAlign w:val="center"/>
          </w:tcPr>
          <w:p>
            <w:pPr>
              <w:pStyle w:val="13"/>
            </w:pPr>
            <w:r>
              <w:t>由见面办理改网上办理</w:t>
            </w:r>
          </w:p>
        </w:tc>
        <w:tc>
          <w:tcPr>
            <w:tcW w:w="2268" w:type="dxa"/>
            <w:vAlign w:val="center"/>
          </w:tcPr>
          <w:p>
            <w:pPr>
              <w:pStyle w:val="13"/>
            </w:pPr>
            <w:r>
              <w:t>≥95%</w:t>
            </w:r>
          </w:p>
        </w:tc>
        <w:tc>
          <w:tcPr>
            <w:tcW w:w="1276" w:type="dxa"/>
            <w:vAlign w:val="center"/>
          </w:tcPr>
          <w:p>
            <w:pPr>
              <w:pStyle w:val="13"/>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≥5年</w:t>
            </w:r>
          </w:p>
        </w:tc>
        <w:tc>
          <w:tcPr>
            <w:tcW w:w="1276" w:type="dxa"/>
            <w:vAlign w:val="center"/>
          </w:tcPr>
          <w:p>
            <w:pPr>
              <w:pStyle w:val="13"/>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调查访问</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2、2024年劳务派遣人员工资经费绩效目标表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13042424P009WAC10006K</w:t>
            </w:r>
          </w:p>
        </w:tc>
        <w:tc>
          <w:tcPr>
            <w:tcW w:w="2835" w:type="dxa"/>
            <w:vAlign w:val="center"/>
          </w:tcPr>
          <w:p>
            <w:pPr>
              <w:pStyle w:val="11"/>
            </w:pPr>
            <w:r>
              <w:t>项目名称</w:t>
            </w:r>
          </w:p>
        </w:tc>
        <w:tc>
          <w:tcPr>
            <w:tcW w:w="6094" w:type="dxa"/>
            <w:gridSpan w:val="3"/>
            <w:vAlign w:val="center"/>
          </w:tcPr>
          <w:p>
            <w:pPr>
              <w:pStyle w:val="13"/>
            </w:pPr>
            <w:r>
              <w:t>2024年劳务派遣人员工资经费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w:t>
            </w:r>
          </w:p>
        </w:tc>
        <w:tc>
          <w:tcPr>
            <w:tcW w:w="2835" w:type="dxa"/>
            <w:vAlign w:val="center"/>
          </w:tcPr>
          <w:p>
            <w:pPr>
              <w:pStyle w:val="11"/>
            </w:pPr>
            <w:r>
              <w:t>其中：财政    资金</w:t>
            </w:r>
          </w:p>
        </w:tc>
        <w:tc>
          <w:tcPr>
            <w:tcW w:w="2551" w:type="dxa"/>
            <w:vAlign w:val="center"/>
          </w:tcPr>
          <w:p>
            <w:pPr>
              <w:pStyle w:val="13"/>
            </w:pPr>
            <w:r>
              <w:t>1.70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0.60</w:t>
            </w:r>
          </w:p>
        </w:tc>
        <w:tc>
          <w:tcPr>
            <w:tcW w:w="2835" w:type="dxa"/>
            <w:vAlign w:val="center"/>
          </w:tcPr>
          <w:p>
            <w:pPr>
              <w:pStyle w:val="14"/>
            </w:pPr>
            <w:r>
              <w:t>0.60</w:t>
            </w:r>
          </w:p>
        </w:tc>
        <w:tc>
          <w:tcPr>
            <w:tcW w:w="2551" w:type="dxa"/>
            <w:vAlign w:val="center"/>
          </w:tcPr>
          <w:p>
            <w:pPr>
              <w:pStyle w:val="14"/>
            </w:pPr>
            <w:r>
              <w:t>0.50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1.按时到月发放工资到位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劳务派遣人数</w:t>
            </w:r>
          </w:p>
        </w:tc>
        <w:tc>
          <w:tcPr>
            <w:tcW w:w="2268" w:type="dxa"/>
            <w:vAlign w:val="center"/>
          </w:tcPr>
          <w:p>
            <w:pPr>
              <w:pStyle w:val="13"/>
            </w:pPr>
            <w:r>
              <w:t>1人</w:t>
            </w:r>
          </w:p>
        </w:tc>
        <w:tc>
          <w:tcPr>
            <w:tcW w:w="1276" w:type="dxa"/>
            <w:vAlign w:val="center"/>
          </w:tcPr>
          <w:p>
            <w:pPr>
              <w:pStyle w:val="13"/>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p>
            <w:pPr>
              <w:pStyle w:val="13"/>
            </w:pPr>
          </w:p>
        </w:tc>
        <w:tc>
          <w:tcPr>
            <w:tcW w:w="5386" w:type="dxa"/>
            <w:vAlign w:val="center"/>
          </w:tcPr>
          <w:p>
            <w:pPr>
              <w:pStyle w:val="13"/>
            </w:pPr>
            <w:r>
              <w:t>工资发放率</w:t>
            </w:r>
          </w:p>
          <w:p>
            <w:pPr>
              <w:pStyle w:val="13"/>
            </w:pPr>
          </w:p>
        </w:tc>
        <w:tc>
          <w:tcPr>
            <w:tcW w:w="2268" w:type="dxa"/>
            <w:vAlign w:val="center"/>
          </w:tcPr>
          <w:p>
            <w:pPr>
              <w:pStyle w:val="13"/>
            </w:pPr>
            <w:r>
              <w:t>≥98%</w:t>
            </w:r>
          </w:p>
        </w:tc>
        <w:tc>
          <w:tcPr>
            <w:tcW w:w="1276" w:type="dxa"/>
            <w:vAlign w:val="center"/>
          </w:tcPr>
          <w:p>
            <w:pPr>
              <w:pStyle w:val="13"/>
            </w:pPr>
            <w:r>
              <w:t>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按期发放工资</w:t>
            </w:r>
          </w:p>
          <w:p>
            <w:pPr>
              <w:pStyle w:val="13"/>
            </w:pPr>
          </w:p>
        </w:tc>
        <w:tc>
          <w:tcPr>
            <w:tcW w:w="5386" w:type="dxa"/>
            <w:vAlign w:val="center"/>
          </w:tcPr>
          <w:p>
            <w:pPr>
              <w:pStyle w:val="13"/>
            </w:pPr>
            <w:r>
              <w:t>按时到月发放工资到位</w:t>
            </w:r>
          </w:p>
          <w:p>
            <w:pPr>
              <w:pStyle w:val="13"/>
            </w:pPr>
          </w:p>
        </w:tc>
        <w:tc>
          <w:tcPr>
            <w:tcW w:w="2268" w:type="dxa"/>
            <w:vAlign w:val="center"/>
          </w:tcPr>
          <w:p>
            <w:pPr>
              <w:pStyle w:val="13"/>
            </w:pPr>
            <w:r>
              <w:t>按期发放</w:t>
            </w:r>
          </w:p>
        </w:tc>
        <w:tc>
          <w:tcPr>
            <w:tcW w:w="1276" w:type="dxa"/>
            <w:vAlign w:val="center"/>
          </w:tcPr>
          <w:p>
            <w:pPr>
              <w:pStyle w:val="13"/>
            </w:pPr>
            <w:r>
              <w:t>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人均发放工资额</w:t>
            </w:r>
          </w:p>
          <w:p>
            <w:pPr>
              <w:pStyle w:val="13"/>
            </w:pPr>
          </w:p>
        </w:tc>
        <w:tc>
          <w:tcPr>
            <w:tcW w:w="5386" w:type="dxa"/>
            <w:vAlign w:val="center"/>
          </w:tcPr>
          <w:p>
            <w:pPr>
              <w:pStyle w:val="13"/>
            </w:pPr>
            <w:r>
              <w:t>每月人均发放工资额</w:t>
            </w:r>
          </w:p>
        </w:tc>
        <w:tc>
          <w:tcPr>
            <w:tcW w:w="2268" w:type="dxa"/>
            <w:vAlign w:val="center"/>
          </w:tcPr>
          <w:p>
            <w:pPr>
              <w:pStyle w:val="13"/>
            </w:pPr>
            <w:r>
              <w:t>1700元</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p>
            <w:pPr>
              <w:pStyle w:val="13"/>
            </w:pPr>
          </w:p>
        </w:tc>
        <w:tc>
          <w:tcPr>
            <w:tcW w:w="5386" w:type="dxa"/>
            <w:vAlign w:val="center"/>
          </w:tcPr>
          <w:p>
            <w:pPr>
              <w:pStyle w:val="13"/>
            </w:pPr>
            <w:r>
              <w:t>不涉及</w:t>
            </w:r>
          </w:p>
          <w:p>
            <w:pPr>
              <w:pStyle w:val="13"/>
            </w:pP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p>
            <w:pPr>
              <w:pStyle w:val="13"/>
            </w:pPr>
          </w:p>
        </w:tc>
        <w:tc>
          <w:tcPr>
            <w:tcW w:w="5386" w:type="dxa"/>
            <w:vAlign w:val="center"/>
          </w:tcPr>
          <w:p>
            <w:pPr>
              <w:pStyle w:val="13"/>
            </w:pPr>
            <w:r>
              <w:t>不涉及</w:t>
            </w:r>
          </w:p>
          <w:p>
            <w:pPr>
              <w:pStyle w:val="13"/>
            </w:pP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p>
            <w:pPr>
              <w:pStyle w:val="13"/>
            </w:pPr>
          </w:p>
        </w:tc>
        <w:tc>
          <w:tcPr>
            <w:tcW w:w="5386" w:type="dxa"/>
            <w:vAlign w:val="center"/>
          </w:tcPr>
          <w:p>
            <w:pPr>
              <w:pStyle w:val="13"/>
            </w:pPr>
            <w:r>
              <w:t>不涉及</w:t>
            </w:r>
          </w:p>
          <w:p>
            <w:pPr>
              <w:pStyle w:val="13"/>
            </w:pP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劳务派遣人员提供服务的期限</w:t>
            </w:r>
          </w:p>
        </w:tc>
        <w:tc>
          <w:tcPr>
            <w:tcW w:w="5386" w:type="dxa"/>
            <w:vAlign w:val="center"/>
          </w:tcPr>
          <w:p>
            <w:pPr>
              <w:pStyle w:val="13"/>
            </w:pPr>
            <w:r>
              <w:t xml:space="preserve">  劳务派遣人员提供服务的期限</w:t>
            </w:r>
          </w:p>
        </w:tc>
        <w:tc>
          <w:tcPr>
            <w:tcW w:w="2268" w:type="dxa"/>
            <w:vAlign w:val="center"/>
          </w:tcPr>
          <w:p>
            <w:pPr>
              <w:pStyle w:val="13"/>
            </w:pPr>
            <w:r>
              <w:t>服务期限</w:t>
            </w:r>
          </w:p>
        </w:tc>
        <w:tc>
          <w:tcPr>
            <w:tcW w:w="1276" w:type="dxa"/>
            <w:vAlign w:val="center"/>
          </w:tcPr>
          <w:p>
            <w:pPr>
              <w:pStyle w:val="13"/>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p>
            <w:pPr>
              <w:pStyle w:val="13"/>
            </w:pPr>
          </w:p>
        </w:tc>
        <w:tc>
          <w:tcPr>
            <w:tcW w:w="5386" w:type="dxa"/>
            <w:vAlign w:val="center"/>
          </w:tcPr>
          <w:p>
            <w:pPr>
              <w:pStyle w:val="13"/>
            </w:pPr>
            <w:r>
              <w:t>劳务派遣人员的满意度</w:t>
            </w:r>
          </w:p>
          <w:p>
            <w:pPr>
              <w:pStyle w:val="13"/>
            </w:pPr>
          </w:p>
        </w:tc>
        <w:tc>
          <w:tcPr>
            <w:tcW w:w="2268" w:type="dxa"/>
            <w:vAlign w:val="center"/>
          </w:tcPr>
          <w:p>
            <w:pPr>
              <w:pStyle w:val="13"/>
            </w:pPr>
            <w:r>
              <w:t>≥98%</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3、2024年粮食局职工安置费绩效目标表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13042424P00816U10005L</w:t>
            </w:r>
          </w:p>
        </w:tc>
        <w:tc>
          <w:tcPr>
            <w:tcW w:w="2835" w:type="dxa"/>
            <w:vAlign w:val="center"/>
          </w:tcPr>
          <w:p>
            <w:pPr>
              <w:pStyle w:val="11"/>
            </w:pPr>
            <w:r>
              <w:t>项目名称</w:t>
            </w:r>
          </w:p>
        </w:tc>
        <w:tc>
          <w:tcPr>
            <w:tcW w:w="6094" w:type="dxa"/>
            <w:gridSpan w:val="3"/>
            <w:vAlign w:val="center"/>
          </w:tcPr>
          <w:p>
            <w:pPr>
              <w:pStyle w:val="13"/>
            </w:pPr>
            <w:r>
              <w:t>2024年粮食局职工安置费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93.00</w:t>
            </w:r>
          </w:p>
        </w:tc>
        <w:tc>
          <w:tcPr>
            <w:tcW w:w="2835" w:type="dxa"/>
            <w:vAlign w:val="center"/>
          </w:tcPr>
          <w:p>
            <w:pPr>
              <w:pStyle w:val="11"/>
            </w:pPr>
            <w:r>
              <w:t>其中：财政    资金</w:t>
            </w:r>
          </w:p>
        </w:tc>
        <w:tc>
          <w:tcPr>
            <w:tcW w:w="2551" w:type="dxa"/>
            <w:vAlign w:val="center"/>
          </w:tcPr>
          <w:p>
            <w:pPr>
              <w:pStyle w:val="13"/>
            </w:pPr>
            <w:r>
              <w:t>93.00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支付粮食局自收自支人员工资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23.25</w:t>
            </w:r>
          </w:p>
        </w:tc>
        <w:tc>
          <w:tcPr>
            <w:tcW w:w="2835" w:type="dxa"/>
            <w:vAlign w:val="center"/>
          </w:tcPr>
          <w:p>
            <w:pPr>
              <w:pStyle w:val="14"/>
            </w:pPr>
            <w:r>
              <w:t>23.25</w:t>
            </w:r>
          </w:p>
        </w:tc>
        <w:tc>
          <w:tcPr>
            <w:tcW w:w="2551" w:type="dxa"/>
            <w:vAlign w:val="center"/>
          </w:tcPr>
          <w:p>
            <w:pPr>
              <w:pStyle w:val="14"/>
            </w:pPr>
            <w:r>
              <w:t>23.25</w:t>
            </w:r>
          </w:p>
        </w:tc>
        <w:tc>
          <w:tcPr>
            <w:tcW w:w="3543" w:type="dxa"/>
            <w:gridSpan w:val="2"/>
            <w:vAlign w:val="center"/>
          </w:tcPr>
          <w:p>
            <w:pPr>
              <w:pStyle w:val="14"/>
            </w:pPr>
            <w:r>
              <w:t>23.25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1.保障单位工作顺利进行，维护社会稳定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享受安置费职工人数</w:t>
            </w:r>
          </w:p>
        </w:tc>
        <w:tc>
          <w:tcPr>
            <w:tcW w:w="5386" w:type="dxa"/>
            <w:vAlign w:val="center"/>
          </w:tcPr>
          <w:p>
            <w:pPr>
              <w:pStyle w:val="13"/>
            </w:pPr>
            <w:r>
              <w:t>现有在职自收自支职工人数</w:t>
            </w:r>
          </w:p>
        </w:tc>
        <w:tc>
          <w:tcPr>
            <w:tcW w:w="2268" w:type="dxa"/>
            <w:vAlign w:val="center"/>
          </w:tcPr>
          <w:p>
            <w:pPr>
              <w:pStyle w:val="13"/>
            </w:pPr>
            <w:r>
              <w:t>18人</w:t>
            </w:r>
          </w:p>
        </w:tc>
        <w:tc>
          <w:tcPr>
            <w:tcW w:w="1276" w:type="dxa"/>
            <w:vAlign w:val="center"/>
          </w:tcPr>
          <w:p>
            <w:pPr>
              <w:pStyle w:val="13"/>
            </w:pPr>
            <w:r>
              <w:t>在职职工人数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实际发放的工资金额占计划发放金额的比率</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按时发放工资</w:t>
            </w:r>
          </w:p>
        </w:tc>
        <w:tc>
          <w:tcPr>
            <w:tcW w:w="2268" w:type="dxa"/>
            <w:vAlign w:val="center"/>
          </w:tcPr>
          <w:p>
            <w:pPr>
              <w:pStyle w:val="13"/>
            </w:pPr>
            <w:r>
              <w:t>按每月工资表及时发放</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人均发放工资额</w:t>
            </w:r>
          </w:p>
        </w:tc>
        <w:tc>
          <w:tcPr>
            <w:tcW w:w="5386" w:type="dxa"/>
            <w:vAlign w:val="center"/>
          </w:tcPr>
          <w:p>
            <w:pPr>
              <w:pStyle w:val="13"/>
            </w:pPr>
            <w:r>
              <w:t>每月人均发放工资额</w:t>
            </w:r>
          </w:p>
        </w:tc>
        <w:tc>
          <w:tcPr>
            <w:tcW w:w="2268" w:type="dxa"/>
            <w:vAlign w:val="center"/>
          </w:tcPr>
          <w:p>
            <w:pPr>
              <w:pStyle w:val="13"/>
            </w:pPr>
            <w:r>
              <w:t>≥4305元</w:t>
            </w:r>
          </w:p>
        </w:tc>
        <w:tc>
          <w:tcPr>
            <w:tcW w:w="1276" w:type="dxa"/>
            <w:vAlign w:val="center"/>
          </w:tcPr>
          <w:p>
            <w:pPr>
              <w:pStyle w:val="13"/>
            </w:pPr>
            <w:r>
              <w:t>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≥98成本/质量可比</w:t>
            </w:r>
          </w:p>
        </w:tc>
        <w:tc>
          <w:tcPr>
            <w:tcW w:w="1276" w:type="dxa"/>
            <w:vAlign w:val="center"/>
          </w:tcPr>
          <w:p>
            <w:pPr>
              <w:pStyle w:val="13"/>
            </w:pPr>
            <w:r>
              <w:t>成本可控率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保障机关业务运转</w:t>
            </w:r>
          </w:p>
        </w:tc>
        <w:tc>
          <w:tcPr>
            <w:tcW w:w="5386" w:type="dxa"/>
            <w:vAlign w:val="center"/>
          </w:tcPr>
          <w:p>
            <w:pPr>
              <w:pStyle w:val="13"/>
            </w:pPr>
            <w:r>
              <w:t>保障机关工作业务正常运转</w:t>
            </w:r>
          </w:p>
        </w:tc>
        <w:tc>
          <w:tcPr>
            <w:tcW w:w="2268" w:type="dxa"/>
            <w:vAlign w:val="center"/>
          </w:tcPr>
          <w:p>
            <w:pPr>
              <w:pStyle w:val="13"/>
            </w:pPr>
            <w:r>
              <w:t>机关工作业务正常运转</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保障单位工作顺利进行，维护社会稳定</w:t>
            </w:r>
          </w:p>
        </w:tc>
        <w:tc>
          <w:tcPr>
            <w:tcW w:w="2268" w:type="dxa"/>
            <w:vAlign w:val="center"/>
          </w:tcPr>
          <w:p>
            <w:pPr>
              <w:pStyle w:val="13"/>
            </w:pPr>
            <w:r>
              <w:t>≥98%</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调查中满意和较满意的人数占调查总人数胡比率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4、2024年贸促会人员工资绩效目标表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13042424P00YU8110010B</w:t>
            </w:r>
          </w:p>
        </w:tc>
        <w:tc>
          <w:tcPr>
            <w:tcW w:w="2835" w:type="dxa"/>
            <w:vAlign w:val="center"/>
          </w:tcPr>
          <w:p>
            <w:pPr>
              <w:pStyle w:val="11"/>
            </w:pPr>
            <w:r>
              <w:t>项目名称</w:t>
            </w:r>
          </w:p>
        </w:tc>
        <w:tc>
          <w:tcPr>
            <w:tcW w:w="6094" w:type="dxa"/>
            <w:gridSpan w:val="3"/>
            <w:vAlign w:val="center"/>
          </w:tcPr>
          <w:p>
            <w:pPr>
              <w:pStyle w:val="13"/>
            </w:pPr>
            <w:r>
              <w:t>2024年贸促会人员工资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支付原元贸促会人员工资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发放工资的人数</w:t>
            </w:r>
          </w:p>
        </w:tc>
        <w:tc>
          <w:tcPr>
            <w:tcW w:w="5386" w:type="dxa"/>
            <w:vAlign w:val="center"/>
          </w:tcPr>
          <w:p>
            <w:pPr>
              <w:pStyle w:val="13"/>
            </w:pPr>
            <w:r>
              <w:t>发放工资的人数</w:t>
            </w:r>
          </w:p>
        </w:tc>
        <w:tc>
          <w:tcPr>
            <w:tcW w:w="2268" w:type="dxa"/>
            <w:vAlign w:val="center"/>
          </w:tcPr>
          <w:p>
            <w:pPr>
              <w:pStyle w:val="13"/>
            </w:pPr>
            <w:r>
              <w:t>2人</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实际发放的工资额站计划发放工资金额的比率</w:t>
            </w:r>
          </w:p>
          <w:p>
            <w:pPr>
              <w:pStyle w:val="13"/>
            </w:pPr>
          </w:p>
        </w:tc>
        <w:tc>
          <w:tcPr>
            <w:tcW w:w="2268" w:type="dxa"/>
            <w:vAlign w:val="center"/>
          </w:tcPr>
          <w:p>
            <w:pPr>
              <w:pStyle w:val="13"/>
            </w:pPr>
            <w:r>
              <w:t>≥100%</w:t>
            </w:r>
          </w:p>
        </w:tc>
        <w:tc>
          <w:tcPr>
            <w:tcW w:w="1276" w:type="dxa"/>
            <w:vAlign w:val="center"/>
          </w:tcPr>
          <w:p>
            <w:pPr>
              <w:pStyle w:val="13"/>
            </w:pPr>
            <w:r>
              <w:t>支付回单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支付回单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每人每月发放工资数</w:t>
            </w:r>
          </w:p>
          <w:p>
            <w:pPr>
              <w:pStyle w:val="13"/>
            </w:pPr>
          </w:p>
        </w:tc>
        <w:tc>
          <w:tcPr>
            <w:tcW w:w="5386" w:type="dxa"/>
            <w:vAlign w:val="center"/>
          </w:tcPr>
          <w:p>
            <w:pPr>
              <w:pStyle w:val="13"/>
            </w:pPr>
            <w:r>
              <w:t>每人每月发放工资数</w:t>
            </w:r>
          </w:p>
        </w:tc>
        <w:tc>
          <w:tcPr>
            <w:tcW w:w="2268" w:type="dxa"/>
            <w:vAlign w:val="center"/>
          </w:tcPr>
          <w:p>
            <w:pPr>
              <w:pStyle w:val="13"/>
            </w:pPr>
            <w:r>
              <w:t>1667元</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提高工作，增加员工积极性</w:t>
            </w:r>
          </w:p>
        </w:tc>
        <w:tc>
          <w:tcPr>
            <w:tcW w:w="5386" w:type="dxa"/>
            <w:vAlign w:val="center"/>
          </w:tcPr>
          <w:p>
            <w:pPr>
              <w:pStyle w:val="13"/>
            </w:pPr>
            <w:r>
              <w:t>提高工作，增加员工积极性</w:t>
            </w:r>
          </w:p>
        </w:tc>
        <w:tc>
          <w:tcPr>
            <w:tcW w:w="2268" w:type="dxa"/>
            <w:vAlign w:val="center"/>
          </w:tcPr>
          <w:p>
            <w:pPr>
              <w:pStyle w:val="13"/>
            </w:pPr>
            <w:r>
              <w:t>有效提高</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提升人员生活保障</w:t>
            </w:r>
          </w:p>
        </w:tc>
        <w:tc>
          <w:tcPr>
            <w:tcW w:w="5386" w:type="dxa"/>
            <w:vAlign w:val="center"/>
          </w:tcPr>
          <w:p>
            <w:pPr>
              <w:pStyle w:val="13"/>
            </w:pPr>
            <w:r>
              <w:t>提升人员生活保障</w:t>
            </w:r>
          </w:p>
        </w:tc>
        <w:tc>
          <w:tcPr>
            <w:tcW w:w="2268" w:type="dxa"/>
            <w:vAlign w:val="center"/>
          </w:tcPr>
          <w:p>
            <w:pPr>
              <w:pStyle w:val="13"/>
            </w:pPr>
            <w:r>
              <w:t>有效提升</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5、2024年企业扶持发展资金绩效目标表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13042424P00TAY910003Q</w:t>
            </w:r>
          </w:p>
        </w:tc>
        <w:tc>
          <w:tcPr>
            <w:tcW w:w="2835" w:type="dxa"/>
            <w:vAlign w:val="center"/>
          </w:tcPr>
          <w:p>
            <w:pPr>
              <w:pStyle w:val="11"/>
            </w:pPr>
            <w:r>
              <w:t>项目名称</w:t>
            </w:r>
          </w:p>
        </w:tc>
        <w:tc>
          <w:tcPr>
            <w:tcW w:w="6094" w:type="dxa"/>
            <w:gridSpan w:val="3"/>
            <w:vAlign w:val="center"/>
          </w:tcPr>
          <w:p>
            <w:pPr>
              <w:pStyle w:val="13"/>
            </w:pPr>
            <w:r>
              <w:t>2024年企业扶持发展资金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27.90</w:t>
            </w:r>
          </w:p>
        </w:tc>
        <w:tc>
          <w:tcPr>
            <w:tcW w:w="2835" w:type="dxa"/>
            <w:vAlign w:val="center"/>
          </w:tcPr>
          <w:p>
            <w:pPr>
              <w:pStyle w:val="11"/>
            </w:pPr>
            <w:r>
              <w:t>其中：财政    资金</w:t>
            </w:r>
          </w:p>
        </w:tc>
        <w:tc>
          <w:tcPr>
            <w:tcW w:w="2551" w:type="dxa"/>
            <w:vAlign w:val="center"/>
          </w:tcPr>
          <w:p>
            <w:pPr>
              <w:pStyle w:val="13"/>
            </w:pPr>
            <w:r>
              <w:t>27.90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支付企业扶持资金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6.98</w:t>
            </w:r>
          </w:p>
        </w:tc>
        <w:tc>
          <w:tcPr>
            <w:tcW w:w="2835" w:type="dxa"/>
            <w:vAlign w:val="center"/>
          </w:tcPr>
          <w:p>
            <w:pPr>
              <w:pStyle w:val="14"/>
            </w:pPr>
            <w:r>
              <w:t>6.98</w:t>
            </w:r>
          </w:p>
        </w:tc>
        <w:tc>
          <w:tcPr>
            <w:tcW w:w="2551" w:type="dxa"/>
            <w:vAlign w:val="center"/>
          </w:tcPr>
          <w:p>
            <w:pPr>
              <w:pStyle w:val="14"/>
            </w:pPr>
            <w:r>
              <w:t>6.98</w:t>
            </w:r>
          </w:p>
        </w:tc>
        <w:tc>
          <w:tcPr>
            <w:tcW w:w="3543" w:type="dxa"/>
            <w:gridSpan w:val="2"/>
            <w:vAlign w:val="center"/>
          </w:tcPr>
          <w:p>
            <w:pPr>
              <w:pStyle w:val="14"/>
            </w:pPr>
            <w:r>
              <w:t>6.98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1.鼓励企业不断提升国际化经营能力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扶持企业覆盖率</w:t>
            </w:r>
          </w:p>
        </w:tc>
        <w:tc>
          <w:tcPr>
            <w:tcW w:w="5386" w:type="dxa"/>
            <w:vAlign w:val="center"/>
          </w:tcPr>
          <w:p>
            <w:pPr>
              <w:pStyle w:val="13"/>
            </w:pPr>
            <w:r>
              <w:t>出口奖励扶持企业覆盖率</w:t>
            </w:r>
          </w:p>
        </w:tc>
        <w:tc>
          <w:tcPr>
            <w:tcW w:w="2268" w:type="dxa"/>
            <w:vAlign w:val="center"/>
          </w:tcPr>
          <w:p>
            <w:pPr>
              <w:pStyle w:val="13"/>
            </w:pPr>
            <w:r>
              <w:t>≥98％</w:t>
            </w:r>
          </w:p>
        </w:tc>
        <w:tc>
          <w:tcPr>
            <w:tcW w:w="1276" w:type="dxa"/>
            <w:vAlign w:val="center"/>
          </w:tcPr>
          <w:p>
            <w:pPr>
              <w:pStyle w:val="13"/>
            </w:pPr>
            <w:r>
              <w:t>根据上年支出凭证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企业出口率</w:t>
            </w:r>
          </w:p>
        </w:tc>
        <w:tc>
          <w:tcPr>
            <w:tcW w:w="5386" w:type="dxa"/>
            <w:vAlign w:val="center"/>
          </w:tcPr>
          <w:p>
            <w:pPr>
              <w:pStyle w:val="13"/>
            </w:pPr>
            <w:r>
              <w:t>企业出口率</w:t>
            </w:r>
          </w:p>
        </w:tc>
        <w:tc>
          <w:tcPr>
            <w:tcW w:w="2268" w:type="dxa"/>
            <w:vAlign w:val="center"/>
          </w:tcPr>
          <w:p>
            <w:pPr>
              <w:pStyle w:val="13"/>
            </w:pPr>
            <w:r>
              <w:t>≥90％</w:t>
            </w:r>
          </w:p>
        </w:tc>
        <w:tc>
          <w:tcPr>
            <w:tcW w:w="1276" w:type="dxa"/>
            <w:vAlign w:val="center"/>
          </w:tcPr>
          <w:p>
            <w:pPr>
              <w:pStyle w:val="13"/>
            </w:pPr>
            <w:r>
              <w:t>根据海关提供数据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扶持奖励企业年度</w:t>
            </w:r>
          </w:p>
        </w:tc>
        <w:tc>
          <w:tcPr>
            <w:tcW w:w="5386" w:type="dxa"/>
            <w:vAlign w:val="center"/>
          </w:tcPr>
          <w:p>
            <w:pPr>
              <w:pStyle w:val="13"/>
            </w:pPr>
            <w:r>
              <w:t>扶持奖励企业年度</w:t>
            </w:r>
          </w:p>
        </w:tc>
        <w:tc>
          <w:tcPr>
            <w:tcW w:w="2268" w:type="dxa"/>
            <w:vAlign w:val="center"/>
          </w:tcPr>
          <w:p>
            <w:pPr>
              <w:pStyle w:val="13"/>
            </w:pPr>
            <w:r>
              <w:t>2021年</w:t>
            </w:r>
          </w:p>
        </w:tc>
        <w:tc>
          <w:tcPr>
            <w:tcW w:w="1276" w:type="dxa"/>
            <w:vAlign w:val="center"/>
          </w:tcPr>
          <w:p>
            <w:pPr>
              <w:pStyle w:val="13"/>
            </w:pPr>
            <w:r>
              <w:t>支付记录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企业奖励标准</w:t>
            </w:r>
          </w:p>
        </w:tc>
        <w:tc>
          <w:tcPr>
            <w:tcW w:w="5386" w:type="dxa"/>
            <w:vAlign w:val="center"/>
          </w:tcPr>
          <w:p>
            <w:pPr>
              <w:pStyle w:val="13"/>
            </w:pPr>
            <w:r>
              <w:t>每家企业扶持奖励标准</w:t>
            </w:r>
          </w:p>
        </w:tc>
        <w:tc>
          <w:tcPr>
            <w:tcW w:w="2268" w:type="dxa"/>
            <w:vAlign w:val="center"/>
          </w:tcPr>
          <w:p>
            <w:pPr>
              <w:pStyle w:val="13"/>
            </w:pPr>
            <w:r>
              <w:t>成政字[2018]111号</w:t>
            </w:r>
          </w:p>
        </w:tc>
        <w:tc>
          <w:tcPr>
            <w:tcW w:w="1276" w:type="dxa"/>
            <w:vAlign w:val="center"/>
          </w:tcPr>
          <w:p>
            <w:pPr>
              <w:pStyle w:val="13"/>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扶持企业更好的发展</w:t>
            </w:r>
          </w:p>
        </w:tc>
        <w:tc>
          <w:tcPr>
            <w:tcW w:w="5386" w:type="dxa"/>
            <w:vAlign w:val="center"/>
          </w:tcPr>
          <w:p>
            <w:pPr>
              <w:pStyle w:val="13"/>
            </w:pPr>
            <w:r>
              <w:t>鼓励企业不断提升国际化经营能力</w:t>
            </w:r>
          </w:p>
        </w:tc>
        <w:tc>
          <w:tcPr>
            <w:tcW w:w="2268" w:type="dxa"/>
            <w:vAlign w:val="center"/>
          </w:tcPr>
          <w:p>
            <w:pPr>
              <w:pStyle w:val="13"/>
            </w:pPr>
            <w:r>
              <w:t>效果显著</w:t>
            </w:r>
          </w:p>
        </w:tc>
        <w:tc>
          <w:tcPr>
            <w:tcW w:w="1276"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提高企业出口创汇的积极性</w:t>
            </w:r>
          </w:p>
        </w:tc>
        <w:tc>
          <w:tcPr>
            <w:tcW w:w="2268" w:type="dxa"/>
            <w:vAlign w:val="center"/>
          </w:tcPr>
          <w:p>
            <w:pPr>
              <w:pStyle w:val="13"/>
            </w:pPr>
            <w:r>
              <w:t>效果显著</w:t>
            </w:r>
          </w:p>
        </w:tc>
        <w:tc>
          <w:tcPr>
            <w:tcW w:w="1276"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受益企业满意度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6、2024年县级储备粮利息费用补贴绩效目标表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13042424P00G7KN10006W</w:t>
            </w:r>
          </w:p>
        </w:tc>
        <w:tc>
          <w:tcPr>
            <w:tcW w:w="2835" w:type="dxa"/>
            <w:vAlign w:val="center"/>
          </w:tcPr>
          <w:p>
            <w:pPr>
              <w:pStyle w:val="11"/>
            </w:pPr>
            <w:r>
              <w:t>项目名称</w:t>
            </w:r>
          </w:p>
        </w:tc>
        <w:tc>
          <w:tcPr>
            <w:tcW w:w="6094" w:type="dxa"/>
            <w:gridSpan w:val="3"/>
            <w:vAlign w:val="center"/>
          </w:tcPr>
          <w:p>
            <w:pPr>
              <w:pStyle w:val="13"/>
            </w:pPr>
            <w:r>
              <w:t>2024年县级储备粮利息费用补贴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167.80</w:t>
            </w:r>
          </w:p>
        </w:tc>
        <w:tc>
          <w:tcPr>
            <w:tcW w:w="2835" w:type="dxa"/>
            <w:vAlign w:val="center"/>
          </w:tcPr>
          <w:p>
            <w:pPr>
              <w:pStyle w:val="11"/>
            </w:pPr>
            <w:r>
              <w:t>其中：财政    资金</w:t>
            </w:r>
          </w:p>
        </w:tc>
        <w:tc>
          <w:tcPr>
            <w:tcW w:w="2551" w:type="dxa"/>
            <w:vAlign w:val="center"/>
          </w:tcPr>
          <w:p>
            <w:pPr>
              <w:pStyle w:val="13"/>
            </w:pPr>
            <w:r>
              <w:t>167.80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用于支付县级储备粮利息费用补贴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41.95</w:t>
            </w:r>
          </w:p>
        </w:tc>
        <w:tc>
          <w:tcPr>
            <w:tcW w:w="2835" w:type="dxa"/>
            <w:vAlign w:val="center"/>
          </w:tcPr>
          <w:p>
            <w:pPr>
              <w:pStyle w:val="14"/>
            </w:pPr>
            <w:r>
              <w:t>41.95</w:t>
            </w:r>
          </w:p>
        </w:tc>
        <w:tc>
          <w:tcPr>
            <w:tcW w:w="2551" w:type="dxa"/>
            <w:vAlign w:val="center"/>
          </w:tcPr>
          <w:p>
            <w:pPr>
              <w:pStyle w:val="14"/>
            </w:pPr>
            <w:r>
              <w:t>41.95</w:t>
            </w:r>
          </w:p>
        </w:tc>
        <w:tc>
          <w:tcPr>
            <w:tcW w:w="3543" w:type="dxa"/>
            <w:gridSpan w:val="2"/>
            <w:vAlign w:val="center"/>
          </w:tcPr>
          <w:p>
            <w:pPr>
              <w:pStyle w:val="14"/>
            </w:pPr>
            <w:r>
              <w:t>41.95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1.保持储备粮供应稳定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储备粮数量</w:t>
            </w:r>
          </w:p>
        </w:tc>
        <w:tc>
          <w:tcPr>
            <w:tcW w:w="5386" w:type="dxa"/>
            <w:vAlign w:val="center"/>
          </w:tcPr>
          <w:p>
            <w:pPr>
              <w:pStyle w:val="13"/>
            </w:pPr>
            <w:r>
              <w:t>储备粮数量</w:t>
            </w:r>
          </w:p>
        </w:tc>
        <w:tc>
          <w:tcPr>
            <w:tcW w:w="2268" w:type="dxa"/>
            <w:vAlign w:val="center"/>
          </w:tcPr>
          <w:p>
            <w:pPr>
              <w:pStyle w:val="13"/>
            </w:pPr>
            <w:r>
              <w:t>10000吨</w:t>
            </w:r>
          </w:p>
        </w:tc>
        <w:tc>
          <w:tcPr>
            <w:tcW w:w="1276" w:type="dxa"/>
            <w:vAlign w:val="center"/>
          </w:tcPr>
          <w:p>
            <w:pPr>
              <w:pStyle w:val="13"/>
            </w:pPr>
            <w:r>
              <w:t>实际库存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物资优良率</w:t>
            </w:r>
          </w:p>
        </w:tc>
        <w:tc>
          <w:tcPr>
            <w:tcW w:w="5386" w:type="dxa"/>
            <w:vAlign w:val="center"/>
          </w:tcPr>
          <w:p>
            <w:pPr>
              <w:pStyle w:val="13"/>
            </w:pPr>
            <w:r>
              <w:t>无质量问题储备粮数量占物资总数的占比</w:t>
            </w:r>
          </w:p>
        </w:tc>
        <w:tc>
          <w:tcPr>
            <w:tcW w:w="2268" w:type="dxa"/>
            <w:vAlign w:val="center"/>
          </w:tcPr>
          <w:p>
            <w:pPr>
              <w:pStyle w:val="13"/>
            </w:pPr>
            <w:r>
              <w:t>≥95%</w:t>
            </w:r>
          </w:p>
        </w:tc>
        <w:tc>
          <w:tcPr>
            <w:tcW w:w="1276" w:type="dxa"/>
            <w:vAlign w:val="center"/>
          </w:tcPr>
          <w:p>
            <w:pPr>
              <w:pStyle w:val="13"/>
            </w:pPr>
            <w:r>
              <w:t>实际质量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拨付时限</w:t>
            </w:r>
          </w:p>
        </w:tc>
        <w:tc>
          <w:tcPr>
            <w:tcW w:w="5386" w:type="dxa"/>
            <w:vAlign w:val="center"/>
          </w:tcPr>
          <w:p>
            <w:pPr>
              <w:pStyle w:val="13"/>
            </w:pPr>
            <w:r>
              <w:t>储备补贴拨付时限</w:t>
            </w:r>
          </w:p>
        </w:tc>
        <w:tc>
          <w:tcPr>
            <w:tcW w:w="2268" w:type="dxa"/>
            <w:vAlign w:val="center"/>
          </w:tcPr>
          <w:p>
            <w:pPr>
              <w:pStyle w:val="13"/>
            </w:pPr>
            <w:r>
              <w:t>2023年</w:t>
            </w:r>
          </w:p>
        </w:tc>
        <w:tc>
          <w:tcPr>
            <w:tcW w:w="1276" w:type="dxa"/>
            <w:vAlign w:val="center"/>
          </w:tcPr>
          <w:p>
            <w:pPr>
              <w:pStyle w:val="13"/>
            </w:pPr>
            <w:r>
              <w:t>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发放标准</w:t>
            </w:r>
          </w:p>
        </w:tc>
        <w:tc>
          <w:tcPr>
            <w:tcW w:w="5386" w:type="dxa"/>
            <w:vAlign w:val="center"/>
          </w:tcPr>
          <w:p>
            <w:pPr>
              <w:pStyle w:val="13"/>
            </w:pPr>
            <w:r>
              <w:t>储备补贴发放标准</w:t>
            </w:r>
          </w:p>
        </w:tc>
        <w:tc>
          <w:tcPr>
            <w:tcW w:w="2268" w:type="dxa"/>
            <w:vAlign w:val="center"/>
          </w:tcPr>
          <w:p>
            <w:pPr>
              <w:pStyle w:val="13"/>
            </w:pPr>
            <w:r>
              <w:t>每吨80元</w:t>
            </w:r>
          </w:p>
        </w:tc>
        <w:tc>
          <w:tcPr>
            <w:tcW w:w="1276" w:type="dxa"/>
            <w:vAlign w:val="center"/>
          </w:tcPr>
          <w:p>
            <w:pPr>
              <w:pStyle w:val="13"/>
            </w:pPr>
            <w:r>
              <w:t>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提高我县粮食供应抗风险能力</w:t>
            </w:r>
          </w:p>
        </w:tc>
        <w:tc>
          <w:tcPr>
            <w:tcW w:w="2268" w:type="dxa"/>
            <w:vAlign w:val="center"/>
          </w:tcPr>
          <w:p>
            <w:pPr>
              <w:pStyle w:val="13"/>
            </w:pPr>
            <w:r>
              <w:t>有所提高</w:t>
            </w:r>
          </w:p>
        </w:tc>
        <w:tc>
          <w:tcPr>
            <w:tcW w:w="1276"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储备粮供应稳定</w:t>
            </w:r>
          </w:p>
        </w:tc>
        <w:tc>
          <w:tcPr>
            <w:tcW w:w="5386" w:type="dxa"/>
            <w:vAlign w:val="center"/>
          </w:tcPr>
          <w:p>
            <w:pPr>
              <w:pStyle w:val="13"/>
            </w:pPr>
            <w:r>
              <w:t>保持储备粮供应稳定</w:t>
            </w:r>
          </w:p>
        </w:tc>
        <w:tc>
          <w:tcPr>
            <w:tcW w:w="2268" w:type="dxa"/>
            <w:vAlign w:val="center"/>
          </w:tcPr>
          <w:p>
            <w:pPr>
              <w:pStyle w:val="13"/>
            </w:pPr>
            <w:r>
              <w:t>有所提高</w:t>
            </w:r>
          </w:p>
        </w:tc>
        <w:tc>
          <w:tcPr>
            <w:tcW w:w="1276"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对储备粮储存工作的满意度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7、2024年云视频服务费绩效目标表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13042424P001PDR10152X</w:t>
            </w:r>
          </w:p>
        </w:tc>
        <w:tc>
          <w:tcPr>
            <w:tcW w:w="2835" w:type="dxa"/>
            <w:vAlign w:val="center"/>
          </w:tcPr>
          <w:p>
            <w:pPr>
              <w:pStyle w:val="11"/>
            </w:pPr>
            <w:r>
              <w:t>项目名称</w:t>
            </w:r>
          </w:p>
        </w:tc>
        <w:tc>
          <w:tcPr>
            <w:tcW w:w="6094" w:type="dxa"/>
            <w:gridSpan w:val="3"/>
            <w:vAlign w:val="center"/>
          </w:tcPr>
          <w:p>
            <w:pPr>
              <w:pStyle w:val="13"/>
            </w:pPr>
            <w:r>
              <w:t>2024年云视频服务费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0.84</w:t>
            </w:r>
          </w:p>
        </w:tc>
        <w:tc>
          <w:tcPr>
            <w:tcW w:w="2835" w:type="dxa"/>
            <w:vAlign w:val="center"/>
          </w:tcPr>
          <w:p>
            <w:pPr>
              <w:pStyle w:val="11"/>
            </w:pPr>
            <w:r>
              <w:t>其中：财政    资金</w:t>
            </w:r>
          </w:p>
        </w:tc>
        <w:tc>
          <w:tcPr>
            <w:tcW w:w="2551" w:type="dxa"/>
            <w:vAlign w:val="center"/>
          </w:tcPr>
          <w:p>
            <w:pPr>
              <w:pStyle w:val="13"/>
            </w:pPr>
            <w:r>
              <w:t>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0.84</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1.保证单位云视频会议正常进行，各项工作正常开展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增加云视频会议次数</w:t>
            </w:r>
          </w:p>
        </w:tc>
        <w:tc>
          <w:tcPr>
            <w:tcW w:w="5386" w:type="dxa"/>
            <w:vAlign w:val="center"/>
          </w:tcPr>
          <w:p>
            <w:pPr>
              <w:pStyle w:val="13"/>
            </w:pPr>
            <w:r>
              <w:t>增加云视频会议次数</w:t>
            </w:r>
          </w:p>
        </w:tc>
        <w:tc>
          <w:tcPr>
            <w:tcW w:w="2268" w:type="dxa"/>
            <w:vAlign w:val="center"/>
          </w:tcPr>
          <w:p>
            <w:pPr>
              <w:pStyle w:val="13"/>
            </w:pPr>
            <w:r>
              <w:t>≥20次</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提到工作效率</w:t>
            </w:r>
          </w:p>
          <w:p>
            <w:pPr>
              <w:pStyle w:val="13"/>
            </w:pPr>
          </w:p>
        </w:tc>
        <w:tc>
          <w:tcPr>
            <w:tcW w:w="5386" w:type="dxa"/>
            <w:vAlign w:val="center"/>
          </w:tcPr>
          <w:p>
            <w:pPr>
              <w:pStyle w:val="13"/>
            </w:pPr>
            <w:r>
              <w:t>提到工作效率</w:t>
            </w:r>
          </w:p>
          <w:p>
            <w:pPr>
              <w:pStyle w:val="13"/>
            </w:pPr>
          </w:p>
        </w:tc>
        <w:tc>
          <w:tcPr>
            <w:tcW w:w="2268" w:type="dxa"/>
            <w:vAlign w:val="center"/>
          </w:tcPr>
          <w:p>
            <w:pPr>
              <w:pStyle w:val="13"/>
            </w:pPr>
            <w:r>
              <w:t>有效提高</w:t>
            </w:r>
          </w:p>
        </w:tc>
        <w:tc>
          <w:tcPr>
            <w:tcW w:w="1276" w:type="dxa"/>
            <w:vAlign w:val="center"/>
          </w:tcPr>
          <w:p>
            <w:pPr>
              <w:pStyle w:val="13"/>
            </w:pPr>
            <w:r>
              <w:t>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项目服务期限</w:t>
            </w:r>
          </w:p>
        </w:tc>
        <w:tc>
          <w:tcPr>
            <w:tcW w:w="5386" w:type="dxa"/>
            <w:vAlign w:val="center"/>
          </w:tcPr>
          <w:p>
            <w:pPr>
              <w:pStyle w:val="13"/>
            </w:pPr>
            <w:r>
              <w:t>项目服务期限</w:t>
            </w:r>
          </w:p>
        </w:tc>
        <w:tc>
          <w:tcPr>
            <w:tcW w:w="2268" w:type="dxa"/>
            <w:vAlign w:val="center"/>
          </w:tcPr>
          <w:p>
            <w:pPr>
              <w:pStyle w:val="13"/>
            </w:pPr>
            <w:r>
              <w:t>12月</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0.07万元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对社会发展带来促进作用</w:t>
            </w:r>
          </w:p>
        </w:tc>
        <w:tc>
          <w:tcPr>
            <w:tcW w:w="5386" w:type="dxa"/>
            <w:vAlign w:val="center"/>
          </w:tcPr>
          <w:p>
            <w:pPr>
              <w:pStyle w:val="13"/>
            </w:pPr>
            <w:r>
              <w:t>对社会发展带来促进作用</w:t>
            </w:r>
          </w:p>
        </w:tc>
        <w:tc>
          <w:tcPr>
            <w:tcW w:w="2268" w:type="dxa"/>
            <w:vAlign w:val="center"/>
          </w:tcPr>
          <w:p>
            <w:pPr>
              <w:pStyle w:val="13"/>
            </w:pPr>
            <w:r>
              <w:t>有效促进</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服务期限</w:t>
            </w:r>
          </w:p>
        </w:tc>
        <w:tc>
          <w:tcPr>
            <w:tcW w:w="5386" w:type="dxa"/>
            <w:vAlign w:val="center"/>
          </w:tcPr>
          <w:p>
            <w:pPr>
              <w:pStyle w:val="13"/>
            </w:pPr>
            <w:r>
              <w:t>服务期限</w:t>
            </w:r>
          </w:p>
        </w:tc>
        <w:tc>
          <w:tcPr>
            <w:tcW w:w="2268" w:type="dxa"/>
            <w:vAlign w:val="center"/>
          </w:tcPr>
          <w:p>
            <w:pPr>
              <w:pStyle w:val="13"/>
            </w:pPr>
            <w:r>
              <w:t>12月</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问卷调查</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8、2024年政府网站IPV6转换服务绩效目标表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13042424P001PDR10151A</w:t>
            </w:r>
          </w:p>
        </w:tc>
        <w:tc>
          <w:tcPr>
            <w:tcW w:w="2835" w:type="dxa"/>
            <w:vAlign w:val="center"/>
          </w:tcPr>
          <w:p>
            <w:pPr>
              <w:pStyle w:val="11"/>
            </w:pPr>
            <w:r>
              <w:t>项目名称</w:t>
            </w:r>
          </w:p>
        </w:tc>
        <w:tc>
          <w:tcPr>
            <w:tcW w:w="6094" w:type="dxa"/>
            <w:gridSpan w:val="3"/>
            <w:vAlign w:val="center"/>
          </w:tcPr>
          <w:p>
            <w:pPr>
              <w:pStyle w:val="13"/>
            </w:pPr>
            <w:r>
              <w:t>2024年政府网站IPV6转换服务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支付政府网站IPV6转换服务费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1.保证网站安全平稳运行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支付政府网站IPV6转换服务费的期限</w:t>
            </w:r>
          </w:p>
        </w:tc>
        <w:tc>
          <w:tcPr>
            <w:tcW w:w="5386" w:type="dxa"/>
            <w:vAlign w:val="center"/>
          </w:tcPr>
          <w:p>
            <w:pPr>
              <w:pStyle w:val="13"/>
            </w:pPr>
            <w:r>
              <w:t>支付政府网站IPV6转换服务费的期限</w:t>
            </w:r>
          </w:p>
        </w:tc>
        <w:tc>
          <w:tcPr>
            <w:tcW w:w="2268" w:type="dxa"/>
            <w:vAlign w:val="center"/>
          </w:tcPr>
          <w:p>
            <w:pPr>
              <w:pStyle w:val="13"/>
            </w:pPr>
            <w:r>
              <w:t>12月</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网站安全质量提高</w:t>
            </w:r>
          </w:p>
        </w:tc>
        <w:tc>
          <w:tcPr>
            <w:tcW w:w="5386" w:type="dxa"/>
            <w:vAlign w:val="center"/>
          </w:tcPr>
          <w:p>
            <w:pPr>
              <w:pStyle w:val="13"/>
            </w:pPr>
            <w:r>
              <w:t>网站安全质量提高</w:t>
            </w:r>
          </w:p>
        </w:tc>
        <w:tc>
          <w:tcPr>
            <w:tcW w:w="2268" w:type="dxa"/>
            <w:vAlign w:val="center"/>
          </w:tcPr>
          <w:p>
            <w:pPr>
              <w:pStyle w:val="13"/>
            </w:pPr>
            <w:r>
              <w:t>网站安全质量提高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安装调试完成后及时支付</w:t>
            </w:r>
          </w:p>
        </w:tc>
        <w:tc>
          <w:tcPr>
            <w:tcW w:w="1276" w:type="dxa"/>
            <w:vAlign w:val="center"/>
          </w:tcPr>
          <w:p>
            <w:pPr>
              <w:pStyle w:val="13"/>
            </w:pPr>
            <w:r>
              <w:t>转账回单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1.2万元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问卷调查</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≥98%</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9、2024企业扶持发展资金绩效目标表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13042424P001PDR10380W</w:t>
            </w:r>
          </w:p>
        </w:tc>
        <w:tc>
          <w:tcPr>
            <w:tcW w:w="2835" w:type="dxa"/>
            <w:vAlign w:val="center"/>
          </w:tcPr>
          <w:p>
            <w:pPr>
              <w:pStyle w:val="11"/>
            </w:pPr>
            <w:r>
              <w:t>项目名称</w:t>
            </w:r>
          </w:p>
        </w:tc>
        <w:tc>
          <w:tcPr>
            <w:tcW w:w="6094" w:type="dxa"/>
            <w:gridSpan w:val="3"/>
            <w:vAlign w:val="center"/>
          </w:tcPr>
          <w:p>
            <w:pPr>
              <w:pStyle w:val="13"/>
            </w:pPr>
            <w:r>
              <w:t>2024企业扶持发展资金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用于支付2024年企业发展扶持资金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2500.00</w:t>
            </w:r>
          </w:p>
        </w:tc>
        <w:tc>
          <w:tcPr>
            <w:tcW w:w="2835" w:type="dxa"/>
            <w:vAlign w:val="center"/>
          </w:tcPr>
          <w:p>
            <w:pPr>
              <w:pStyle w:val="14"/>
            </w:pPr>
            <w:r>
              <w:t>2500.00</w:t>
            </w:r>
          </w:p>
        </w:tc>
        <w:tc>
          <w:tcPr>
            <w:tcW w:w="2551" w:type="dxa"/>
            <w:vAlign w:val="center"/>
          </w:tcPr>
          <w:p>
            <w:pPr>
              <w:pStyle w:val="14"/>
            </w:pPr>
            <w:r>
              <w:t>2500.00</w:t>
            </w:r>
          </w:p>
        </w:tc>
        <w:tc>
          <w:tcPr>
            <w:tcW w:w="3543" w:type="dxa"/>
            <w:gridSpan w:val="2"/>
            <w:vAlign w:val="center"/>
          </w:tcPr>
          <w:p>
            <w:pPr>
              <w:pStyle w:val="14"/>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1.加快企业健康发展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支持企业覆盖率</w:t>
            </w:r>
          </w:p>
        </w:tc>
        <w:tc>
          <w:tcPr>
            <w:tcW w:w="5386" w:type="dxa"/>
            <w:vAlign w:val="center"/>
          </w:tcPr>
          <w:p>
            <w:pPr>
              <w:pStyle w:val="13"/>
            </w:pPr>
            <w:r>
              <w:t>投入资金支持企业覆盖率</w:t>
            </w:r>
          </w:p>
        </w:tc>
        <w:tc>
          <w:tcPr>
            <w:tcW w:w="2268" w:type="dxa"/>
            <w:vAlign w:val="center"/>
          </w:tcPr>
          <w:p>
            <w:pPr>
              <w:pStyle w:val="13"/>
            </w:pPr>
            <w:r>
              <w:t>≥90%</w:t>
            </w:r>
          </w:p>
        </w:tc>
        <w:tc>
          <w:tcPr>
            <w:tcW w:w="1276" w:type="dxa"/>
            <w:vAlign w:val="center"/>
          </w:tcPr>
          <w:p>
            <w:pPr>
              <w:pStyle w:val="13"/>
            </w:pPr>
            <w:r>
              <w:t>成政字（2016）171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扶持资金到位时效</w:t>
            </w:r>
          </w:p>
        </w:tc>
        <w:tc>
          <w:tcPr>
            <w:tcW w:w="5386" w:type="dxa"/>
            <w:vAlign w:val="center"/>
          </w:tcPr>
          <w:p>
            <w:pPr>
              <w:pStyle w:val="13"/>
            </w:pPr>
            <w:r>
              <w:t>资金到位单位及时拨付企业</w:t>
            </w:r>
          </w:p>
        </w:tc>
        <w:tc>
          <w:tcPr>
            <w:tcW w:w="2268" w:type="dxa"/>
            <w:vAlign w:val="center"/>
          </w:tcPr>
          <w:p>
            <w:pPr>
              <w:pStyle w:val="13"/>
            </w:pPr>
            <w:r>
              <w:t>及时拨付</w:t>
            </w:r>
          </w:p>
        </w:tc>
        <w:tc>
          <w:tcPr>
            <w:tcW w:w="1276" w:type="dxa"/>
            <w:vAlign w:val="center"/>
          </w:tcPr>
          <w:p>
            <w:pPr>
              <w:pStyle w:val="13"/>
            </w:pPr>
            <w:r>
              <w:t>根据支出凭证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w:t>
            </w:r>
          </w:p>
        </w:tc>
        <w:tc>
          <w:tcPr>
            <w:tcW w:w="1276" w:type="dxa"/>
            <w:vAlign w:val="center"/>
          </w:tcPr>
          <w:p>
            <w:pPr>
              <w:pStyle w:val="13"/>
            </w:pPr>
            <w:r>
              <w:t>根据支出凭证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奖励企业标准</w:t>
            </w:r>
          </w:p>
        </w:tc>
        <w:tc>
          <w:tcPr>
            <w:tcW w:w="5386" w:type="dxa"/>
            <w:vAlign w:val="center"/>
          </w:tcPr>
          <w:p>
            <w:pPr>
              <w:pStyle w:val="13"/>
            </w:pPr>
            <w:r>
              <w:t>奖励企业标准</w:t>
            </w:r>
          </w:p>
        </w:tc>
        <w:tc>
          <w:tcPr>
            <w:tcW w:w="2268" w:type="dxa"/>
            <w:vAlign w:val="center"/>
          </w:tcPr>
          <w:p>
            <w:pPr>
              <w:pStyle w:val="13"/>
            </w:pPr>
            <w:r>
              <w:t>根据相关文件</w:t>
            </w:r>
          </w:p>
        </w:tc>
        <w:tc>
          <w:tcPr>
            <w:tcW w:w="1276" w:type="dxa"/>
            <w:vAlign w:val="center"/>
          </w:tcPr>
          <w:p>
            <w:pPr>
              <w:pStyle w:val="13"/>
            </w:pPr>
            <w:r>
              <w:t>成政字（2016）171号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提高社会中小企业发展水平</w:t>
            </w:r>
          </w:p>
        </w:tc>
        <w:tc>
          <w:tcPr>
            <w:tcW w:w="5386" w:type="dxa"/>
            <w:vAlign w:val="center"/>
          </w:tcPr>
          <w:p>
            <w:pPr>
              <w:pStyle w:val="13"/>
            </w:pPr>
            <w:r>
              <w:t>通过对中小企业扶持政策，加快企业发展</w:t>
            </w:r>
          </w:p>
        </w:tc>
        <w:tc>
          <w:tcPr>
            <w:tcW w:w="2268" w:type="dxa"/>
            <w:vAlign w:val="center"/>
          </w:tcPr>
          <w:p>
            <w:pPr>
              <w:pStyle w:val="13"/>
            </w:pPr>
            <w:r>
              <w:t>效果显著</w:t>
            </w:r>
          </w:p>
        </w:tc>
        <w:tc>
          <w:tcPr>
            <w:tcW w:w="1276" w:type="dxa"/>
            <w:vAlign w:val="center"/>
          </w:tcPr>
          <w:p>
            <w:pPr>
              <w:pStyle w:val="13"/>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加快企业发展</w:t>
            </w:r>
          </w:p>
        </w:tc>
        <w:tc>
          <w:tcPr>
            <w:tcW w:w="5386" w:type="dxa"/>
            <w:vAlign w:val="center"/>
          </w:tcPr>
          <w:p>
            <w:pPr>
              <w:pStyle w:val="13"/>
            </w:pPr>
            <w:r>
              <w:t>通过加快企业发展，带动县域经济发展</w:t>
            </w:r>
          </w:p>
        </w:tc>
        <w:tc>
          <w:tcPr>
            <w:tcW w:w="2268" w:type="dxa"/>
            <w:vAlign w:val="center"/>
          </w:tcPr>
          <w:p>
            <w:pPr>
              <w:pStyle w:val="13"/>
            </w:pPr>
            <w:r>
              <w:t>有一定成效</w:t>
            </w:r>
          </w:p>
        </w:tc>
        <w:tc>
          <w:tcPr>
            <w:tcW w:w="1276" w:type="dxa"/>
            <w:vAlign w:val="center"/>
          </w:tcPr>
          <w:p>
            <w:pPr>
              <w:pStyle w:val="13"/>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通过企业调查问卷满意度占比</w:t>
            </w:r>
          </w:p>
        </w:tc>
        <w:tc>
          <w:tcPr>
            <w:tcW w:w="2268" w:type="dxa"/>
            <w:vAlign w:val="center"/>
          </w:tcPr>
          <w:p>
            <w:pPr>
              <w:pStyle w:val="13"/>
            </w:pPr>
            <w:r>
              <w:t>≥90%</w:t>
            </w:r>
          </w:p>
        </w:tc>
        <w:tc>
          <w:tcPr>
            <w:tcW w:w="1276" w:type="dxa"/>
            <w:vAlign w:val="center"/>
          </w:tcPr>
          <w:p>
            <w:pPr>
              <w:pStyle w:val="13"/>
            </w:pPr>
            <w:r>
              <w:t>成政字（2016）171</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10、2024招商引资工作经费绩效目标表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13042424P0056E8112057</w:t>
            </w:r>
          </w:p>
        </w:tc>
        <w:tc>
          <w:tcPr>
            <w:tcW w:w="2835" w:type="dxa"/>
            <w:vAlign w:val="center"/>
          </w:tcPr>
          <w:p>
            <w:pPr>
              <w:pStyle w:val="11"/>
            </w:pPr>
            <w:r>
              <w:t>项目名称</w:t>
            </w:r>
          </w:p>
        </w:tc>
        <w:tc>
          <w:tcPr>
            <w:tcW w:w="6094" w:type="dxa"/>
            <w:gridSpan w:val="3"/>
            <w:vAlign w:val="center"/>
          </w:tcPr>
          <w:p>
            <w:pPr>
              <w:pStyle w:val="13"/>
            </w:pPr>
            <w:r>
              <w:t>2024招商引资工作经费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用于2024年招商工作经费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75.00</w:t>
            </w:r>
          </w:p>
        </w:tc>
        <w:tc>
          <w:tcPr>
            <w:tcW w:w="2835" w:type="dxa"/>
            <w:vAlign w:val="center"/>
          </w:tcPr>
          <w:p>
            <w:pPr>
              <w:pStyle w:val="14"/>
            </w:pPr>
            <w:r>
              <w:t>75.00</w:t>
            </w:r>
          </w:p>
        </w:tc>
        <w:tc>
          <w:tcPr>
            <w:tcW w:w="2551" w:type="dxa"/>
            <w:vAlign w:val="center"/>
          </w:tcPr>
          <w:p>
            <w:pPr>
              <w:pStyle w:val="14"/>
            </w:pPr>
            <w:r>
              <w:t>75.00</w:t>
            </w:r>
          </w:p>
        </w:tc>
        <w:tc>
          <w:tcPr>
            <w:tcW w:w="3543" w:type="dxa"/>
            <w:gridSpan w:val="2"/>
            <w:vAlign w:val="center"/>
          </w:tcPr>
          <w:p>
            <w:pPr>
              <w:pStyle w:val="14"/>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1.保障招商工作正常开展，保证工作人员工作经费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外出招商次数</w:t>
            </w:r>
          </w:p>
        </w:tc>
        <w:tc>
          <w:tcPr>
            <w:tcW w:w="5386" w:type="dxa"/>
            <w:vAlign w:val="center"/>
          </w:tcPr>
          <w:p>
            <w:pPr>
              <w:pStyle w:val="13"/>
            </w:pPr>
            <w:r>
              <w:t>招商人员外出次数</w:t>
            </w:r>
          </w:p>
        </w:tc>
        <w:tc>
          <w:tcPr>
            <w:tcW w:w="2268" w:type="dxa"/>
            <w:vAlign w:val="center"/>
          </w:tcPr>
          <w:p>
            <w:pPr>
              <w:pStyle w:val="13"/>
            </w:pPr>
            <w:r>
              <w:t>≥5次</w:t>
            </w:r>
          </w:p>
        </w:tc>
        <w:tc>
          <w:tcPr>
            <w:tcW w:w="1276" w:type="dxa"/>
            <w:vAlign w:val="center"/>
          </w:tcPr>
          <w:p>
            <w:pPr>
              <w:pStyle w:val="13"/>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资金实际使用使用占计划资金的比率</w:t>
            </w:r>
          </w:p>
        </w:tc>
        <w:tc>
          <w:tcPr>
            <w:tcW w:w="2268" w:type="dxa"/>
            <w:vAlign w:val="center"/>
          </w:tcPr>
          <w:p>
            <w:pPr>
              <w:pStyle w:val="13"/>
            </w:pPr>
            <w:r>
              <w:t>≥95%</w:t>
            </w:r>
          </w:p>
        </w:tc>
        <w:tc>
          <w:tcPr>
            <w:tcW w:w="1276" w:type="dxa"/>
            <w:vAlign w:val="center"/>
          </w:tcPr>
          <w:p>
            <w:pPr>
              <w:pStyle w:val="13"/>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项目完成期限</w:t>
            </w:r>
          </w:p>
        </w:tc>
        <w:tc>
          <w:tcPr>
            <w:tcW w:w="5386" w:type="dxa"/>
            <w:vAlign w:val="center"/>
          </w:tcPr>
          <w:p>
            <w:pPr>
              <w:pStyle w:val="13"/>
            </w:pPr>
            <w:r>
              <w:t>项目完成期限</w:t>
            </w:r>
          </w:p>
        </w:tc>
        <w:tc>
          <w:tcPr>
            <w:tcW w:w="2268" w:type="dxa"/>
            <w:vAlign w:val="center"/>
          </w:tcPr>
          <w:p>
            <w:pPr>
              <w:pStyle w:val="13"/>
            </w:pPr>
            <w:r>
              <w:t>2022年8-2022年12月</w:t>
            </w:r>
          </w:p>
        </w:tc>
        <w:tc>
          <w:tcPr>
            <w:tcW w:w="1276" w:type="dxa"/>
            <w:vAlign w:val="center"/>
          </w:tcPr>
          <w:p>
            <w:pPr>
              <w:pStyle w:val="13"/>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外出招商人员住宿费</w:t>
            </w:r>
          </w:p>
        </w:tc>
        <w:tc>
          <w:tcPr>
            <w:tcW w:w="5386" w:type="dxa"/>
            <w:vAlign w:val="center"/>
          </w:tcPr>
          <w:p>
            <w:pPr>
              <w:pStyle w:val="13"/>
            </w:pPr>
            <w:r>
              <w:t>每人每天住宿费</w:t>
            </w:r>
          </w:p>
        </w:tc>
        <w:tc>
          <w:tcPr>
            <w:tcW w:w="2268" w:type="dxa"/>
            <w:vAlign w:val="center"/>
          </w:tcPr>
          <w:p>
            <w:pPr>
              <w:pStyle w:val="13"/>
            </w:pPr>
            <w:r>
              <w:t>≤350元</w:t>
            </w:r>
          </w:p>
        </w:tc>
        <w:tc>
          <w:tcPr>
            <w:tcW w:w="1276" w:type="dxa"/>
            <w:vAlign w:val="center"/>
          </w:tcPr>
          <w:p>
            <w:pPr>
              <w:pStyle w:val="13"/>
            </w:pPr>
            <w:r>
              <w:t>根据2016差旅费管理办法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招商工作</w:t>
            </w:r>
          </w:p>
        </w:tc>
        <w:tc>
          <w:tcPr>
            <w:tcW w:w="5386" w:type="dxa"/>
            <w:vAlign w:val="center"/>
          </w:tcPr>
          <w:p>
            <w:pPr>
              <w:pStyle w:val="13"/>
            </w:pPr>
            <w:r>
              <w:t>保障招商工作高效完成</w:t>
            </w:r>
          </w:p>
        </w:tc>
        <w:tc>
          <w:tcPr>
            <w:tcW w:w="2268" w:type="dxa"/>
            <w:vAlign w:val="center"/>
          </w:tcPr>
          <w:p>
            <w:pPr>
              <w:pStyle w:val="13"/>
            </w:pPr>
            <w:r>
              <w:t>保障招商工作正常进行</w:t>
            </w:r>
          </w:p>
        </w:tc>
        <w:tc>
          <w:tcPr>
            <w:tcW w:w="1276" w:type="dxa"/>
            <w:vAlign w:val="center"/>
          </w:tcPr>
          <w:p>
            <w:pPr>
              <w:pStyle w:val="13"/>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不存在</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不存在</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不存在</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满意不满意占总调查人数的比例</w:t>
            </w:r>
          </w:p>
        </w:tc>
        <w:tc>
          <w:tcPr>
            <w:tcW w:w="2268" w:type="dxa"/>
            <w:vAlign w:val="center"/>
          </w:tcPr>
          <w:p>
            <w:pPr>
              <w:pStyle w:val="13"/>
            </w:pPr>
            <w:r>
              <w:t>≥95%</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11、差补人员工资绩效目标表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13042424P00U45W10031G</w:t>
            </w:r>
          </w:p>
        </w:tc>
        <w:tc>
          <w:tcPr>
            <w:tcW w:w="2835" w:type="dxa"/>
            <w:vAlign w:val="center"/>
          </w:tcPr>
          <w:p>
            <w:pPr>
              <w:pStyle w:val="11"/>
            </w:pPr>
            <w:r>
              <w:t>项目名称</w:t>
            </w:r>
          </w:p>
        </w:tc>
        <w:tc>
          <w:tcPr>
            <w:tcW w:w="6094" w:type="dxa"/>
            <w:gridSpan w:val="3"/>
            <w:vAlign w:val="center"/>
          </w:tcPr>
          <w:p>
            <w:pPr>
              <w:pStyle w:val="13"/>
            </w:pPr>
            <w:r>
              <w:t>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5.46</w:t>
            </w:r>
          </w:p>
        </w:tc>
        <w:tc>
          <w:tcPr>
            <w:tcW w:w="2835" w:type="dxa"/>
            <w:vAlign w:val="center"/>
          </w:tcPr>
          <w:p>
            <w:pPr>
              <w:pStyle w:val="11"/>
            </w:pPr>
            <w:r>
              <w:t>其中：财政    资金</w:t>
            </w:r>
          </w:p>
        </w:tc>
        <w:tc>
          <w:tcPr>
            <w:tcW w:w="2551" w:type="dxa"/>
            <w:vAlign w:val="center"/>
          </w:tcPr>
          <w:p>
            <w:pPr>
              <w:pStyle w:val="13"/>
            </w:pPr>
            <w:r>
              <w:t>5.46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2.73</w:t>
            </w:r>
          </w:p>
        </w:tc>
        <w:tc>
          <w:tcPr>
            <w:tcW w:w="2835" w:type="dxa"/>
            <w:vAlign w:val="center"/>
          </w:tcPr>
          <w:p>
            <w:pPr>
              <w:pStyle w:val="14"/>
            </w:pPr>
            <w:r>
              <w:t>2.73</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1.确保单位正常运行圆满完成各项任务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在职职工人数</w:t>
            </w:r>
          </w:p>
        </w:tc>
        <w:tc>
          <w:tcPr>
            <w:tcW w:w="5386" w:type="dxa"/>
            <w:vAlign w:val="center"/>
          </w:tcPr>
          <w:p>
            <w:pPr>
              <w:pStyle w:val="13"/>
            </w:pPr>
            <w:r>
              <w:t>在职职工人数</w:t>
            </w:r>
          </w:p>
        </w:tc>
        <w:tc>
          <w:tcPr>
            <w:tcW w:w="2268" w:type="dxa"/>
            <w:vAlign w:val="center"/>
          </w:tcPr>
          <w:p>
            <w:pPr>
              <w:pStyle w:val="13"/>
            </w:pPr>
            <w:r>
              <w:t>≥12人</w:t>
            </w:r>
          </w:p>
        </w:tc>
        <w:tc>
          <w:tcPr>
            <w:tcW w:w="1276" w:type="dxa"/>
            <w:vAlign w:val="center"/>
          </w:tcPr>
          <w:p>
            <w:pPr>
              <w:pStyle w:val="13"/>
            </w:pPr>
            <w:r>
              <w:t>按花名册发放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≥98%</w:t>
            </w:r>
          </w:p>
        </w:tc>
        <w:tc>
          <w:tcPr>
            <w:tcW w:w="1276" w:type="dxa"/>
            <w:vAlign w:val="center"/>
          </w:tcPr>
          <w:p>
            <w:pPr>
              <w:pStyle w:val="13"/>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及时发放</w:t>
            </w:r>
          </w:p>
        </w:tc>
        <w:tc>
          <w:tcPr>
            <w:tcW w:w="2268" w:type="dxa"/>
            <w:vAlign w:val="center"/>
          </w:tcPr>
          <w:p>
            <w:pPr>
              <w:pStyle w:val="13"/>
            </w:pPr>
            <w:r>
              <w:t>按月及时发放</w:t>
            </w:r>
          </w:p>
        </w:tc>
        <w:tc>
          <w:tcPr>
            <w:tcW w:w="1276" w:type="dxa"/>
            <w:vAlign w:val="center"/>
          </w:tcPr>
          <w:p>
            <w:pPr>
              <w:pStyle w:val="13"/>
            </w:pPr>
            <w:r>
              <w:t>按月及时发放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误差百分比</w:t>
            </w:r>
          </w:p>
        </w:tc>
        <w:tc>
          <w:tcPr>
            <w:tcW w:w="5386" w:type="dxa"/>
            <w:vAlign w:val="center"/>
          </w:tcPr>
          <w:p>
            <w:pPr>
              <w:pStyle w:val="13"/>
            </w:pPr>
            <w:r>
              <w:t>实际支付与控制预算内误差百分比</w:t>
            </w:r>
          </w:p>
        </w:tc>
        <w:tc>
          <w:tcPr>
            <w:tcW w:w="2268" w:type="dxa"/>
            <w:vAlign w:val="center"/>
          </w:tcPr>
          <w:p>
            <w:pPr>
              <w:pStyle w:val="13"/>
            </w:pPr>
            <w:r>
              <w:t>≤5%</w:t>
            </w:r>
          </w:p>
        </w:tc>
        <w:tc>
          <w:tcPr>
            <w:tcW w:w="1276" w:type="dxa"/>
            <w:vAlign w:val="center"/>
          </w:tcPr>
          <w:p>
            <w:pPr>
              <w:pStyle w:val="13"/>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正常发放</w:t>
            </w:r>
          </w:p>
        </w:tc>
        <w:tc>
          <w:tcPr>
            <w:tcW w:w="5386" w:type="dxa"/>
            <w:vAlign w:val="center"/>
          </w:tcPr>
          <w:p>
            <w:pPr>
              <w:pStyle w:val="13"/>
            </w:pPr>
            <w:r>
              <w:t>保证工作人员生活保障</w:t>
            </w:r>
          </w:p>
        </w:tc>
        <w:tc>
          <w:tcPr>
            <w:tcW w:w="2268" w:type="dxa"/>
            <w:vAlign w:val="center"/>
          </w:tcPr>
          <w:p>
            <w:pPr>
              <w:pStyle w:val="13"/>
            </w:pPr>
            <w:r>
              <w:t>保障社会稳定</w:t>
            </w:r>
          </w:p>
        </w:tc>
        <w:tc>
          <w:tcPr>
            <w:tcW w:w="1276" w:type="dxa"/>
            <w:vAlign w:val="center"/>
          </w:tcPr>
          <w:p>
            <w:pPr>
              <w:pStyle w:val="13"/>
            </w:pPr>
            <w:r>
              <w:t>无因工资上访事件发生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保障干部职工工资收入</w:t>
            </w:r>
          </w:p>
        </w:tc>
        <w:tc>
          <w:tcPr>
            <w:tcW w:w="5386" w:type="dxa"/>
            <w:vAlign w:val="center"/>
          </w:tcPr>
          <w:p>
            <w:pPr>
              <w:pStyle w:val="13"/>
            </w:pPr>
            <w:r>
              <w:t>确保单位正常运行圆满完成各项任务</w:t>
            </w:r>
          </w:p>
        </w:tc>
        <w:tc>
          <w:tcPr>
            <w:tcW w:w="2268" w:type="dxa"/>
            <w:vAlign w:val="center"/>
          </w:tcPr>
          <w:p>
            <w:pPr>
              <w:pStyle w:val="13"/>
            </w:pPr>
            <w:r>
              <w:t>保障单位正常工作秩序</w:t>
            </w:r>
          </w:p>
        </w:tc>
        <w:tc>
          <w:tcPr>
            <w:tcW w:w="1276" w:type="dxa"/>
            <w:vAlign w:val="center"/>
          </w:tcPr>
          <w:p>
            <w:pPr>
              <w:pStyle w:val="13"/>
            </w:pPr>
            <w:r>
              <w:t>保障单位正常工作秩序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事业发展力</w:t>
            </w:r>
          </w:p>
        </w:tc>
        <w:tc>
          <w:tcPr>
            <w:tcW w:w="5386" w:type="dxa"/>
            <w:vAlign w:val="center"/>
          </w:tcPr>
          <w:p>
            <w:pPr>
              <w:pStyle w:val="13"/>
            </w:pPr>
            <w:r>
              <w:t>保障开展正常业务工作</w:t>
            </w:r>
          </w:p>
        </w:tc>
        <w:tc>
          <w:tcPr>
            <w:tcW w:w="2268" w:type="dxa"/>
            <w:vAlign w:val="center"/>
          </w:tcPr>
          <w:p>
            <w:pPr>
              <w:pStyle w:val="13"/>
            </w:pPr>
            <w:r>
              <w:t>保障开展正常业务工作</w:t>
            </w:r>
          </w:p>
        </w:tc>
        <w:tc>
          <w:tcPr>
            <w:tcW w:w="1276" w:type="dxa"/>
            <w:vAlign w:val="center"/>
          </w:tcPr>
          <w:p>
            <w:pPr>
              <w:pStyle w:val="13"/>
            </w:pPr>
            <w:r>
              <w:t>保障开展正常业务工作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≥90%</w:t>
            </w:r>
          </w:p>
        </w:tc>
        <w:tc>
          <w:tcPr>
            <w:tcW w:w="1276" w:type="dxa"/>
            <w:vAlign w:val="center"/>
          </w:tcPr>
          <w:p>
            <w:pPr>
              <w:pStyle w:val="13"/>
            </w:pPr>
            <w:r>
              <w:t>调查访问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12、价格认证中心工资绩效目标表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13042424P00B28C100088</w:t>
            </w:r>
          </w:p>
        </w:tc>
        <w:tc>
          <w:tcPr>
            <w:tcW w:w="2835" w:type="dxa"/>
            <w:vAlign w:val="center"/>
          </w:tcPr>
          <w:p>
            <w:pPr>
              <w:pStyle w:val="11"/>
            </w:pPr>
            <w:r>
              <w:t>项目名称</w:t>
            </w:r>
          </w:p>
        </w:tc>
        <w:tc>
          <w:tcPr>
            <w:tcW w:w="6094" w:type="dxa"/>
            <w:gridSpan w:val="3"/>
            <w:vAlign w:val="center"/>
          </w:tcPr>
          <w:p>
            <w:pPr>
              <w:pStyle w:val="13"/>
            </w:pPr>
            <w:r>
              <w:t>价格认证中心工资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支付物价人员工资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w:t>
            </w:r>
          </w:p>
        </w:tc>
        <w:tc>
          <w:tcPr>
            <w:tcW w:w="2835" w:type="dxa"/>
            <w:vAlign w:val="center"/>
          </w:tcPr>
          <w:p>
            <w:pPr>
              <w:pStyle w:val="14"/>
            </w:pPr>
            <w:r>
              <w:t>2.50</w:t>
            </w:r>
          </w:p>
        </w:tc>
        <w:tc>
          <w:tcPr>
            <w:tcW w:w="2551" w:type="dxa"/>
            <w:vAlign w:val="center"/>
          </w:tcPr>
          <w:p>
            <w:pPr>
              <w:pStyle w:val="14"/>
            </w:pPr>
            <w:r>
              <w:t>2.50</w:t>
            </w:r>
          </w:p>
        </w:tc>
        <w:tc>
          <w:tcPr>
            <w:tcW w:w="3543" w:type="dxa"/>
            <w:gridSpan w:val="2"/>
            <w:vAlign w:val="center"/>
          </w:tcPr>
          <w:p>
            <w:pPr>
              <w:pStyle w:val="14"/>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1.确保单位正常运行圆满完成各项任务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在职职工人数</w:t>
            </w:r>
          </w:p>
        </w:tc>
        <w:tc>
          <w:tcPr>
            <w:tcW w:w="5386" w:type="dxa"/>
            <w:vAlign w:val="center"/>
          </w:tcPr>
          <w:p>
            <w:pPr>
              <w:pStyle w:val="13"/>
            </w:pPr>
            <w:r>
              <w:t>在职职工人数</w:t>
            </w:r>
          </w:p>
        </w:tc>
        <w:tc>
          <w:tcPr>
            <w:tcW w:w="2268" w:type="dxa"/>
            <w:vAlign w:val="center"/>
          </w:tcPr>
          <w:p>
            <w:pPr>
              <w:pStyle w:val="13"/>
            </w:pPr>
            <w:r>
              <w:t>≥9人</w:t>
            </w:r>
          </w:p>
        </w:tc>
        <w:tc>
          <w:tcPr>
            <w:tcW w:w="1276"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≥96%</w:t>
            </w:r>
          </w:p>
        </w:tc>
        <w:tc>
          <w:tcPr>
            <w:tcW w:w="1276" w:type="dxa"/>
            <w:vAlign w:val="center"/>
          </w:tcPr>
          <w:p>
            <w:pPr>
              <w:pStyle w:val="13"/>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支付时效</w:t>
            </w:r>
          </w:p>
        </w:tc>
        <w:tc>
          <w:tcPr>
            <w:tcW w:w="5386" w:type="dxa"/>
            <w:vAlign w:val="center"/>
          </w:tcPr>
          <w:p>
            <w:pPr>
              <w:pStyle w:val="13"/>
            </w:pPr>
            <w:r>
              <w:t>按月及时支付</w:t>
            </w:r>
          </w:p>
        </w:tc>
        <w:tc>
          <w:tcPr>
            <w:tcW w:w="2268" w:type="dxa"/>
            <w:vAlign w:val="center"/>
          </w:tcPr>
          <w:p>
            <w:pPr>
              <w:pStyle w:val="13"/>
            </w:pPr>
            <w:r>
              <w:t>按月支付</w:t>
            </w:r>
          </w:p>
        </w:tc>
        <w:tc>
          <w:tcPr>
            <w:tcW w:w="1276" w:type="dxa"/>
            <w:vAlign w:val="center"/>
          </w:tcPr>
          <w:p>
            <w:pPr>
              <w:pStyle w:val="13"/>
            </w:pPr>
            <w:r>
              <w:t>支付记录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实际支付与预算控制误差率</w:t>
            </w:r>
          </w:p>
        </w:tc>
        <w:tc>
          <w:tcPr>
            <w:tcW w:w="5386" w:type="dxa"/>
            <w:vAlign w:val="center"/>
          </w:tcPr>
          <w:p>
            <w:pPr>
              <w:pStyle w:val="13"/>
            </w:pPr>
            <w:r>
              <w:t>实际支付与预算控制误差率</w:t>
            </w:r>
          </w:p>
        </w:tc>
        <w:tc>
          <w:tcPr>
            <w:tcW w:w="2268" w:type="dxa"/>
            <w:vAlign w:val="center"/>
          </w:tcPr>
          <w:p>
            <w:pPr>
              <w:pStyle w:val="13"/>
            </w:pPr>
            <w:r>
              <w:t>≤5%</w:t>
            </w:r>
          </w:p>
        </w:tc>
        <w:tc>
          <w:tcPr>
            <w:tcW w:w="1276" w:type="dxa"/>
            <w:vAlign w:val="center"/>
          </w:tcPr>
          <w:p>
            <w:pPr>
              <w:pStyle w:val="13"/>
            </w:pPr>
            <w:r>
              <w:t>按工资表发放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保障干部职工工资收入</w:t>
            </w:r>
          </w:p>
        </w:tc>
        <w:tc>
          <w:tcPr>
            <w:tcW w:w="5386" w:type="dxa"/>
            <w:vAlign w:val="center"/>
          </w:tcPr>
          <w:p>
            <w:pPr>
              <w:pStyle w:val="13"/>
            </w:pPr>
            <w:r>
              <w:t>确保单位正常运行圆满完成各项任务</w:t>
            </w:r>
          </w:p>
        </w:tc>
        <w:tc>
          <w:tcPr>
            <w:tcW w:w="2268" w:type="dxa"/>
            <w:vAlign w:val="center"/>
          </w:tcPr>
          <w:p>
            <w:pPr>
              <w:pStyle w:val="13"/>
            </w:pPr>
            <w:r>
              <w:t>保障正常工作秩序</w:t>
            </w:r>
          </w:p>
        </w:tc>
        <w:tc>
          <w:tcPr>
            <w:tcW w:w="1276" w:type="dxa"/>
            <w:vAlign w:val="center"/>
          </w:tcPr>
          <w:p>
            <w:pPr>
              <w:pStyle w:val="13"/>
            </w:pPr>
            <w:r>
              <w:t>保障正常工作秩序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事业发展力</w:t>
            </w:r>
          </w:p>
        </w:tc>
        <w:tc>
          <w:tcPr>
            <w:tcW w:w="5386" w:type="dxa"/>
            <w:vAlign w:val="center"/>
          </w:tcPr>
          <w:p>
            <w:pPr>
              <w:pStyle w:val="13"/>
            </w:pPr>
            <w:r>
              <w:t>保障开展正常业务工作</w:t>
            </w:r>
          </w:p>
        </w:tc>
        <w:tc>
          <w:tcPr>
            <w:tcW w:w="2268" w:type="dxa"/>
            <w:vAlign w:val="center"/>
          </w:tcPr>
          <w:p>
            <w:pPr>
              <w:pStyle w:val="13"/>
            </w:pPr>
            <w:r>
              <w:t>保障正常工作秩序</w:t>
            </w:r>
          </w:p>
        </w:tc>
        <w:tc>
          <w:tcPr>
            <w:tcW w:w="1276" w:type="dxa"/>
            <w:vAlign w:val="center"/>
          </w:tcPr>
          <w:p>
            <w:pPr>
              <w:pStyle w:val="13"/>
            </w:pPr>
            <w:r>
              <w:t>保障正常工作秩序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≥95%</w:t>
            </w:r>
          </w:p>
        </w:tc>
        <w:tc>
          <w:tcPr>
            <w:tcW w:w="1276" w:type="dxa"/>
            <w:vAlign w:val="center"/>
          </w:tcPr>
          <w:p>
            <w:pPr>
              <w:pStyle w:val="13"/>
            </w:pPr>
            <w:r>
              <w:t>访问调查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13、劳务派遣人员工资绩效目标表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13042424P009WAC10004C</w:t>
            </w:r>
          </w:p>
        </w:tc>
        <w:tc>
          <w:tcPr>
            <w:tcW w:w="2835" w:type="dxa"/>
            <w:vAlign w:val="center"/>
          </w:tcPr>
          <w:p>
            <w:pPr>
              <w:pStyle w:val="11"/>
            </w:pPr>
            <w:r>
              <w:t>项目名称</w:t>
            </w:r>
          </w:p>
        </w:tc>
        <w:tc>
          <w:tcPr>
            <w:tcW w:w="6094" w:type="dxa"/>
            <w:gridSpan w:val="3"/>
            <w:vAlign w:val="center"/>
          </w:tcPr>
          <w:p>
            <w:pPr>
              <w:pStyle w:val="13"/>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16.70</w:t>
            </w:r>
          </w:p>
        </w:tc>
        <w:tc>
          <w:tcPr>
            <w:tcW w:w="2835" w:type="dxa"/>
            <w:vAlign w:val="center"/>
          </w:tcPr>
          <w:p>
            <w:pPr>
              <w:pStyle w:val="11"/>
            </w:pPr>
            <w:r>
              <w:t>其中：财政    资金</w:t>
            </w:r>
          </w:p>
        </w:tc>
        <w:tc>
          <w:tcPr>
            <w:tcW w:w="2551" w:type="dxa"/>
            <w:vAlign w:val="center"/>
          </w:tcPr>
          <w:p>
            <w:pPr>
              <w:pStyle w:val="13"/>
            </w:pPr>
            <w:r>
              <w:t>16.70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4.18</w:t>
            </w:r>
          </w:p>
        </w:tc>
        <w:tc>
          <w:tcPr>
            <w:tcW w:w="2835" w:type="dxa"/>
            <w:vAlign w:val="center"/>
          </w:tcPr>
          <w:p>
            <w:pPr>
              <w:pStyle w:val="14"/>
            </w:pPr>
            <w:r>
              <w:t>4.18</w:t>
            </w:r>
          </w:p>
        </w:tc>
        <w:tc>
          <w:tcPr>
            <w:tcW w:w="2551" w:type="dxa"/>
            <w:vAlign w:val="center"/>
          </w:tcPr>
          <w:p>
            <w:pPr>
              <w:pStyle w:val="14"/>
            </w:pPr>
            <w:r>
              <w:t>4.18</w:t>
            </w:r>
          </w:p>
        </w:tc>
        <w:tc>
          <w:tcPr>
            <w:tcW w:w="3543" w:type="dxa"/>
            <w:gridSpan w:val="2"/>
            <w:vAlign w:val="center"/>
          </w:tcPr>
          <w:p>
            <w:pPr>
              <w:pStyle w:val="14"/>
            </w:pPr>
            <w:r>
              <w:t>4.18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1.保障单位正常工作开展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劳务派遣人数</w:t>
            </w:r>
          </w:p>
        </w:tc>
        <w:tc>
          <w:tcPr>
            <w:tcW w:w="2268" w:type="dxa"/>
            <w:vAlign w:val="center"/>
          </w:tcPr>
          <w:p>
            <w:pPr>
              <w:pStyle w:val="13"/>
            </w:pPr>
            <w:r>
              <w:t>≥5人</w:t>
            </w:r>
          </w:p>
        </w:tc>
        <w:tc>
          <w:tcPr>
            <w:tcW w:w="1276" w:type="dxa"/>
            <w:vAlign w:val="center"/>
          </w:tcPr>
          <w:p>
            <w:pPr>
              <w:pStyle w:val="13"/>
            </w:pPr>
            <w:r>
              <w:t>劳务派遣人员签定用工合同人数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确保每月月底前发放到位</w:t>
            </w:r>
          </w:p>
        </w:tc>
        <w:tc>
          <w:tcPr>
            <w:tcW w:w="2268" w:type="dxa"/>
            <w:vAlign w:val="center"/>
          </w:tcPr>
          <w:p>
            <w:pPr>
              <w:pStyle w:val="13"/>
            </w:pPr>
            <w:r>
              <w:t>≥95%</w:t>
            </w:r>
          </w:p>
        </w:tc>
        <w:tc>
          <w:tcPr>
            <w:tcW w:w="1276" w:type="dxa"/>
            <w:vAlign w:val="center"/>
          </w:tcPr>
          <w:p>
            <w:pPr>
              <w:pStyle w:val="13"/>
            </w:pPr>
            <w:r>
              <w:t>实际发放的工资数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按期发放工资</w:t>
            </w:r>
          </w:p>
        </w:tc>
        <w:tc>
          <w:tcPr>
            <w:tcW w:w="5386" w:type="dxa"/>
            <w:vAlign w:val="center"/>
          </w:tcPr>
          <w:p>
            <w:pPr>
              <w:pStyle w:val="13"/>
            </w:pPr>
            <w:r>
              <w:t>按时到月发放工资到位</w:t>
            </w:r>
          </w:p>
        </w:tc>
        <w:tc>
          <w:tcPr>
            <w:tcW w:w="2268" w:type="dxa"/>
            <w:vAlign w:val="center"/>
          </w:tcPr>
          <w:p>
            <w:pPr>
              <w:pStyle w:val="13"/>
            </w:pPr>
            <w:r>
              <w:t>月底或月初准时发放工资</w:t>
            </w:r>
          </w:p>
        </w:tc>
        <w:tc>
          <w:tcPr>
            <w:tcW w:w="1276" w:type="dxa"/>
            <w:vAlign w:val="center"/>
          </w:tcPr>
          <w:p>
            <w:pPr>
              <w:pStyle w:val="13"/>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人均发放工资额</w:t>
            </w:r>
          </w:p>
        </w:tc>
        <w:tc>
          <w:tcPr>
            <w:tcW w:w="5386" w:type="dxa"/>
            <w:vAlign w:val="center"/>
          </w:tcPr>
          <w:p>
            <w:pPr>
              <w:pStyle w:val="13"/>
            </w:pPr>
            <w:r>
              <w:t>每月人均发放工资额</w:t>
            </w:r>
          </w:p>
        </w:tc>
        <w:tc>
          <w:tcPr>
            <w:tcW w:w="2268" w:type="dxa"/>
            <w:vAlign w:val="center"/>
          </w:tcPr>
          <w:p>
            <w:pPr>
              <w:pStyle w:val="13"/>
            </w:pPr>
            <w:r>
              <w:t>≥2783.33元</w:t>
            </w:r>
          </w:p>
        </w:tc>
        <w:tc>
          <w:tcPr>
            <w:tcW w:w="1276" w:type="dxa"/>
            <w:vAlign w:val="center"/>
          </w:tcPr>
          <w:p>
            <w:pPr>
              <w:pStyle w:val="13"/>
            </w:pPr>
            <w:r>
              <w:t>人均成本额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保障单位正常工作开展</w:t>
            </w:r>
          </w:p>
        </w:tc>
        <w:tc>
          <w:tcPr>
            <w:tcW w:w="5386" w:type="dxa"/>
            <w:vAlign w:val="center"/>
          </w:tcPr>
          <w:p>
            <w:pPr>
              <w:pStyle w:val="13"/>
            </w:pPr>
            <w:r>
              <w:t>保障单位正常工作开展</w:t>
            </w:r>
          </w:p>
        </w:tc>
        <w:tc>
          <w:tcPr>
            <w:tcW w:w="2268" w:type="dxa"/>
            <w:vAlign w:val="center"/>
          </w:tcPr>
          <w:p>
            <w:pPr>
              <w:pStyle w:val="13"/>
            </w:pPr>
            <w:r>
              <w:t>保障机关单位正常运转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劳务派遣人员的满意度</w:t>
            </w:r>
          </w:p>
        </w:tc>
        <w:tc>
          <w:tcPr>
            <w:tcW w:w="2268" w:type="dxa"/>
            <w:vAlign w:val="center"/>
          </w:tcPr>
          <w:p>
            <w:pPr>
              <w:pStyle w:val="13"/>
            </w:pPr>
            <w:r>
              <w:t>≥90%</w:t>
            </w:r>
          </w:p>
        </w:tc>
        <w:tc>
          <w:tcPr>
            <w:tcW w:w="127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14、粮食系统附营企业职工生活费绩效目标表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13042424P00NBD4100127</w:t>
            </w:r>
          </w:p>
        </w:tc>
        <w:tc>
          <w:tcPr>
            <w:tcW w:w="2835" w:type="dxa"/>
            <w:vAlign w:val="center"/>
          </w:tcPr>
          <w:p>
            <w:pPr>
              <w:pStyle w:val="11"/>
            </w:pPr>
            <w:r>
              <w:t>项目名称</w:t>
            </w:r>
          </w:p>
        </w:tc>
        <w:tc>
          <w:tcPr>
            <w:tcW w:w="6094" w:type="dxa"/>
            <w:gridSpan w:val="3"/>
            <w:vAlign w:val="center"/>
          </w:tcPr>
          <w:p>
            <w:pPr>
              <w:pStyle w:val="13"/>
            </w:pPr>
            <w:r>
              <w:t>粮食系统附营企业职工生活费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支付附营企业生活费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15.00</w:t>
            </w:r>
          </w:p>
        </w:tc>
        <w:tc>
          <w:tcPr>
            <w:tcW w:w="2551" w:type="dxa"/>
            <w:vAlign w:val="center"/>
          </w:tcPr>
          <w:p>
            <w:pPr>
              <w:pStyle w:val="14"/>
            </w:pPr>
            <w:r>
              <w:t>15.00</w:t>
            </w:r>
          </w:p>
        </w:tc>
        <w:tc>
          <w:tcPr>
            <w:tcW w:w="3543"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1.保障机关工作顺利进行，维护社会稳定</w:t>
            </w:r>
          </w:p>
          <w:p>
            <w:pPr>
              <w:pStyle w:val="13"/>
            </w:pPr>
            <w:r>
              <w:t>2.下岗职工在生活等方面的改善情况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领取生活费人数</w:t>
            </w:r>
          </w:p>
        </w:tc>
        <w:tc>
          <w:tcPr>
            <w:tcW w:w="5386" w:type="dxa"/>
            <w:vAlign w:val="center"/>
          </w:tcPr>
          <w:p>
            <w:pPr>
              <w:pStyle w:val="13"/>
            </w:pPr>
            <w:r>
              <w:t>领取生活费人数</w:t>
            </w:r>
          </w:p>
        </w:tc>
        <w:tc>
          <w:tcPr>
            <w:tcW w:w="2268" w:type="dxa"/>
            <w:vAlign w:val="center"/>
          </w:tcPr>
          <w:p>
            <w:pPr>
              <w:pStyle w:val="13"/>
            </w:pPr>
            <w:r>
              <w:t>123人</w:t>
            </w:r>
          </w:p>
        </w:tc>
        <w:tc>
          <w:tcPr>
            <w:tcW w:w="1276" w:type="dxa"/>
            <w:vAlign w:val="center"/>
          </w:tcPr>
          <w:p>
            <w:pPr>
              <w:pStyle w:val="13"/>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生活费发放率</w:t>
            </w:r>
          </w:p>
        </w:tc>
        <w:tc>
          <w:tcPr>
            <w:tcW w:w="5386" w:type="dxa"/>
            <w:vAlign w:val="center"/>
          </w:tcPr>
          <w:p>
            <w:pPr>
              <w:pStyle w:val="13"/>
            </w:pPr>
            <w:r>
              <w:t>实施发放的补助金额占计划发放金额的比率</w:t>
            </w:r>
          </w:p>
        </w:tc>
        <w:tc>
          <w:tcPr>
            <w:tcW w:w="2268" w:type="dxa"/>
            <w:vAlign w:val="center"/>
          </w:tcPr>
          <w:p>
            <w:pPr>
              <w:pStyle w:val="13"/>
            </w:pPr>
            <w:r>
              <w:t>≥95%</w:t>
            </w:r>
          </w:p>
        </w:tc>
        <w:tc>
          <w:tcPr>
            <w:tcW w:w="1276" w:type="dxa"/>
            <w:vAlign w:val="center"/>
          </w:tcPr>
          <w:p>
            <w:pPr>
              <w:pStyle w:val="13"/>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补助资金及时发放率</w:t>
            </w:r>
          </w:p>
        </w:tc>
        <w:tc>
          <w:tcPr>
            <w:tcW w:w="2268" w:type="dxa"/>
            <w:vAlign w:val="center"/>
          </w:tcPr>
          <w:p>
            <w:pPr>
              <w:pStyle w:val="13"/>
            </w:pPr>
            <w:r>
              <w:t>资金到位后及时发放</w:t>
            </w:r>
          </w:p>
        </w:tc>
        <w:tc>
          <w:tcPr>
            <w:tcW w:w="1276" w:type="dxa"/>
            <w:vAlign w:val="center"/>
          </w:tcPr>
          <w:p>
            <w:pPr>
              <w:pStyle w:val="13"/>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费用标准</w:t>
            </w:r>
          </w:p>
        </w:tc>
        <w:tc>
          <w:tcPr>
            <w:tcW w:w="5386" w:type="dxa"/>
            <w:vAlign w:val="center"/>
          </w:tcPr>
          <w:p>
            <w:pPr>
              <w:pStyle w:val="13"/>
            </w:pPr>
            <w:r>
              <w:t>费用标准</w:t>
            </w:r>
          </w:p>
        </w:tc>
        <w:tc>
          <w:tcPr>
            <w:tcW w:w="2268" w:type="dxa"/>
            <w:vAlign w:val="center"/>
          </w:tcPr>
          <w:p>
            <w:pPr>
              <w:pStyle w:val="13"/>
            </w:pPr>
            <w:r>
              <w:t>每人每月240元-480元不等</w:t>
            </w:r>
          </w:p>
        </w:tc>
        <w:tc>
          <w:tcPr>
            <w:tcW w:w="1276" w:type="dxa"/>
            <w:vAlign w:val="center"/>
          </w:tcPr>
          <w:p>
            <w:pPr>
              <w:pStyle w:val="13"/>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下岗职工生活改善情况</w:t>
            </w:r>
          </w:p>
        </w:tc>
        <w:tc>
          <w:tcPr>
            <w:tcW w:w="5386" w:type="dxa"/>
            <w:vAlign w:val="center"/>
          </w:tcPr>
          <w:p>
            <w:pPr>
              <w:pStyle w:val="13"/>
            </w:pPr>
            <w:r>
              <w:t>下岗职工在生活等方面的改善情况</w:t>
            </w:r>
          </w:p>
        </w:tc>
        <w:tc>
          <w:tcPr>
            <w:tcW w:w="2268" w:type="dxa"/>
            <w:vAlign w:val="center"/>
          </w:tcPr>
          <w:p>
            <w:pPr>
              <w:pStyle w:val="13"/>
            </w:pPr>
            <w:r>
              <w:t>稳步提高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保障机关工作顺利进行，维护社会稳定</w:t>
            </w:r>
          </w:p>
        </w:tc>
        <w:tc>
          <w:tcPr>
            <w:tcW w:w="2268" w:type="dxa"/>
            <w:vAlign w:val="center"/>
          </w:tcPr>
          <w:p>
            <w:pPr>
              <w:pStyle w:val="13"/>
            </w:pPr>
            <w:r>
              <w:t>有效维护</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15、商务局人员工资绩效目标表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13042424P00YU81100090</w:t>
            </w:r>
          </w:p>
        </w:tc>
        <w:tc>
          <w:tcPr>
            <w:tcW w:w="2835" w:type="dxa"/>
            <w:vAlign w:val="center"/>
          </w:tcPr>
          <w:p>
            <w:pPr>
              <w:pStyle w:val="11"/>
            </w:pPr>
            <w:r>
              <w:t>项目名称</w:t>
            </w:r>
          </w:p>
        </w:tc>
        <w:tc>
          <w:tcPr>
            <w:tcW w:w="6094" w:type="dxa"/>
            <w:gridSpan w:val="3"/>
            <w:vAlign w:val="center"/>
          </w:tcPr>
          <w:p>
            <w:pPr>
              <w:pStyle w:val="13"/>
            </w:pPr>
            <w:r>
              <w:t>商务局人员工资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14.40</w:t>
            </w:r>
          </w:p>
        </w:tc>
        <w:tc>
          <w:tcPr>
            <w:tcW w:w="2835" w:type="dxa"/>
            <w:vAlign w:val="center"/>
          </w:tcPr>
          <w:p>
            <w:pPr>
              <w:pStyle w:val="11"/>
            </w:pPr>
            <w:r>
              <w:t>其中：财政    资金</w:t>
            </w:r>
          </w:p>
        </w:tc>
        <w:tc>
          <w:tcPr>
            <w:tcW w:w="2551" w:type="dxa"/>
            <w:vAlign w:val="center"/>
          </w:tcPr>
          <w:p>
            <w:pPr>
              <w:pStyle w:val="13"/>
            </w:pPr>
            <w:r>
              <w:t>14.40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用于支商务人员工资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3.60</w:t>
            </w:r>
          </w:p>
        </w:tc>
        <w:tc>
          <w:tcPr>
            <w:tcW w:w="2835" w:type="dxa"/>
            <w:vAlign w:val="center"/>
          </w:tcPr>
          <w:p>
            <w:pPr>
              <w:pStyle w:val="14"/>
            </w:pPr>
            <w:r>
              <w:t>3.60</w:t>
            </w:r>
          </w:p>
        </w:tc>
        <w:tc>
          <w:tcPr>
            <w:tcW w:w="2551" w:type="dxa"/>
            <w:vAlign w:val="center"/>
          </w:tcPr>
          <w:p>
            <w:pPr>
              <w:pStyle w:val="14"/>
            </w:pPr>
            <w:r>
              <w:t>3.60</w:t>
            </w:r>
          </w:p>
        </w:tc>
        <w:tc>
          <w:tcPr>
            <w:tcW w:w="3543" w:type="dxa"/>
            <w:gridSpan w:val="2"/>
            <w:vAlign w:val="center"/>
          </w:tcPr>
          <w:p>
            <w:pPr>
              <w:pStyle w:val="14"/>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1.按时按月发放工资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享受工资待遇人数</w:t>
            </w:r>
          </w:p>
        </w:tc>
        <w:tc>
          <w:tcPr>
            <w:tcW w:w="5386" w:type="dxa"/>
            <w:vAlign w:val="center"/>
          </w:tcPr>
          <w:p>
            <w:pPr>
              <w:pStyle w:val="13"/>
            </w:pPr>
            <w:r>
              <w:t>实际发放的工资人数占计划发放人数的比率</w:t>
            </w:r>
          </w:p>
        </w:tc>
        <w:tc>
          <w:tcPr>
            <w:tcW w:w="2268" w:type="dxa"/>
            <w:vAlign w:val="center"/>
          </w:tcPr>
          <w:p>
            <w:pPr>
              <w:pStyle w:val="13"/>
            </w:pPr>
            <w:r>
              <w:t>≥20人</w:t>
            </w:r>
          </w:p>
        </w:tc>
        <w:tc>
          <w:tcPr>
            <w:tcW w:w="1276" w:type="dxa"/>
            <w:vAlign w:val="center"/>
          </w:tcPr>
          <w:p>
            <w:pPr>
              <w:pStyle w:val="13"/>
            </w:pPr>
            <w:r>
              <w:t>工资发放花名册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实际发放的工资额站计划发放工资金额的比率</w:t>
            </w:r>
          </w:p>
        </w:tc>
        <w:tc>
          <w:tcPr>
            <w:tcW w:w="2268" w:type="dxa"/>
            <w:vAlign w:val="center"/>
          </w:tcPr>
          <w:p>
            <w:pPr>
              <w:pStyle w:val="13"/>
            </w:pPr>
            <w:r>
              <w:t>≥100%</w:t>
            </w:r>
          </w:p>
        </w:tc>
        <w:tc>
          <w:tcPr>
            <w:tcW w:w="1276" w:type="dxa"/>
            <w:vAlign w:val="center"/>
          </w:tcPr>
          <w:p>
            <w:pPr>
              <w:pStyle w:val="13"/>
            </w:pPr>
            <w:r>
              <w:t>实际发放工资数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按期发放工资</w:t>
            </w:r>
          </w:p>
        </w:tc>
        <w:tc>
          <w:tcPr>
            <w:tcW w:w="5386" w:type="dxa"/>
            <w:vAlign w:val="center"/>
          </w:tcPr>
          <w:p>
            <w:pPr>
              <w:pStyle w:val="13"/>
            </w:pPr>
            <w:r>
              <w:t>按时按月发放工资</w:t>
            </w:r>
          </w:p>
        </w:tc>
        <w:tc>
          <w:tcPr>
            <w:tcW w:w="2268" w:type="dxa"/>
            <w:vAlign w:val="center"/>
          </w:tcPr>
          <w:p>
            <w:pPr>
              <w:pStyle w:val="13"/>
            </w:pPr>
            <w:r>
              <w:t>及时发放</w:t>
            </w:r>
          </w:p>
        </w:tc>
        <w:tc>
          <w:tcPr>
            <w:tcW w:w="1276" w:type="dxa"/>
            <w:vAlign w:val="center"/>
          </w:tcPr>
          <w:p>
            <w:pPr>
              <w:pStyle w:val="13"/>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每人每月发放工资数</w:t>
            </w:r>
          </w:p>
        </w:tc>
        <w:tc>
          <w:tcPr>
            <w:tcW w:w="5386" w:type="dxa"/>
            <w:vAlign w:val="center"/>
          </w:tcPr>
          <w:p>
            <w:pPr>
              <w:pStyle w:val="13"/>
            </w:pPr>
            <w:r>
              <w:t>每人每月发放工资数</w:t>
            </w:r>
          </w:p>
        </w:tc>
        <w:tc>
          <w:tcPr>
            <w:tcW w:w="2268" w:type="dxa"/>
            <w:vAlign w:val="center"/>
          </w:tcPr>
          <w:p>
            <w:pPr>
              <w:pStyle w:val="13"/>
            </w:pPr>
            <w:r>
              <w:t>元</w:t>
            </w:r>
          </w:p>
        </w:tc>
        <w:tc>
          <w:tcPr>
            <w:tcW w:w="1276" w:type="dxa"/>
            <w:vAlign w:val="center"/>
          </w:tcPr>
          <w:p>
            <w:pPr>
              <w:pStyle w:val="13"/>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提高工作，增加员工积极性</w:t>
            </w:r>
          </w:p>
        </w:tc>
        <w:tc>
          <w:tcPr>
            <w:tcW w:w="5386" w:type="dxa"/>
            <w:vAlign w:val="center"/>
          </w:tcPr>
          <w:p>
            <w:pPr>
              <w:pStyle w:val="13"/>
            </w:pPr>
            <w:r>
              <w:t>提高工作，增加员工积极性</w:t>
            </w:r>
          </w:p>
        </w:tc>
        <w:tc>
          <w:tcPr>
            <w:tcW w:w="2268" w:type="dxa"/>
            <w:vAlign w:val="center"/>
          </w:tcPr>
          <w:p>
            <w:pPr>
              <w:pStyle w:val="13"/>
            </w:pPr>
            <w:r>
              <w:t>有效提高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提升人员生活保障</w:t>
            </w:r>
          </w:p>
        </w:tc>
        <w:tc>
          <w:tcPr>
            <w:tcW w:w="5386" w:type="dxa"/>
            <w:vAlign w:val="center"/>
          </w:tcPr>
          <w:p>
            <w:pPr>
              <w:pStyle w:val="13"/>
            </w:pPr>
            <w:r>
              <w:t>提升人员生活保障</w:t>
            </w:r>
          </w:p>
        </w:tc>
        <w:tc>
          <w:tcPr>
            <w:tcW w:w="2268" w:type="dxa"/>
            <w:vAlign w:val="center"/>
          </w:tcPr>
          <w:p>
            <w:pPr>
              <w:pStyle w:val="13"/>
            </w:pPr>
            <w:r>
              <w:t>有效提升</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享受工资待遇满意率</w:t>
            </w:r>
          </w:p>
        </w:tc>
        <w:tc>
          <w:tcPr>
            <w:tcW w:w="5386" w:type="dxa"/>
            <w:vAlign w:val="center"/>
          </w:tcPr>
          <w:p>
            <w:pPr>
              <w:pStyle w:val="13"/>
            </w:pPr>
            <w:r>
              <w:t>享受工资待遇满意率</w:t>
            </w:r>
          </w:p>
        </w:tc>
        <w:tc>
          <w:tcPr>
            <w:tcW w:w="2268" w:type="dxa"/>
            <w:vAlign w:val="center"/>
          </w:tcPr>
          <w:p>
            <w:pPr>
              <w:pStyle w:val="13"/>
            </w:pPr>
            <w:r>
              <w:t>≥97%</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16、退役军人公益岗位补贴绩效目标表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13042424P009G5410279M</w:t>
            </w:r>
          </w:p>
        </w:tc>
        <w:tc>
          <w:tcPr>
            <w:tcW w:w="2835" w:type="dxa"/>
            <w:vAlign w:val="center"/>
          </w:tcPr>
          <w:p>
            <w:pPr>
              <w:pStyle w:val="11"/>
            </w:pPr>
            <w:r>
              <w:t>项目名称</w:t>
            </w:r>
          </w:p>
        </w:tc>
        <w:tc>
          <w:tcPr>
            <w:tcW w:w="6094" w:type="dxa"/>
            <w:gridSpan w:val="3"/>
            <w:vAlign w:val="center"/>
          </w:tcPr>
          <w:p>
            <w:pPr>
              <w:pStyle w:val="13"/>
            </w:pPr>
            <w:r>
              <w:t>退役军人公益岗位补贴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88.86</w:t>
            </w:r>
          </w:p>
        </w:tc>
        <w:tc>
          <w:tcPr>
            <w:tcW w:w="2835" w:type="dxa"/>
            <w:vAlign w:val="center"/>
          </w:tcPr>
          <w:p>
            <w:pPr>
              <w:pStyle w:val="11"/>
            </w:pPr>
            <w:r>
              <w:t>其中：财政    资金</w:t>
            </w:r>
          </w:p>
        </w:tc>
        <w:tc>
          <w:tcPr>
            <w:tcW w:w="2551" w:type="dxa"/>
            <w:vAlign w:val="center"/>
          </w:tcPr>
          <w:p>
            <w:pPr>
              <w:pStyle w:val="13"/>
            </w:pPr>
            <w:r>
              <w:t>88.86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用于支付退役军人人员养老保险及职业年金等费用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22.25</w:t>
            </w:r>
          </w:p>
        </w:tc>
        <w:tc>
          <w:tcPr>
            <w:tcW w:w="2835" w:type="dxa"/>
            <w:vAlign w:val="center"/>
          </w:tcPr>
          <w:p>
            <w:pPr>
              <w:pStyle w:val="14"/>
            </w:pPr>
            <w:r>
              <w:t>22.25</w:t>
            </w:r>
          </w:p>
        </w:tc>
        <w:tc>
          <w:tcPr>
            <w:tcW w:w="2551" w:type="dxa"/>
            <w:vAlign w:val="center"/>
          </w:tcPr>
          <w:p>
            <w:pPr>
              <w:pStyle w:val="14"/>
            </w:pPr>
            <w:r>
              <w:t>22.25</w:t>
            </w:r>
          </w:p>
        </w:tc>
        <w:tc>
          <w:tcPr>
            <w:tcW w:w="3543" w:type="dxa"/>
            <w:gridSpan w:val="2"/>
            <w:vAlign w:val="center"/>
          </w:tcPr>
          <w:p>
            <w:pPr>
              <w:pStyle w:val="14"/>
            </w:pPr>
            <w:r>
              <w:t>22.25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1.退役军人正常缴纳养老保险及职业年金</w:t>
            </w:r>
          </w:p>
          <w:p>
            <w:pPr>
              <w:pStyle w:val="13"/>
            </w:pPr>
            <w:r>
              <w:t>2.养老保险制度得到完善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补缴人数</w:t>
            </w:r>
          </w:p>
        </w:tc>
        <w:tc>
          <w:tcPr>
            <w:tcW w:w="5386" w:type="dxa"/>
            <w:vAlign w:val="center"/>
          </w:tcPr>
          <w:p>
            <w:pPr>
              <w:pStyle w:val="13"/>
            </w:pPr>
            <w:r>
              <w:t>需要补缴养老保险工伤及医疗保险的人数</w:t>
            </w:r>
          </w:p>
        </w:tc>
        <w:tc>
          <w:tcPr>
            <w:tcW w:w="2268" w:type="dxa"/>
            <w:vAlign w:val="center"/>
          </w:tcPr>
          <w:p>
            <w:pPr>
              <w:pStyle w:val="13"/>
            </w:pPr>
            <w:r>
              <w:t>≥30人</w:t>
            </w:r>
          </w:p>
        </w:tc>
        <w:tc>
          <w:tcPr>
            <w:tcW w:w="1276" w:type="dxa"/>
            <w:vAlign w:val="center"/>
          </w:tcPr>
          <w:p>
            <w:pPr>
              <w:pStyle w:val="13"/>
            </w:pPr>
            <w:r>
              <w:t>军退人员参加公益岗位统计表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入库金额完成率</w:t>
            </w:r>
          </w:p>
        </w:tc>
        <w:tc>
          <w:tcPr>
            <w:tcW w:w="5386" w:type="dxa"/>
            <w:vAlign w:val="center"/>
          </w:tcPr>
          <w:p>
            <w:pPr>
              <w:pStyle w:val="13"/>
            </w:pPr>
            <w:r>
              <w:t>单位入库金额完成率</w:t>
            </w:r>
          </w:p>
        </w:tc>
        <w:tc>
          <w:tcPr>
            <w:tcW w:w="2268" w:type="dxa"/>
            <w:vAlign w:val="center"/>
          </w:tcPr>
          <w:p>
            <w:pPr>
              <w:pStyle w:val="13"/>
            </w:pPr>
            <w:r>
              <w:t>100%</w:t>
            </w:r>
          </w:p>
        </w:tc>
        <w:tc>
          <w:tcPr>
            <w:tcW w:w="1276" w:type="dxa"/>
            <w:vAlign w:val="center"/>
          </w:tcPr>
          <w:p>
            <w:pPr>
              <w:pStyle w:val="13"/>
            </w:pPr>
            <w:r>
              <w:t>单位明细回单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补缴期限</w:t>
            </w:r>
          </w:p>
        </w:tc>
        <w:tc>
          <w:tcPr>
            <w:tcW w:w="5386" w:type="dxa"/>
            <w:vAlign w:val="center"/>
          </w:tcPr>
          <w:p>
            <w:pPr>
              <w:pStyle w:val="13"/>
            </w:pPr>
            <w:r>
              <w:t>补缴养老保险工伤医保期限</w:t>
            </w:r>
          </w:p>
        </w:tc>
        <w:tc>
          <w:tcPr>
            <w:tcW w:w="2268" w:type="dxa"/>
            <w:vAlign w:val="center"/>
          </w:tcPr>
          <w:p>
            <w:pPr>
              <w:pStyle w:val="13"/>
            </w:pPr>
            <w:r>
              <w:t>2021年1-12月</w:t>
            </w:r>
          </w:p>
        </w:tc>
        <w:tc>
          <w:tcPr>
            <w:tcW w:w="1276" w:type="dxa"/>
            <w:vAlign w:val="center"/>
          </w:tcPr>
          <w:p>
            <w:pPr>
              <w:pStyle w:val="13"/>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按社保计算比例缴纳</w:t>
            </w:r>
          </w:p>
        </w:tc>
        <w:tc>
          <w:tcPr>
            <w:tcW w:w="5386" w:type="dxa"/>
            <w:vAlign w:val="center"/>
          </w:tcPr>
          <w:p>
            <w:pPr>
              <w:pStyle w:val="13"/>
            </w:pPr>
            <w:r>
              <w:t>按社保计算比例缴纳</w:t>
            </w:r>
          </w:p>
        </w:tc>
        <w:tc>
          <w:tcPr>
            <w:tcW w:w="2268" w:type="dxa"/>
            <w:vAlign w:val="center"/>
          </w:tcPr>
          <w:p>
            <w:pPr>
              <w:pStyle w:val="13"/>
            </w:pPr>
            <w:r>
              <w:t>按社保缴纳比例计算</w:t>
            </w:r>
          </w:p>
        </w:tc>
        <w:tc>
          <w:tcPr>
            <w:tcW w:w="1276" w:type="dxa"/>
            <w:vAlign w:val="center"/>
          </w:tcPr>
          <w:p>
            <w:pPr>
              <w:pStyle w:val="13"/>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退役军人养老得到保障</w:t>
            </w:r>
          </w:p>
        </w:tc>
        <w:tc>
          <w:tcPr>
            <w:tcW w:w="5386" w:type="dxa"/>
            <w:vAlign w:val="center"/>
          </w:tcPr>
          <w:p>
            <w:pPr>
              <w:pStyle w:val="13"/>
            </w:pPr>
            <w:r>
              <w:t>退役军人正常缴纳养老保险及职业年金</w:t>
            </w:r>
          </w:p>
        </w:tc>
        <w:tc>
          <w:tcPr>
            <w:tcW w:w="2268" w:type="dxa"/>
            <w:vAlign w:val="center"/>
          </w:tcPr>
          <w:p>
            <w:pPr>
              <w:pStyle w:val="13"/>
            </w:pPr>
            <w:r>
              <w:t>有效保障</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养老保险制度得到完善</w:t>
            </w:r>
          </w:p>
        </w:tc>
        <w:tc>
          <w:tcPr>
            <w:tcW w:w="5386" w:type="dxa"/>
            <w:vAlign w:val="center"/>
          </w:tcPr>
          <w:p>
            <w:pPr>
              <w:pStyle w:val="13"/>
            </w:pPr>
            <w:r>
              <w:t>养老保险制度得到完善</w:t>
            </w:r>
          </w:p>
        </w:tc>
        <w:tc>
          <w:tcPr>
            <w:tcW w:w="2268" w:type="dxa"/>
            <w:vAlign w:val="center"/>
          </w:tcPr>
          <w:p>
            <w:pPr>
              <w:pStyle w:val="13"/>
            </w:pPr>
            <w:r>
              <w:t>有限改善</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缴纳人员满意度</w:t>
            </w:r>
          </w:p>
        </w:tc>
        <w:tc>
          <w:tcPr>
            <w:tcW w:w="5386" w:type="dxa"/>
            <w:vAlign w:val="center"/>
          </w:tcPr>
          <w:p>
            <w:pPr>
              <w:pStyle w:val="13"/>
            </w:pPr>
            <w:r>
              <w:t>缴纳人员满意度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17、我县政府门户网站运维费用绩效目标表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13042424P0090N0100098</w:t>
            </w:r>
          </w:p>
        </w:tc>
        <w:tc>
          <w:tcPr>
            <w:tcW w:w="2835" w:type="dxa"/>
            <w:vAlign w:val="center"/>
          </w:tcPr>
          <w:p>
            <w:pPr>
              <w:pStyle w:val="11"/>
            </w:pPr>
            <w:r>
              <w:t>项目名称</w:t>
            </w:r>
          </w:p>
        </w:tc>
        <w:tc>
          <w:tcPr>
            <w:tcW w:w="6094" w:type="dxa"/>
            <w:gridSpan w:val="3"/>
            <w:vAlign w:val="center"/>
          </w:tcPr>
          <w:p>
            <w:pPr>
              <w:pStyle w:val="13"/>
            </w:pPr>
            <w:r>
              <w:t>我县政府门户网站运维费用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支政府门户网站年度运维费用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1.确保政务网络数据安全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信息量增加百分比</w:t>
            </w:r>
          </w:p>
        </w:tc>
        <w:tc>
          <w:tcPr>
            <w:tcW w:w="5386" w:type="dxa"/>
            <w:vAlign w:val="center"/>
          </w:tcPr>
          <w:p>
            <w:pPr>
              <w:pStyle w:val="13"/>
            </w:pPr>
            <w:r>
              <w:t>政务网信息量较上年同期增加百分比</w:t>
            </w:r>
          </w:p>
        </w:tc>
        <w:tc>
          <w:tcPr>
            <w:tcW w:w="2268" w:type="dxa"/>
            <w:vAlign w:val="center"/>
          </w:tcPr>
          <w:p>
            <w:pPr>
              <w:pStyle w:val="13"/>
            </w:pPr>
            <w:r>
              <w:t>≥10%</w:t>
            </w:r>
          </w:p>
        </w:tc>
        <w:tc>
          <w:tcPr>
            <w:tcW w:w="1276" w:type="dxa"/>
            <w:vAlign w:val="center"/>
          </w:tcPr>
          <w:p>
            <w:pPr>
              <w:pStyle w:val="13"/>
            </w:pPr>
            <w:r>
              <w:t>工作简报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服务器安全运行天数</w:t>
            </w:r>
          </w:p>
        </w:tc>
        <w:tc>
          <w:tcPr>
            <w:tcW w:w="5386" w:type="dxa"/>
            <w:vAlign w:val="center"/>
          </w:tcPr>
          <w:p>
            <w:pPr>
              <w:pStyle w:val="13"/>
            </w:pPr>
            <w:r>
              <w:t>服务器安全运行天数</w:t>
            </w:r>
          </w:p>
        </w:tc>
        <w:tc>
          <w:tcPr>
            <w:tcW w:w="2268" w:type="dxa"/>
            <w:vAlign w:val="center"/>
          </w:tcPr>
          <w:p>
            <w:pPr>
              <w:pStyle w:val="13"/>
            </w:pPr>
            <w:r>
              <w:t>≥350天</w:t>
            </w:r>
          </w:p>
        </w:tc>
        <w:tc>
          <w:tcPr>
            <w:tcW w:w="1276" w:type="dxa"/>
            <w:vAlign w:val="center"/>
          </w:tcPr>
          <w:p>
            <w:pPr>
              <w:pStyle w:val="13"/>
            </w:pPr>
            <w:r>
              <w:t>故障维护记录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项目服务期限</w:t>
            </w:r>
          </w:p>
        </w:tc>
        <w:tc>
          <w:tcPr>
            <w:tcW w:w="5386" w:type="dxa"/>
            <w:vAlign w:val="center"/>
          </w:tcPr>
          <w:p>
            <w:pPr>
              <w:pStyle w:val="13"/>
            </w:pPr>
            <w:r>
              <w:t>项目期限1年</w:t>
            </w:r>
          </w:p>
        </w:tc>
        <w:tc>
          <w:tcPr>
            <w:tcW w:w="2268" w:type="dxa"/>
            <w:vAlign w:val="center"/>
          </w:tcPr>
          <w:p>
            <w:pPr>
              <w:pStyle w:val="13"/>
            </w:pPr>
            <w:r>
              <w:t>≥1年</w:t>
            </w:r>
          </w:p>
        </w:tc>
        <w:tc>
          <w:tcPr>
            <w:tcW w:w="1276"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维护费控制不超预算数</w:t>
            </w:r>
          </w:p>
        </w:tc>
        <w:tc>
          <w:tcPr>
            <w:tcW w:w="5386" w:type="dxa"/>
            <w:vAlign w:val="center"/>
          </w:tcPr>
          <w:p>
            <w:pPr>
              <w:pStyle w:val="13"/>
            </w:pPr>
            <w:r>
              <w:t>维护费控制不超预算数</w:t>
            </w:r>
          </w:p>
        </w:tc>
        <w:tc>
          <w:tcPr>
            <w:tcW w:w="2268" w:type="dxa"/>
            <w:vAlign w:val="center"/>
          </w:tcPr>
          <w:p>
            <w:pPr>
              <w:pStyle w:val="13"/>
            </w:pPr>
            <w:r>
              <w:t>≤5.7万元</w:t>
            </w:r>
          </w:p>
        </w:tc>
        <w:tc>
          <w:tcPr>
            <w:tcW w:w="1276" w:type="dxa"/>
            <w:vAlign w:val="center"/>
          </w:tcPr>
          <w:p>
            <w:pPr>
              <w:pStyle w:val="13"/>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同比节约维护成本</w:t>
            </w:r>
          </w:p>
        </w:tc>
        <w:tc>
          <w:tcPr>
            <w:tcW w:w="5386" w:type="dxa"/>
            <w:vAlign w:val="center"/>
          </w:tcPr>
          <w:p>
            <w:pPr>
              <w:pStyle w:val="13"/>
            </w:pPr>
            <w:r>
              <w:t>同比节约维护成本</w:t>
            </w:r>
          </w:p>
        </w:tc>
        <w:tc>
          <w:tcPr>
            <w:tcW w:w="2268" w:type="dxa"/>
            <w:vAlign w:val="center"/>
          </w:tcPr>
          <w:p>
            <w:pPr>
              <w:pStyle w:val="13"/>
            </w:pPr>
            <w:r>
              <w:t>≥5%</w:t>
            </w:r>
          </w:p>
        </w:tc>
        <w:tc>
          <w:tcPr>
            <w:tcW w:w="1276" w:type="dxa"/>
            <w:vAlign w:val="center"/>
          </w:tcPr>
          <w:p>
            <w:pPr>
              <w:pStyle w:val="13"/>
            </w:pPr>
            <w:r>
              <w:t>节约支出金额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减少故障发生次数</w:t>
            </w:r>
          </w:p>
        </w:tc>
        <w:tc>
          <w:tcPr>
            <w:tcW w:w="5386" w:type="dxa"/>
            <w:vAlign w:val="center"/>
          </w:tcPr>
          <w:p>
            <w:pPr>
              <w:pStyle w:val="13"/>
            </w:pPr>
            <w:r>
              <w:t>较上年减少故障发生次数</w:t>
            </w:r>
          </w:p>
        </w:tc>
        <w:tc>
          <w:tcPr>
            <w:tcW w:w="2268" w:type="dxa"/>
            <w:vAlign w:val="center"/>
          </w:tcPr>
          <w:p>
            <w:pPr>
              <w:pStyle w:val="13"/>
            </w:pPr>
            <w:r>
              <w:t>≤3次</w:t>
            </w:r>
          </w:p>
        </w:tc>
        <w:tc>
          <w:tcPr>
            <w:tcW w:w="1276" w:type="dxa"/>
            <w:vAlign w:val="center"/>
          </w:tcPr>
          <w:p>
            <w:pPr>
              <w:pStyle w:val="13"/>
            </w:pPr>
            <w:r>
              <w:t>设备报警记录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保障政务网安全运行</w:t>
            </w:r>
          </w:p>
        </w:tc>
        <w:tc>
          <w:tcPr>
            <w:tcW w:w="5386" w:type="dxa"/>
            <w:vAlign w:val="center"/>
          </w:tcPr>
          <w:p>
            <w:pPr>
              <w:pStyle w:val="13"/>
            </w:pPr>
            <w:r>
              <w:t>保障政务网安全运行</w:t>
            </w:r>
          </w:p>
        </w:tc>
        <w:tc>
          <w:tcPr>
            <w:tcW w:w="2268" w:type="dxa"/>
            <w:vAlign w:val="center"/>
          </w:tcPr>
          <w:p>
            <w:pPr>
              <w:pStyle w:val="13"/>
            </w:pPr>
            <w:r>
              <w:t>保障政务网安全报告</w:t>
            </w:r>
          </w:p>
        </w:tc>
        <w:tc>
          <w:tcPr>
            <w:tcW w:w="1276" w:type="dxa"/>
            <w:vAlign w:val="center"/>
          </w:tcPr>
          <w:p>
            <w:pPr>
              <w:pStyle w:val="13"/>
            </w:pPr>
            <w:r>
              <w:t>政府网安全报告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满意度占调查总数的百分率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18、政府网光纤租赁费绩效目标表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13042424P00000110320T</w:t>
            </w:r>
          </w:p>
        </w:tc>
        <w:tc>
          <w:tcPr>
            <w:tcW w:w="2835" w:type="dxa"/>
            <w:vAlign w:val="center"/>
          </w:tcPr>
          <w:p>
            <w:pPr>
              <w:pStyle w:val="11"/>
            </w:pPr>
            <w:r>
              <w:t>项目名称</w:t>
            </w:r>
          </w:p>
        </w:tc>
        <w:tc>
          <w:tcPr>
            <w:tcW w:w="6094" w:type="dxa"/>
            <w:gridSpan w:val="3"/>
            <w:vAlign w:val="center"/>
          </w:tcPr>
          <w:p>
            <w:pPr>
              <w:pStyle w:val="13"/>
            </w:pPr>
            <w:r>
              <w:t>政府网光纤租赁费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w:t>
            </w:r>
          </w:p>
        </w:tc>
        <w:tc>
          <w:tcPr>
            <w:tcW w:w="2835" w:type="dxa"/>
            <w:vAlign w:val="center"/>
          </w:tcPr>
          <w:p>
            <w:pPr>
              <w:pStyle w:val="11"/>
            </w:pPr>
            <w:r>
              <w:t>其中：财政    资金</w:t>
            </w:r>
          </w:p>
        </w:tc>
        <w:tc>
          <w:tcPr>
            <w:tcW w:w="2551" w:type="dxa"/>
            <w:vAlign w:val="center"/>
          </w:tcPr>
          <w:p>
            <w:pPr>
              <w:pStyle w:val="13"/>
            </w:pPr>
            <w:r>
              <w:t>3.10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用于支付政府网光纤租赁费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0.25</w:t>
            </w:r>
          </w:p>
        </w:tc>
        <w:tc>
          <w:tcPr>
            <w:tcW w:w="2551" w:type="dxa"/>
            <w:vAlign w:val="center"/>
          </w:tcPr>
          <w:p>
            <w:pPr>
              <w:pStyle w:val="14"/>
            </w:pPr>
            <w:r>
              <w:t>0.25</w:t>
            </w:r>
          </w:p>
        </w:tc>
        <w:tc>
          <w:tcPr>
            <w:tcW w:w="3543" w:type="dxa"/>
            <w:gridSpan w:val="2"/>
            <w:vAlign w:val="center"/>
          </w:tcPr>
          <w:p>
            <w:pPr>
              <w:pStyle w:val="14"/>
            </w:pPr>
            <w:r>
              <w:t>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1.保障政府网通畅，工资正常运行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终端电脑数量增加</w:t>
            </w:r>
          </w:p>
        </w:tc>
        <w:tc>
          <w:tcPr>
            <w:tcW w:w="5386" w:type="dxa"/>
            <w:vAlign w:val="center"/>
          </w:tcPr>
          <w:p>
            <w:pPr>
              <w:pStyle w:val="13"/>
            </w:pPr>
            <w:r>
              <w:t>终端电脑数量增加台数</w:t>
            </w:r>
          </w:p>
        </w:tc>
        <w:tc>
          <w:tcPr>
            <w:tcW w:w="2268" w:type="dxa"/>
            <w:vAlign w:val="center"/>
          </w:tcPr>
          <w:p>
            <w:pPr>
              <w:pStyle w:val="13"/>
            </w:pPr>
            <w:r>
              <w:t>≥80台</w:t>
            </w:r>
          </w:p>
        </w:tc>
        <w:tc>
          <w:tcPr>
            <w:tcW w:w="1276" w:type="dxa"/>
            <w:vAlign w:val="center"/>
          </w:tcPr>
          <w:p>
            <w:pPr>
              <w:pStyle w:val="13"/>
            </w:pPr>
            <w:r>
              <w:t>根据备案量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网速稳定、速度快</w:t>
            </w:r>
          </w:p>
        </w:tc>
        <w:tc>
          <w:tcPr>
            <w:tcW w:w="5386" w:type="dxa"/>
            <w:vAlign w:val="center"/>
          </w:tcPr>
          <w:p>
            <w:pPr>
              <w:pStyle w:val="13"/>
            </w:pPr>
            <w:r>
              <w:t>网速稳定、提高速度</w:t>
            </w:r>
          </w:p>
        </w:tc>
        <w:tc>
          <w:tcPr>
            <w:tcW w:w="2268" w:type="dxa"/>
            <w:vAlign w:val="center"/>
          </w:tcPr>
          <w:p>
            <w:pPr>
              <w:pStyle w:val="13"/>
            </w:pPr>
            <w:r>
              <w:t>上网速度快</w:t>
            </w:r>
          </w:p>
        </w:tc>
        <w:tc>
          <w:tcPr>
            <w:tcW w:w="1276" w:type="dxa"/>
            <w:vAlign w:val="center"/>
          </w:tcPr>
          <w:p>
            <w:pPr>
              <w:pStyle w:val="13"/>
            </w:pPr>
            <w:r>
              <w:t>根据实际数据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项目服务期限</w:t>
            </w:r>
          </w:p>
        </w:tc>
        <w:tc>
          <w:tcPr>
            <w:tcW w:w="5386" w:type="dxa"/>
            <w:vAlign w:val="center"/>
          </w:tcPr>
          <w:p>
            <w:pPr>
              <w:pStyle w:val="13"/>
            </w:pPr>
            <w:r>
              <w:t>项目服务期限1年</w:t>
            </w:r>
          </w:p>
        </w:tc>
        <w:tc>
          <w:tcPr>
            <w:tcW w:w="2268" w:type="dxa"/>
            <w:vAlign w:val="center"/>
          </w:tcPr>
          <w:p>
            <w:pPr>
              <w:pStyle w:val="13"/>
            </w:pPr>
            <w:r>
              <w:t>≥1年</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租赁费控制不超预算</w:t>
            </w:r>
          </w:p>
        </w:tc>
        <w:tc>
          <w:tcPr>
            <w:tcW w:w="5386" w:type="dxa"/>
            <w:vAlign w:val="center"/>
          </w:tcPr>
          <w:p>
            <w:pPr>
              <w:pStyle w:val="13"/>
            </w:pPr>
            <w:r>
              <w:t>租赁费控制不超预算</w:t>
            </w:r>
          </w:p>
        </w:tc>
        <w:tc>
          <w:tcPr>
            <w:tcW w:w="2268" w:type="dxa"/>
            <w:vAlign w:val="center"/>
          </w:tcPr>
          <w:p>
            <w:pPr>
              <w:pStyle w:val="13"/>
            </w:pPr>
            <w:r>
              <w:t>≥3.1万元</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保证政府大院网络正常运行</w:t>
            </w:r>
          </w:p>
        </w:tc>
        <w:tc>
          <w:tcPr>
            <w:tcW w:w="5386" w:type="dxa"/>
            <w:vAlign w:val="center"/>
          </w:tcPr>
          <w:p>
            <w:pPr>
              <w:pStyle w:val="13"/>
            </w:pPr>
            <w:r>
              <w:t>保证政府大院网络正常运行</w:t>
            </w:r>
          </w:p>
        </w:tc>
        <w:tc>
          <w:tcPr>
            <w:tcW w:w="2268" w:type="dxa"/>
            <w:vAlign w:val="center"/>
          </w:tcPr>
          <w:p>
            <w:pPr>
              <w:pStyle w:val="13"/>
            </w:pPr>
            <w:r>
              <w:t>保证政府大院网络正常运行</w:t>
            </w:r>
          </w:p>
        </w:tc>
        <w:tc>
          <w:tcPr>
            <w:tcW w:w="1276" w:type="dxa"/>
            <w:vAlign w:val="center"/>
          </w:tcPr>
          <w:p>
            <w:pPr>
              <w:pStyle w:val="13"/>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满意度占调查总数的百分率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19、政府网专线服务费绩效目标表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13042424P001PDR101597</w:t>
            </w:r>
          </w:p>
        </w:tc>
        <w:tc>
          <w:tcPr>
            <w:tcW w:w="2835" w:type="dxa"/>
            <w:vAlign w:val="center"/>
          </w:tcPr>
          <w:p>
            <w:pPr>
              <w:pStyle w:val="11"/>
            </w:pPr>
            <w:r>
              <w:t>项目名称</w:t>
            </w:r>
          </w:p>
        </w:tc>
        <w:tc>
          <w:tcPr>
            <w:tcW w:w="6094" w:type="dxa"/>
            <w:gridSpan w:val="3"/>
            <w:vAlign w:val="center"/>
          </w:tcPr>
          <w:p>
            <w:pPr>
              <w:pStyle w:val="13"/>
            </w:pPr>
            <w:r>
              <w:t>政府网专线服务费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用于支付政府网专线服务费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1.保证政府大院专线网络稳定运行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终端电脑数量增加</w:t>
            </w:r>
          </w:p>
        </w:tc>
        <w:tc>
          <w:tcPr>
            <w:tcW w:w="5386" w:type="dxa"/>
            <w:vAlign w:val="center"/>
          </w:tcPr>
          <w:p>
            <w:pPr>
              <w:pStyle w:val="13"/>
            </w:pPr>
            <w:r>
              <w:t>终端电脑数量增加台数</w:t>
            </w:r>
          </w:p>
        </w:tc>
        <w:tc>
          <w:tcPr>
            <w:tcW w:w="2268" w:type="dxa"/>
            <w:vAlign w:val="center"/>
          </w:tcPr>
          <w:p>
            <w:pPr>
              <w:pStyle w:val="13"/>
            </w:pPr>
            <w:r>
              <w:t>≥80台</w:t>
            </w:r>
          </w:p>
        </w:tc>
        <w:tc>
          <w:tcPr>
            <w:tcW w:w="1276" w:type="dxa"/>
            <w:vAlign w:val="center"/>
          </w:tcPr>
          <w:p>
            <w:pPr>
              <w:pStyle w:val="13"/>
            </w:pPr>
            <w:r>
              <w:t>根据备案量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网速稳定、速度快</w:t>
            </w:r>
          </w:p>
        </w:tc>
        <w:tc>
          <w:tcPr>
            <w:tcW w:w="5386" w:type="dxa"/>
            <w:vAlign w:val="center"/>
          </w:tcPr>
          <w:p>
            <w:pPr>
              <w:pStyle w:val="13"/>
            </w:pPr>
            <w:r>
              <w:t>网速稳定、提高速度</w:t>
            </w:r>
          </w:p>
        </w:tc>
        <w:tc>
          <w:tcPr>
            <w:tcW w:w="2268" w:type="dxa"/>
            <w:vAlign w:val="center"/>
          </w:tcPr>
          <w:p>
            <w:pPr>
              <w:pStyle w:val="13"/>
            </w:pPr>
            <w:r>
              <w:t>上网速度快</w:t>
            </w:r>
          </w:p>
        </w:tc>
        <w:tc>
          <w:tcPr>
            <w:tcW w:w="1276" w:type="dxa"/>
            <w:vAlign w:val="center"/>
          </w:tcPr>
          <w:p>
            <w:pPr>
              <w:pStyle w:val="13"/>
            </w:pPr>
            <w:r>
              <w:t>根据实际数据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项目服务期限</w:t>
            </w:r>
          </w:p>
        </w:tc>
        <w:tc>
          <w:tcPr>
            <w:tcW w:w="5386" w:type="dxa"/>
            <w:vAlign w:val="center"/>
          </w:tcPr>
          <w:p>
            <w:pPr>
              <w:pStyle w:val="13"/>
            </w:pPr>
            <w:r>
              <w:t>项目服务期限1年</w:t>
            </w:r>
          </w:p>
        </w:tc>
        <w:tc>
          <w:tcPr>
            <w:tcW w:w="2268" w:type="dxa"/>
            <w:vAlign w:val="center"/>
          </w:tcPr>
          <w:p>
            <w:pPr>
              <w:pStyle w:val="13"/>
            </w:pPr>
            <w:r>
              <w:t>≥1年</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租赁费控制不超预算</w:t>
            </w:r>
          </w:p>
        </w:tc>
        <w:tc>
          <w:tcPr>
            <w:tcW w:w="5386" w:type="dxa"/>
            <w:vAlign w:val="center"/>
          </w:tcPr>
          <w:p>
            <w:pPr>
              <w:pStyle w:val="13"/>
            </w:pPr>
            <w:r>
              <w:t>租赁费控制不超预算</w:t>
            </w:r>
          </w:p>
        </w:tc>
        <w:tc>
          <w:tcPr>
            <w:tcW w:w="2268" w:type="dxa"/>
            <w:vAlign w:val="center"/>
          </w:tcPr>
          <w:p>
            <w:pPr>
              <w:pStyle w:val="13"/>
            </w:pPr>
            <w:r>
              <w:t>≥2.5万元</w:t>
            </w:r>
          </w:p>
        </w:tc>
        <w:tc>
          <w:tcPr>
            <w:tcW w:w="1276"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保证政府大院专线网络稳定运行</w:t>
            </w:r>
          </w:p>
        </w:tc>
        <w:tc>
          <w:tcPr>
            <w:tcW w:w="5386" w:type="dxa"/>
            <w:vAlign w:val="center"/>
          </w:tcPr>
          <w:p>
            <w:pPr>
              <w:pStyle w:val="13"/>
            </w:pPr>
            <w:r>
              <w:t>保证政府大院专线网络稳定运行</w:t>
            </w:r>
          </w:p>
        </w:tc>
        <w:tc>
          <w:tcPr>
            <w:tcW w:w="2268" w:type="dxa"/>
            <w:vAlign w:val="center"/>
          </w:tcPr>
          <w:p>
            <w:pPr>
              <w:pStyle w:val="13"/>
            </w:pPr>
            <w:r>
              <w:t>保证政府大院专线网络稳定运行</w:t>
            </w:r>
          </w:p>
        </w:tc>
        <w:tc>
          <w:tcPr>
            <w:tcW w:w="1276" w:type="dxa"/>
            <w:vAlign w:val="center"/>
          </w:tcPr>
          <w:p>
            <w:pPr>
              <w:pStyle w:val="13"/>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满意度占调查总数的百分率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s="黑体"/>
          <w:color w:val="000000"/>
          <w:sz w:val="32"/>
          <w:lang w:eastAsia="zh-CN"/>
        </w:rPr>
      </w:pPr>
      <w:bookmarkStart w:id="16" w:name="_Toc_3_3_0000000017"/>
      <w:r>
        <w:rPr>
          <w:rFonts w:ascii="黑体" w:hAnsi="黑体" w:eastAsia="黑体" w:cs="黑体"/>
          <w:color w:val="000000"/>
          <w:sz w:val="32"/>
        </w:rPr>
        <w:t>八、政府采购预算情况</w:t>
      </w:r>
      <w:bookmarkEnd w:id="16"/>
    </w:p>
    <w:p>
      <w:pPr>
        <w:spacing w:line="500" w:lineRule="exact"/>
        <w:ind w:firstLine="560"/>
        <w:rPr>
          <w:rFonts w:hint="eastAsia"/>
          <w:lang w:eastAsia="zh-CN"/>
        </w:rPr>
      </w:pPr>
      <w:r>
        <w:rPr>
          <w:rFonts w:eastAsia="方正仿宋_GBK"/>
          <w:color w:val="000000"/>
          <w:sz w:val="28"/>
        </w:rPr>
        <w:t>202</w:t>
      </w:r>
      <w:r>
        <w:rPr>
          <w:rFonts w:hint="eastAsia" w:eastAsiaTheme="minorEastAsia"/>
          <w:color w:val="000000"/>
          <w:sz w:val="28"/>
          <w:lang w:eastAsia="zh-CN"/>
        </w:rPr>
        <w:t>4</w:t>
      </w:r>
      <w:r>
        <w:rPr>
          <w:rFonts w:eastAsia="方正仿宋_GBK"/>
          <w:color w:val="000000"/>
          <w:sz w:val="28"/>
        </w:rPr>
        <w:t>年，成安县发展和改革局安排政府采购预算</w:t>
      </w:r>
      <w:r>
        <w:rPr>
          <w:rFonts w:hint="eastAsia" w:eastAsiaTheme="minorEastAsia"/>
          <w:color w:val="000000"/>
          <w:sz w:val="28"/>
          <w:lang w:eastAsia="zh-CN"/>
        </w:rPr>
        <w:t>1</w:t>
      </w:r>
      <w:r>
        <w:rPr>
          <w:rFonts w:hint="eastAsia" w:eastAsiaTheme="minorEastAsia"/>
          <w:color w:val="000000"/>
          <w:sz w:val="28"/>
          <w:lang w:val="en-US" w:eastAsia="zh-CN"/>
        </w:rPr>
        <w:t>1.2</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303成安县发展和改革局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jc w:val="center"/>
              <w:rPr>
                <w:rFonts w:ascii="方正书宋_GBK" w:hAnsi="方正书宋_GBK" w:eastAsia="方正书宋_GBK" w:cs="方正书宋_GBK"/>
                <w:sz w:val="21"/>
                <w:szCs w:val="24"/>
                <w:lang w:val="en-US" w:eastAsia="uk-UA" w:bidi="ar-SA"/>
              </w:rPr>
            </w:pPr>
            <w:r>
              <w:rPr>
                <w:rFonts w:hint="eastAsia"/>
                <w:lang w:eastAsia="zh-CN"/>
              </w:rPr>
              <w:t>日常公用经费</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8</w:t>
            </w:r>
          </w:p>
        </w:tc>
        <w:tc>
          <w:tcPr>
            <w:tcW w:w="1134" w:type="dxa"/>
            <w:vAlign w:val="center"/>
          </w:tcPr>
          <w:p>
            <w:pPr>
              <w:pStyle w:val="13"/>
              <w:jc w:val="center"/>
              <w:rPr>
                <w:rFonts w:ascii="方正书宋_GBK" w:hAnsi="方正书宋_GBK" w:eastAsia="方正书宋_GBK" w:cs="方正书宋_GBK"/>
                <w:sz w:val="21"/>
                <w:szCs w:val="24"/>
                <w:lang w:val="en-US" w:eastAsia="uk-UA" w:bidi="ar-SA"/>
              </w:rPr>
            </w:pPr>
            <w:r>
              <w:t>电脑</w:t>
            </w:r>
          </w:p>
        </w:tc>
        <w:tc>
          <w:tcPr>
            <w:tcW w:w="1134" w:type="dxa"/>
            <w:vAlign w:val="center"/>
          </w:tcPr>
          <w:p>
            <w:pPr>
              <w:pStyle w:val="13"/>
              <w:jc w:val="center"/>
              <w:rPr>
                <w:rFonts w:ascii="方正书宋_GBK" w:hAnsi="方正书宋_GBK" w:eastAsia="方正书宋_GBK" w:cs="方正书宋_GBK"/>
                <w:sz w:val="21"/>
                <w:szCs w:val="24"/>
                <w:lang w:val="en-US" w:eastAsia="uk-UA" w:bidi="ar-SA"/>
              </w:rPr>
            </w:pPr>
          </w:p>
        </w:tc>
        <w:tc>
          <w:tcPr>
            <w:tcW w:w="709" w:type="dxa"/>
            <w:vAlign w:val="center"/>
          </w:tcPr>
          <w:p>
            <w:pPr>
              <w:pStyle w:val="14"/>
              <w:rPr>
                <w:rFonts w:ascii="方正书宋_GBK" w:hAnsi="方正书宋_GBK" w:eastAsia="方正书宋_GBK" w:cs="方正书宋_GBK"/>
                <w:sz w:val="21"/>
                <w:szCs w:val="24"/>
                <w:lang w:val="en-US" w:eastAsia="uk-UA" w:bidi="ar-SA"/>
              </w:rPr>
            </w:pPr>
            <w:r>
              <w:t>台</w:t>
            </w:r>
          </w:p>
        </w:tc>
        <w:tc>
          <w:tcPr>
            <w:tcW w:w="850"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20</w:t>
            </w:r>
          </w:p>
        </w:tc>
        <w:tc>
          <w:tcPr>
            <w:tcW w:w="850"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0.45</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8</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8</w:t>
            </w:r>
          </w:p>
        </w:tc>
        <w:tc>
          <w:tcPr>
            <w:tcW w:w="964" w:type="dxa"/>
            <w:vAlign w:val="center"/>
          </w:tcPr>
          <w:p>
            <w:pPr>
              <w:pStyle w:val="12"/>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w:t>
            </w: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jc w:val="center"/>
              <w:rPr>
                <w:rFonts w:ascii="方正书宋_GBK" w:hAnsi="方正书宋_GBK" w:eastAsia="方正书宋_GBK" w:cs="方正书宋_GBK"/>
                <w:sz w:val="21"/>
                <w:szCs w:val="24"/>
                <w:lang w:val="en-US" w:eastAsia="uk-UA" w:bidi="ar-SA"/>
              </w:rPr>
            </w:pPr>
            <w:r>
              <w:rPr>
                <w:rFonts w:hint="eastAsia"/>
                <w:lang w:eastAsia="zh-CN"/>
              </w:rPr>
              <w:t>日常公用经费</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1.6</w:t>
            </w:r>
          </w:p>
        </w:tc>
        <w:tc>
          <w:tcPr>
            <w:tcW w:w="1134" w:type="dxa"/>
            <w:vAlign w:val="center"/>
          </w:tcPr>
          <w:p>
            <w:pPr>
              <w:pStyle w:val="13"/>
              <w:jc w:val="center"/>
              <w:rPr>
                <w:rFonts w:hint="eastAsia" w:ascii="方正书宋_GBK" w:hAnsi="方正书宋_GBK" w:cs="方正书宋_GBK" w:eastAsiaTheme="minorEastAsia"/>
                <w:sz w:val="21"/>
                <w:szCs w:val="24"/>
                <w:lang w:val="en-US" w:eastAsia="zh-CN" w:bidi="ar-SA"/>
              </w:rPr>
            </w:pPr>
            <w:r>
              <w:t>办公桌椅</w:t>
            </w:r>
          </w:p>
        </w:tc>
        <w:tc>
          <w:tcPr>
            <w:tcW w:w="1134" w:type="dxa"/>
            <w:vAlign w:val="center"/>
          </w:tcPr>
          <w:p>
            <w:pPr>
              <w:pStyle w:val="13"/>
              <w:jc w:val="center"/>
              <w:rPr>
                <w:rFonts w:ascii="方正书宋_GBK" w:hAnsi="方正书宋_GBK" w:eastAsia="方正书宋_GBK" w:cs="方正书宋_GBK"/>
                <w:sz w:val="21"/>
                <w:szCs w:val="24"/>
                <w:lang w:val="en-US" w:eastAsia="uk-UA" w:bidi="ar-SA"/>
              </w:rPr>
            </w:pPr>
          </w:p>
        </w:tc>
        <w:tc>
          <w:tcPr>
            <w:tcW w:w="709" w:type="dxa"/>
            <w:vAlign w:val="center"/>
          </w:tcPr>
          <w:p>
            <w:pPr>
              <w:pStyle w:val="14"/>
              <w:rPr>
                <w:rFonts w:ascii="方正书宋_GBK" w:hAnsi="方正书宋_GBK" w:eastAsia="方正书宋_GBK" w:cs="方正书宋_GBK"/>
                <w:sz w:val="21"/>
                <w:szCs w:val="24"/>
                <w:lang w:val="en-US" w:eastAsia="uk-UA" w:bidi="ar-SA"/>
              </w:rPr>
            </w:pPr>
            <w:r>
              <w:t>套</w:t>
            </w:r>
          </w:p>
        </w:tc>
        <w:tc>
          <w:tcPr>
            <w:tcW w:w="850"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20</w:t>
            </w:r>
          </w:p>
        </w:tc>
        <w:tc>
          <w:tcPr>
            <w:tcW w:w="850"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0.08</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1.6</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1.6</w:t>
            </w:r>
          </w:p>
        </w:tc>
        <w:tc>
          <w:tcPr>
            <w:tcW w:w="964"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jc w:val="center"/>
              <w:rPr>
                <w:rFonts w:ascii="方正书宋_GBK" w:hAnsi="方正书宋_GBK" w:eastAsia="方正书宋_GBK" w:cs="方正书宋_GBK"/>
                <w:sz w:val="21"/>
                <w:szCs w:val="24"/>
                <w:lang w:val="en-US" w:eastAsia="uk-UA" w:bidi="ar-SA"/>
              </w:rPr>
            </w:pPr>
            <w:r>
              <w:rPr>
                <w:rFonts w:hint="eastAsia"/>
                <w:lang w:eastAsia="zh-CN"/>
              </w:rPr>
              <w:t>日常公用经费</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1.6</w:t>
            </w:r>
          </w:p>
        </w:tc>
        <w:tc>
          <w:tcPr>
            <w:tcW w:w="1134" w:type="dxa"/>
            <w:vAlign w:val="center"/>
          </w:tcPr>
          <w:p>
            <w:pPr>
              <w:pStyle w:val="13"/>
              <w:jc w:val="center"/>
              <w:rPr>
                <w:rFonts w:ascii="方正书宋_GBK" w:hAnsi="方正书宋_GBK" w:eastAsia="方正书宋_GBK" w:cs="方正书宋_GBK"/>
                <w:sz w:val="21"/>
                <w:szCs w:val="24"/>
                <w:lang w:val="en-US" w:eastAsia="uk-UA" w:bidi="ar-SA"/>
              </w:rPr>
            </w:pPr>
            <w:r>
              <w:t>打印机</w:t>
            </w:r>
          </w:p>
        </w:tc>
        <w:tc>
          <w:tcPr>
            <w:tcW w:w="1134" w:type="dxa"/>
            <w:vAlign w:val="center"/>
          </w:tcPr>
          <w:p>
            <w:pPr>
              <w:pStyle w:val="13"/>
              <w:jc w:val="center"/>
              <w:rPr>
                <w:rFonts w:ascii="方正书宋_GBK" w:hAnsi="方正书宋_GBK" w:eastAsia="方正书宋_GBK" w:cs="方正书宋_GBK"/>
                <w:sz w:val="21"/>
                <w:szCs w:val="24"/>
                <w:lang w:val="en-US" w:eastAsia="uk-UA" w:bidi="ar-SA"/>
              </w:rPr>
            </w:pPr>
          </w:p>
        </w:tc>
        <w:tc>
          <w:tcPr>
            <w:tcW w:w="709" w:type="dxa"/>
            <w:vAlign w:val="center"/>
          </w:tcPr>
          <w:p>
            <w:pPr>
              <w:pStyle w:val="14"/>
              <w:rPr>
                <w:rFonts w:ascii="方正书宋_GBK" w:hAnsi="方正书宋_GBK" w:eastAsia="方正书宋_GBK" w:cs="方正书宋_GBK"/>
                <w:sz w:val="21"/>
                <w:szCs w:val="24"/>
                <w:lang w:val="en-US" w:eastAsia="uk-UA" w:bidi="ar-SA"/>
              </w:rPr>
            </w:pPr>
            <w:r>
              <w:t>台</w:t>
            </w:r>
          </w:p>
        </w:tc>
        <w:tc>
          <w:tcPr>
            <w:tcW w:w="850"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8</w:t>
            </w:r>
          </w:p>
        </w:tc>
        <w:tc>
          <w:tcPr>
            <w:tcW w:w="850"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0.2</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1.6</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1.6</w:t>
            </w:r>
          </w:p>
        </w:tc>
        <w:tc>
          <w:tcPr>
            <w:tcW w:w="964"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jc w:val="center"/>
              <w:rPr>
                <w:rFonts w:ascii="方正书宋_GBK" w:hAnsi="方正书宋_GBK" w:eastAsia="方正书宋_GBK" w:cs="方正书宋_GBK"/>
                <w:sz w:val="21"/>
                <w:szCs w:val="24"/>
                <w:lang w:val="en-US" w:eastAsia="uk-UA" w:bidi="ar-SA"/>
              </w:rPr>
            </w:pPr>
            <w:r>
              <w:t>合计</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11.2</w:t>
            </w:r>
          </w:p>
        </w:tc>
        <w:tc>
          <w:tcPr>
            <w:tcW w:w="1134" w:type="dxa"/>
            <w:vAlign w:val="center"/>
          </w:tcPr>
          <w:p>
            <w:pPr>
              <w:pStyle w:val="13"/>
              <w:jc w:val="center"/>
              <w:rPr>
                <w:rFonts w:ascii="方正书宋_GBK" w:hAnsi="方正书宋_GBK" w:eastAsia="方正书宋_GBK" w:cs="方正书宋_GBK"/>
                <w:sz w:val="21"/>
                <w:szCs w:val="24"/>
                <w:lang w:val="en-US" w:eastAsia="uk-UA" w:bidi="ar-SA"/>
              </w:rPr>
            </w:pPr>
          </w:p>
        </w:tc>
        <w:tc>
          <w:tcPr>
            <w:tcW w:w="1134" w:type="dxa"/>
            <w:vAlign w:val="center"/>
          </w:tcPr>
          <w:p>
            <w:pPr>
              <w:pStyle w:val="13"/>
              <w:jc w:val="center"/>
              <w:rPr>
                <w:rFonts w:ascii="方正书宋_GBK" w:hAnsi="方正书宋_GBK" w:eastAsia="方正书宋_GBK" w:cs="方正书宋_GBK"/>
                <w:sz w:val="21"/>
                <w:szCs w:val="24"/>
                <w:lang w:val="en-US" w:eastAsia="uk-UA" w:bidi="ar-SA"/>
              </w:rPr>
            </w:pPr>
          </w:p>
        </w:tc>
        <w:tc>
          <w:tcPr>
            <w:tcW w:w="709" w:type="dxa"/>
            <w:vAlign w:val="center"/>
          </w:tcPr>
          <w:p>
            <w:pPr>
              <w:pStyle w:val="14"/>
              <w:rPr>
                <w:rFonts w:ascii="方正书宋_GBK" w:hAnsi="方正书宋_GBK" w:eastAsia="方正书宋_GBK" w:cs="方正书宋_GBK"/>
                <w:sz w:val="21"/>
                <w:szCs w:val="24"/>
                <w:lang w:val="en-US" w:eastAsia="uk-UA" w:bidi="ar-SA"/>
              </w:rPr>
            </w:pPr>
          </w:p>
        </w:tc>
        <w:tc>
          <w:tcPr>
            <w:tcW w:w="850" w:type="dxa"/>
            <w:vAlign w:val="center"/>
          </w:tcPr>
          <w:p>
            <w:pPr>
              <w:pStyle w:val="12"/>
              <w:jc w:val="center"/>
              <w:rPr>
                <w:rFonts w:ascii="方正书宋_GBK" w:hAnsi="方正书宋_GBK" w:eastAsia="方正书宋_GBK" w:cs="方正书宋_GBK"/>
                <w:sz w:val="21"/>
                <w:szCs w:val="24"/>
                <w:lang w:val="en-US" w:eastAsia="uk-UA" w:bidi="ar-SA"/>
              </w:rPr>
            </w:pPr>
          </w:p>
        </w:tc>
        <w:tc>
          <w:tcPr>
            <w:tcW w:w="850"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11.2</w:t>
            </w:r>
          </w:p>
        </w:tc>
        <w:tc>
          <w:tcPr>
            <w:tcW w:w="964" w:type="dxa"/>
            <w:vAlign w:val="center"/>
          </w:tcPr>
          <w:p>
            <w:pPr>
              <w:pStyle w:val="12"/>
              <w:jc w:val="center"/>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11.2</w:t>
            </w:r>
          </w:p>
        </w:tc>
        <w:tc>
          <w:tcPr>
            <w:tcW w:w="964"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11.2</w:t>
            </w: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c>
          <w:tcPr>
            <w:tcW w:w="964" w:type="dxa"/>
            <w:vAlign w:val="center"/>
          </w:tcPr>
          <w:p>
            <w:pPr>
              <w:pStyle w:val="12"/>
              <w:jc w:val="center"/>
              <w:rPr>
                <w:rFonts w:ascii="方正书宋_GBK" w:hAnsi="方正书宋_GBK" w:eastAsia="方正书宋_GBK" w:cs="方正书宋_GBK"/>
                <w:sz w:val="21"/>
                <w:szCs w:val="24"/>
                <w:lang w:val="en-US" w:eastAsia="uk-UA" w:bidi="ar-SA"/>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成安县发展和改革局（含所属单位）上年末固定资产金额为</w:t>
      </w:r>
      <w:r>
        <w:rPr>
          <w:rFonts w:hint="eastAsia" w:eastAsia="方正仿宋_GBK"/>
          <w:color w:val="000000"/>
          <w:sz w:val="28"/>
          <w:lang w:val="en-US" w:eastAsia="zh-CN"/>
        </w:rPr>
        <w:t>80.5</w:t>
      </w:r>
      <w:r>
        <w:rPr>
          <w:rFonts w:eastAsia="方正仿宋_GBK"/>
          <w:color w:val="000000"/>
          <w:sz w:val="28"/>
        </w:rPr>
        <w:t>万元（详见下表）。本年度拟购置固定资产总额为</w:t>
      </w:r>
      <w:r>
        <w:rPr>
          <w:rFonts w:hint="eastAsia" w:eastAsia="方正仿宋_GBK"/>
          <w:color w:val="000000"/>
          <w:sz w:val="28"/>
          <w:lang w:val="en-US" w:eastAsia="zh-CN"/>
        </w:rPr>
        <w:t>11.2</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303成安县发展和改革局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hint="eastAsia" w:ascii="仿宋" w:hAnsi="仿宋" w:eastAsia="仿宋" w:cs="Times New Roman"/>
                <w:b/>
                <w:bCs/>
                <w:sz w:val="32"/>
                <w:szCs w:val="32"/>
                <w:lang w:val="en-US" w:eastAsia="uk-UA" w:bidi="ar-SA"/>
              </w:rPr>
            </w:pPr>
            <w:r>
              <w:rPr>
                <w:rFonts w:hint="eastAsia" w:ascii="仿宋" w:hAnsi="仿宋" w:eastAsia="仿宋" w:cs="宋体"/>
                <w:b/>
                <w:bCs/>
                <w:sz w:val="32"/>
                <w:szCs w:val="32"/>
              </w:rPr>
              <w:t>项目</w:t>
            </w:r>
          </w:p>
        </w:tc>
        <w:tc>
          <w:tcPr>
            <w:tcW w:w="2835" w:type="dxa"/>
            <w:vAlign w:val="center"/>
          </w:tcPr>
          <w:p>
            <w:pPr>
              <w:jc w:val="center"/>
              <w:rPr>
                <w:rFonts w:hint="eastAsia" w:ascii="仿宋" w:hAnsi="仿宋" w:eastAsia="仿宋" w:cs="Times New Roman"/>
                <w:b/>
                <w:bCs/>
                <w:sz w:val="32"/>
                <w:szCs w:val="32"/>
                <w:lang w:val="en-US" w:eastAsia="uk-UA" w:bidi="ar-SA"/>
              </w:rPr>
            </w:pPr>
            <w:r>
              <w:rPr>
                <w:rFonts w:hint="eastAsia" w:ascii="仿宋" w:hAnsi="仿宋" w:eastAsia="仿宋" w:cs="宋体"/>
                <w:b/>
                <w:bCs/>
                <w:sz w:val="32"/>
                <w:szCs w:val="32"/>
              </w:rPr>
              <w:t>数量</w:t>
            </w:r>
          </w:p>
        </w:tc>
        <w:tc>
          <w:tcPr>
            <w:tcW w:w="2835" w:type="dxa"/>
            <w:vAlign w:val="center"/>
          </w:tcPr>
          <w:p>
            <w:pPr>
              <w:jc w:val="center"/>
              <w:rPr>
                <w:rFonts w:hint="eastAsia" w:ascii="仿宋" w:hAnsi="仿宋" w:eastAsia="仿宋" w:cs="Times New Roman"/>
                <w:b/>
                <w:bCs/>
                <w:sz w:val="32"/>
                <w:szCs w:val="32"/>
                <w:lang w:val="en-US" w:eastAsia="uk-UA" w:bidi="ar-SA"/>
              </w:rPr>
            </w:pPr>
            <w:r>
              <w:rPr>
                <w:rFonts w:hint="eastAsia" w:ascii="仿宋" w:hAnsi="仿宋" w:eastAsia="仿宋" w:cs="宋体"/>
                <w:b/>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宋体"/>
                <w:sz w:val="32"/>
                <w:szCs w:val="32"/>
              </w:rPr>
              <w:t>资产总额</w:t>
            </w:r>
          </w:p>
        </w:tc>
        <w:tc>
          <w:tcPr>
            <w:tcW w:w="2835" w:type="dxa"/>
            <w:vAlign w:val="center"/>
          </w:tcPr>
          <w:p>
            <w:pPr>
              <w:jc w:val="center"/>
              <w:rPr>
                <w:rFonts w:hint="eastAsia" w:ascii="仿宋" w:hAnsi="仿宋" w:eastAsia="仿宋" w:cs="宋体"/>
                <w:sz w:val="32"/>
                <w:szCs w:val="32"/>
                <w:lang w:val="en-US" w:eastAsia="zh-CN" w:bidi="ar-SA"/>
              </w:rPr>
            </w:pPr>
            <w:r>
              <w:rPr>
                <w:rFonts w:hint="eastAsia" w:ascii="仿宋" w:hAnsi="仿宋" w:eastAsia="仿宋" w:cs="宋体"/>
                <w:sz w:val="32"/>
                <w:szCs w:val="32"/>
              </w:rPr>
              <w:t>——</w:t>
            </w:r>
          </w:p>
        </w:tc>
        <w:tc>
          <w:tcPr>
            <w:tcW w:w="2835" w:type="dxa"/>
            <w:vAlign w:val="center"/>
          </w:tcPr>
          <w:p>
            <w:pPr>
              <w:jc w:val="center"/>
              <w:rPr>
                <w:rFonts w:hint="eastAsia" w:ascii="仿宋" w:hAnsi="仿宋" w:eastAsia="仿宋" w:cs="宋体"/>
                <w:sz w:val="32"/>
                <w:szCs w:val="32"/>
                <w:lang w:val="en-US" w:eastAsia="zh-CN" w:bidi="ar-SA"/>
              </w:rPr>
            </w:pPr>
            <w:r>
              <w:rPr>
                <w:rFonts w:hint="eastAsia" w:ascii="仿宋" w:hAnsi="仿宋" w:eastAsia="仿宋" w:cs="宋体"/>
                <w:sz w:val="32"/>
                <w:szCs w:val="32"/>
                <w:lang w:val="en-US" w:eastAsia="zh-CN"/>
              </w:rP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hint="eastAsia" w:ascii="仿宋" w:hAnsi="仿宋" w:eastAsia="仿宋" w:cs="Times New Roman"/>
                <w:sz w:val="32"/>
                <w:szCs w:val="32"/>
                <w:lang w:val="en-US" w:eastAsia="zh-CN" w:bidi="ar-SA"/>
              </w:rPr>
            </w:pPr>
            <w:r>
              <w:rPr>
                <w:rFonts w:hint="eastAsia" w:ascii="仿宋" w:hAnsi="仿宋" w:eastAsia="仿宋" w:cs="宋体"/>
                <w:sz w:val="32"/>
                <w:szCs w:val="32"/>
              </w:rPr>
              <w:t>1、房屋（平方米）</w:t>
            </w:r>
          </w:p>
        </w:tc>
        <w:tc>
          <w:tcPr>
            <w:tcW w:w="2835" w:type="dxa"/>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200</w:t>
            </w:r>
          </w:p>
        </w:tc>
        <w:tc>
          <w:tcPr>
            <w:tcW w:w="2835" w:type="dxa"/>
            <w:vAlign w:val="center"/>
          </w:tcPr>
          <w:p>
            <w:pPr>
              <w:jc w:val="center"/>
              <w:rPr>
                <w:rFonts w:hint="eastAsia" w:ascii="仿宋" w:hAnsi="仿宋" w:eastAsia="仿宋" w:cs="Times New Roman"/>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hint="eastAsia" w:ascii="仿宋" w:hAnsi="仿宋" w:eastAsia="仿宋" w:cs="Times New Roman"/>
                <w:sz w:val="32"/>
                <w:szCs w:val="32"/>
                <w:lang w:val="en-US" w:eastAsia="zh-CN" w:bidi="ar-SA"/>
              </w:rPr>
            </w:pPr>
            <w:r>
              <w:rPr>
                <w:rFonts w:hint="eastAsia" w:ascii="仿宋" w:hAnsi="仿宋" w:eastAsia="仿宋" w:cs="宋体"/>
                <w:sz w:val="32"/>
                <w:szCs w:val="32"/>
              </w:rPr>
              <w:t>其中：办公用房（平方米）</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198</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eastAsia="zh-CN"/>
              </w:rPr>
              <w:t>使用其他单位房屋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hint="default" w:ascii="仿宋" w:hAnsi="仿宋" w:eastAsia="仿宋" w:cs="Times New Roman"/>
                <w:sz w:val="32"/>
                <w:szCs w:val="32"/>
                <w:lang w:val="en-US" w:eastAsia="zh-CN" w:bidi="ar-SA"/>
              </w:rPr>
            </w:pPr>
            <w:r>
              <w:rPr>
                <w:rFonts w:hint="eastAsia" w:ascii="仿宋" w:hAnsi="仿宋" w:eastAsia="仿宋" w:cs="宋体"/>
                <w:sz w:val="32"/>
                <w:szCs w:val="32"/>
              </w:rPr>
              <w:t>2、车辆（台、辆）</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1</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hint="default" w:ascii="仿宋" w:hAnsi="仿宋" w:eastAsia="仿宋" w:cs="Times New Roman"/>
                <w:sz w:val="32"/>
                <w:szCs w:val="32"/>
                <w:lang w:val="en-US" w:eastAsia="zh-CN" w:bidi="ar-SA"/>
              </w:rPr>
            </w:pPr>
            <w:r>
              <w:rPr>
                <w:rFonts w:hint="eastAsia" w:ascii="仿宋" w:hAnsi="仿宋" w:eastAsia="仿宋" w:cs="宋体"/>
                <w:sz w:val="32"/>
                <w:szCs w:val="32"/>
              </w:rPr>
              <w:t>3、单价在50万元以上的设备</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0</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rPr>
                <w:rFonts w:hint="default" w:ascii="仿宋" w:hAnsi="仿宋" w:eastAsia="仿宋" w:cs="Times New Roman"/>
                <w:sz w:val="32"/>
                <w:szCs w:val="32"/>
                <w:lang w:val="en-US" w:eastAsia="zh-CN" w:bidi="ar-SA"/>
              </w:rPr>
            </w:pPr>
            <w:r>
              <w:rPr>
                <w:rFonts w:hint="eastAsia" w:ascii="仿宋" w:hAnsi="仿宋" w:eastAsia="仿宋" w:cs="宋体"/>
                <w:sz w:val="32"/>
                <w:szCs w:val="32"/>
              </w:rPr>
              <w:t>4、其他固定资产</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89</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39.47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hint="default" w:ascii="仿宋" w:hAnsi="仿宋" w:eastAsia="仿宋" w:cs="宋体"/>
                <w:sz w:val="32"/>
                <w:szCs w:val="32"/>
                <w:lang w:val="en-US" w:eastAsia="zh-CN" w:bidi="ar-SA"/>
              </w:rPr>
            </w:pPr>
            <w:r>
              <w:rPr>
                <w:rFonts w:hint="eastAsia" w:ascii="仿宋" w:hAnsi="仿宋" w:eastAsia="仿宋" w:cs="宋体"/>
                <w:sz w:val="32"/>
                <w:szCs w:val="32"/>
                <w:lang w:val="en-US" w:eastAsia="zh-CN"/>
              </w:rPr>
              <w:t>5、无形资产</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w:t>
            </w:r>
          </w:p>
        </w:tc>
        <w:tc>
          <w:tcPr>
            <w:tcW w:w="0" w:type="auto"/>
            <w:vAlign w:val="center"/>
          </w:tcPr>
          <w:p>
            <w:pPr>
              <w:jc w:val="center"/>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rPr>
              <w:t>35.95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DDC9C"/>
    <w:multiLevelType w:val="singleLevel"/>
    <w:tmpl w:val="C7CDDC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BmOGUzMjAxZWIzZjVlYjgwMjNlYjVhMGQwNmU0NjEifQ=="/>
  </w:docVars>
  <w:rsids>
    <w:rsidRoot w:val="008700E5"/>
    <w:rsid w:val="00123974"/>
    <w:rsid w:val="00193CA0"/>
    <w:rsid w:val="004D6B9D"/>
    <w:rsid w:val="008700E5"/>
    <w:rsid w:val="00AC0E08"/>
    <w:rsid w:val="00B86E7D"/>
    <w:rsid w:val="00DB6C03"/>
    <w:rsid w:val="0EA63F28"/>
    <w:rsid w:val="19A8741D"/>
    <w:rsid w:val="31B91649"/>
    <w:rsid w:val="49EEC700"/>
    <w:rsid w:val="61F318B5"/>
    <w:rsid w:val="6C200E10"/>
    <w:rsid w:val="73341AC6"/>
    <w:rsid w:val="76256AB9"/>
    <w:rsid w:val="7CED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qFormat/>
    <w:uiPriority w:val="99"/>
    <w:rPr>
      <w:rFonts w:eastAsia="Times New Roman"/>
      <w:sz w:val="18"/>
      <w:szCs w:val="18"/>
      <w:lang w:eastAsia="uk-UA"/>
    </w:rPr>
  </w:style>
  <w:style w:type="character" w:customStyle="1" w:styleId="30">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3586</Words>
  <Characters>20443</Characters>
  <Lines>170</Lines>
  <Paragraphs>47</Paragraphs>
  <TotalTime>4</TotalTime>
  <ScaleCrop>false</ScaleCrop>
  <LinksUpToDate>false</LinksUpToDate>
  <CharactersWithSpaces>23982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2024-02-20T17:09:00Z</dcterms:created>
  <dc:creator>Administrator</dc:creator>
  <cp:lastModifiedBy>Administrator</cp:lastModifiedBy>
  <cp:lastPrinted>2024-02-20T09:38:00Z</cp:lastPrinted>
  <dcterms:modified xsi:type="dcterms:W3CDTF">2024-03-21T02:20:17Z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A2435A3400514906806EE0CBCF3AFB35_12</vt:lpwstr>
  </property>
</Properties>
</file>