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9"/>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9"/>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9"/>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9"/>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29"/>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9"/>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29"/>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29"/>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29"/>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9"/>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29"/>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29"/>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29"/>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29"/>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29"/>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29"/>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29"/>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pPr>
        <w:pStyle w:val="29"/>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pPr>
        <w:pStyle w:val="29"/>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pPr>
        <w:pStyle w:val="29"/>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317中共成安县委机构编制委员会办公室</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237.54</w:t>
            </w:r>
          </w:p>
        </w:tc>
        <w:tc>
          <w:tcPr>
            <w:tcW w:w="4535" w:type="dxa"/>
            <w:vAlign w:val="center"/>
          </w:tcPr>
          <w:p>
            <w:pPr>
              <w:pStyle w:val="14"/>
            </w:pPr>
            <w:r>
              <w:t>一、一般公共服务支出</w:t>
            </w:r>
          </w:p>
        </w:tc>
        <w:tc>
          <w:tcPr>
            <w:tcW w:w="2126" w:type="dxa"/>
            <w:vAlign w:val="center"/>
          </w:tcPr>
          <w:p>
            <w:pPr>
              <w:pStyle w:val="13"/>
            </w:pPr>
            <w:r>
              <w:t>172.11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237.54</w:t>
            </w:r>
          </w:p>
        </w:tc>
        <w:tc>
          <w:tcPr>
            <w:tcW w:w="4535" w:type="dxa"/>
            <w:vAlign w:val="center"/>
          </w:tcPr>
          <w:p>
            <w:pPr>
              <w:pStyle w:val="16"/>
            </w:pPr>
            <w:r>
              <w:t>本年支出合计</w:t>
            </w:r>
          </w:p>
        </w:tc>
        <w:tc>
          <w:tcPr>
            <w:tcW w:w="2126" w:type="dxa"/>
            <w:vAlign w:val="center"/>
          </w:tcPr>
          <w:p>
            <w:pPr>
              <w:pStyle w:val="17"/>
            </w:pPr>
            <w:r>
              <w:t>237.54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237.54</w:t>
            </w:r>
          </w:p>
        </w:tc>
        <w:tc>
          <w:tcPr>
            <w:tcW w:w="4535" w:type="dxa"/>
            <w:vAlign w:val="center"/>
          </w:tcPr>
          <w:p>
            <w:pPr>
              <w:pStyle w:val="16"/>
            </w:pPr>
            <w:r>
              <w:t>支出总计</w:t>
            </w:r>
          </w:p>
        </w:tc>
        <w:tc>
          <w:tcPr>
            <w:tcW w:w="2126" w:type="dxa"/>
            <w:vAlign w:val="center"/>
          </w:tcPr>
          <w:p>
            <w:pPr>
              <w:pStyle w:val="17"/>
            </w:pPr>
            <w:r>
              <w:t>237.54</w:t>
            </w:r>
          </w:p>
        </w:tc>
      </w:tr>
    </w:tbl>
    <w:p>
      <w:pPr>
        <w:sectPr>
          <w:footerReference r:id="rId9" w:type="default"/>
          <w:footerReference r:id="rId10"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317中共成安县委机构编制委员会办公室</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237.54</w:t>
            </w:r>
          </w:p>
        </w:tc>
        <w:tc>
          <w:tcPr>
            <w:tcW w:w="1134" w:type="dxa"/>
            <w:vAlign w:val="center"/>
          </w:tcPr>
          <w:p>
            <w:pPr>
              <w:pStyle w:val="17"/>
            </w:pPr>
            <w:r>
              <w:t>237.54</w:t>
            </w:r>
          </w:p>
        </w:tc>
        <w:tc>
          <w:tcPr>
            <w:tcW w:w="1134" w:type="dxa"/>
            <w:vAlign w:val="center"/>
          </w:tcPr>
          <w:p>
            <w:pPr>
              <w:pStyle w:val="17"/>
            </w:pPr>
            <w:r>
              <w:t>237.54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172.11</w:t>
            </w:r>
          </w:p>
        </w:tc>
        <w:tc>
          <w:tcPr>
            <w:tcW w:w="1134" w:type="dxa"/>
            <w:vAlign w:val="center"/>
          </w:tcPr>
          <w:p>
            <w:pPr>
              <w:pStyle w:val="13"/>
            </w:pPr>
            <w:r>
              <w:t>172.11</w:t>
            </w:r>
          </w:p>
        </w:tc>
        <w:tc>
          <w:tcPr>
            <w:tcW w:w="1134" w:type="dxa"/>
            <w:vAlign w:val="center"/>
          </w:tcPr>
          <w:p>
            <w:pPr>
              <w:pStyle w:val="13"/>
            </w:pPr>
            <w:r>
              <w:t>172.11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172.11</w:t>
            </w:r>
          </w:p>
        </w:tc>
        <w:tc>
          <w:tcPr>
            <w:tcW w:w="1134" w:type="dxa"/>
            <w:vAlign w:val="center"/>
          </w:tcPr>
          <w:p>
            <w:pPr>
              <w:pStyle w:val="13"/>
            </w:pPr>
            <w:r>
              <w:t>172.11</w:t>
            </w:r>
          </w:p>
        </w:tc>
        <w:tc>
          <w:tcPr>
            <w:tcW w:w="1134" w:type="dxa"/>
            <w:vAlign w:val="center"/>
          </w:tcPr>
          <w:p>
            <w:pPr>
              <w:pStyle w:val="13"/>
            </w:pPr>
            <w:r>
              <w:t>172.11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172.11</w:t>
            </w:r>
          </w:p>
        </w:tc>
        <w:tc>
          <w:tcPr>
            <w:tcW w:w="1134" w:type="dxa"/>
            <w:vAlign w:val="center"/>
          </w:tcPr>
          <w:p>
            <w:pPr>
              <w:pStyle w:val="13"/>
            </w:pPr>
            <w:r>
              <w:t>172.11</w:t>
            </w:r>
          </w:p>
        </w:tc>
        <w:tc>
          <w:tcPr>
            <w:tcW w:w="1134" w:type="dxa"/>
            <w:vAlign w:val="center"/>
          </w:tcPr>
          <w:p>
            <w:pPr>
              <w:pStyle w:val="13"/>
            </w:pPr>
            <w:r>
              <w:t>172.11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35.87</w:t>
            </w:r>
          </w:p>
        </w:tc>
        <w:tc>
          <w:tcPr>
            <w:tcW w:w="1134" w:type="dxa"/>
            <w:vAlign w:val="center"/>
          </w:tcPr>
          <w:p>
            <w:pPr>
              <w:pStyle w:val="13"/>
            </w:pPr>
            <w:r>
              <w:t>35.87</w:t>
            </w:r>
          </w:p>
        </w:tc>
        <w:tc>
          <w:tcPr>
            <w:tcW w:w="1134" w:type="dxa"/>
            <w:vAlign w:val="center"/>
          </w:tcPr>
          <w:p>
            <w:pPr>
              <w:pStyle w:val="13"/>
            </w:pPr>
            <w:r>
              <w:t>35.87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35.87</w:t>
            </w:r>
          </w:p>
        </w:tc>
        <w:tc>
          <w:tcPr>
            <w:tcW w:w="1134" w:type="dxa"/>
            <w:vAlign w:val="center"/>
          </w:tcPr>
          <w:p>
            <w:pPr>
              <w:pStyle w:val="13"/>
            </w:pPr>
            <w:r>
              <w:t>35.87</w:t>
            </w:r>
          </w:p>
        </w:tc>
        <w:tc>
          <w:tcPr>
            <w:tcW w:w="1134" w:type="dxa"/>
            <w:vAlign w:val="center"/>
          </w:tcPr>
          <w:p>
            <w:pPr>
              <w:pStyle w:val="13"/>
            </w:pPr>
            <w:r>
              <w:t>35.87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2.87</w:t>
            </w:r>
          </w:p>
        </w:tc>
        <w:tc>
          <w:tcPr>
            <w:tcW w:w="1134" w:type="dxa"/>
            <w:vAlign w:val="center"/>
          </w:tcPr>
          <w:p>
            <w:pPr>
              <w:pStyle w:val="13"/>
            </w:pPr>
            <w:r>
              <w:t>2.87</w:t>
            </w:r>
          </w:p>
        </w:tc>
        <w:tc>
          <w:tcPr>
            <w:tcW w:w="1134" w:type="dxa"/>
            <w:vAlign w:val="center"/>
          </w:tcPr>
          <w:p>
            <w:pPr>
              <w:pStyle w:val="13"/>
            </w:pPr>
            <w:r>
              <w:t>2.87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22.00</w:t>
            </w:r>
          </w:p>
        </w:tc>
        <w:tc>
          <w:tcPr>
            <w:tcW w:w="1134" w:type="dxa"/>
            <w:vAlign w:val="center"/>
          </w:tcPr>
          <w:p>
            <w:pPr>
              <w:pStyle w:val="13"/>
            </w:pPr>
            <w:r>
              <w:t>22.00</w:t>
            </w:r>
          </w:p>
        </w:tc>
        <w:tc>
          <w:tcPr>
            <w:tcW w:w="1134" w:type="dxa"/>
            <w:vAlign w:val="center"/>
          </w:tcPr>
          <w:p>
            <w:pPr>
              <w:pStyle w:val="13"/>
            </w:pPr>
            <w:r>
              <w:t>22.00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11.00</w:t>
            </w:r>
          </w:p>
        </w:tc>
        <w:tc>
          <w:tcPr>
            <w:tcW w:w="1134" w:type="dxa"/>
            <w:vAlign w:val="center"/>
          </w:tcPr>
          <w:p>
            <w:pPr>
              <w:pStyle w:val="13"/>
            </w:pPr>
            <w:r>
              <w:t>11.00</w:t>
            </w:r>
          </w:p>
        </w:tc>
        <w:tc>
          <w:tcPr>
            <w:tcW w:w="1134" w:type="dxa"/>
            <w:vAlign w:val="center"/>
          </w:tcPr>
          <w:p>
            <w:pPr>
              <w:pStyle w:val="13"/>
            </w:pPr>
            <w:r>
              <w:t>11.00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12.56</w:t>
            </w:r>
          </w:p>
        </w:tc>
        <w:tc>
          <w:tcPr>
            <w:tcW w:w="1134" w:type="dxa"/>
            <w:vAlign w:val="center"/>
          </w:tcPr>
          <w:p>
            <w:pPr>
              <w:pStyle w:val="13"/>
            </w:pPr>
            <w:r>
              <w:t>12.56</w:t>
            </w:r>
          </w:p>
        </w:tc>
        <w:tc>
          <w:tcPr>
            <w:tcW w:w="1134" w:type="dxa"/>
            <w:vAlign w:val="center"/>
          </w:tcPr>
          <w:p>
            <w:pPr>
              <w:pStyle w:val="13"/>
            </w:pPr>
            <w:r>
              <w:t>12.56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12.56</w:t>
            </w:r>
          </w:p>
        </w:tc>
        <w:tc>
          <w:tcPr>
            <w:tcW w:w="1134" w:type="dxa"/>
            <w:vAlign w:val="center"/>
          </w:tcPr>
          <w:p>
            <w:pPr>
              <w:pStyle w:val="13"/>
            </w:pPr>
            <w:r>
              <w:t>12.56</w:t>
            </w:r>
          </w:p>
        </w:tc>
        <w:tc>
          <w:tcPr>
            <w:tcW w:w="1134" w:type="dxa"/>
            <w:vAlign w:val="center"/>
          </w:tcPr>
          <w:p>
            <w:pPr>
              <w:pStyle w:val="13"/>
            </w:pPr>
            <w:r>
              <w:t>12.56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12.56</w:t>
            </w:r>
          </w:p>
        </w:tc>
        <w:tc>
          <w:tcPr>
            <w:tcW w:w="1134" w:type="dxa"/>
            <w:vAlign w:val="center"/>
          </w:tcPr>
          <w:p>
            <w:pPr>
              <w:pStyle w:val="13"/>
            </w:pPr>
            <w:r>
              <w:t>12.56</w:t>
            </w:r>
          </w:p>
        </w:tc>
        <w:tc>
          <w:tcPr>
            <w:tcW w:w="1134" w:type="dxa"/>
            <w:vAlign w:val="center"/>
          </w:tcPr>
          <w:p>
            <w:pPr>
              <w:pStyle w:val="13"/>
            </w:pPr>
            <w:r>
              <w:t>12.56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17.00</w:t>
            </w:r>
          </w:p>
        </w:tc>
        <w:tc>
          <w:tcPr>
            <w:tcW w:w="1134" w:type="dxa"/>
            <w:vAlign w:val="center"/>
          </w:tcPr>
          <w:p>
            <w:pPr>
              <w:pStyle w:val="13"/>
            </w:pPr>
            <w:r>
              <w:t>17.00</w:t>
            </w:r>
          </w:p>
        </w:tc>
        <w:tc>
          <w:tcPr>
            <w:tcW w:w="1134" w:type="dxa"/>
            <w:vAlign w:val="center"/>
          </w:tcPr>
          <w:p>
            <w:pPr>
              <w:pStyle w:val="13"/>
            </w:pPr>
            <w:r>
              <w:t>17.00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17.00</w:t>
            </w:r>
          </w:p>
        </w:tc>
        <w:tc>
          <w:tcPr>
            <w:tcW w:w="1134" w:type="dxa"/>
            <w:vAlign w:val="center"/>
          </w:tcPr>
          <w:p>
            <w:pPr>
              <w:pStyle w:val="13"/>
            </w:pPr>
            <w:r>
              <w:t>17.00</w:t>
            </w:r>
          </w:p>
        </w:tc>
        <w:tc>
          <w:tcPr>
            <w:tcW w:w="1134" w:type="dxa"/>
            <w:vAlign w:val="center"/>
          </w:tcPr>
          <w:p>
            <w:pPr>
              <w:pStyle w:val="13"/>
            </w:pPr>
            <w:r>
              <w:t>17.00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17.00</w:t>
            </w:r>
          </w:p>
        </w:tc>
        <w:tc>
          <w:tcPr>
            <w:tcW w:w="1134" w:type="dxa"/>
            <w:vAlign w:val="center"/>
          </w:tcPr>
          <w:p>
            <w:pPr>
              <w:pStyle w:val="13"/>
            </w:pPr>
            <w:r>
              <w:t>17.00</w:t>
            </w:r>
          </w:p>
        </w:tc>
        <w:tc>
          <w:tcPr>
            <w:tcW w:w="1134" w:type="dxa"/>
            <w:vAlign w:val="center"/>
          </w:tcPr>
          <w:p>
            <w:pPr>
              <w:pStyle w:val="13"/>
            </w:pPr>
            <w:r>
              <w:t>17.00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317中共成安县委机构编制委员会办公室</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237.54</w:t>
            </w:r>
          </w:p>
        </w:tc>
        <w:tc>
          <w:tcPr>
            <w:tcW w:w="1361" w:type="dxa"/>
            <w:vAlign w:val="center"/>
          </w:tcPr>
          <w:p>
            <w:pPr>
              <w:pStyle w:val="17"/>
            </w:pPr>
            <w:r>
              <w:t>237.54</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172.11</w:t>
            </w:r>
          </w:p>
        </w:tc>
        <w:tc>
          <w:tcPr>
            <w:tcW w:w="1361" w:type="dxa"/>
            <w:vAlign w:val="center"/>
          </w:tcPr>
          <w:p>
            <w:pPr>
              <w:pStyle w:val="13"/>
            </w:pPr>
            <w:r>
              <w:t>172.11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172.11</w:t>
            </w:r>
          </w:p>
        </w:tc>
        <w:tc>
          <w:tcPr>
            <w:tcW w:w="1361" w:type="dxa"/>
            <w:vAlign w:val="center"/>
          </w:tcPr>
          <w:p>
            <w:pPr>
              <w:pStyle w:val="13"/>
            </w:pPr>
            <w:r>
              <w:t>172.11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172.11</w:t>
            </w:r>
          </w:p>
        </w:tc>
        <w:tc>
          <w:tcPr>
            <w:tcW w:w="1361" w:type="dxa"/>
            <w:vAlign w:val="center"/>
          </w:tcPr>
          <w:p>
            <w:pPr>
              <w:pStyle w:val="13"/>
            </w:pPr>
            <w:r>
              <w:t>172.11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35.87</w:t>
            </w:r>
          </w:p>
        </w:tc>
        <w:tc>
          <w:tcPr>
            <w:tcW w:w="1361" w:type="dxa"/>
            <w:vAlign w:val="center"/>
          </w:tcPr>
          <w:p>
            <w:pPr>
              <w:pStyle w:val="13"/>
            </w:pPr>
            <w:r>
              <w:t>35.87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35.87</w:t>
            </w:r>
          </w:p>
        </w:tc>
        <w:tc>
          <w:tcPr>
            <w:tcW w:w="1361" w:type="dxa"/>
            <w:vAlign w:val="center"/>
          </w:tcPr>
          <w:p>
            <w:pPr>
              <w:pStyle w:val="13"/>
            </w:pPr>
            <w:r>
              <w:t>35.87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2.87</w:t>
            </w:r>
          </w:p>
        </w:tc>
        <w:tc>
          <w:tcPr>
            <w:tcW w:w="1361" w:type="dxa"/>
            <w:vAlign w:val="center"/>
          </w:tcPr>
          <w:p>
            <w:pPr>
              <w:pStyle w:val="13"/>
            </w:pPr>
            <w:r>
              <w:t>2.87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22.00</w:t>
            </w:r>
          </w:p>
        </w:tc>
        <w:tc>
          <w:tcPr>
            <w:tcW w:w="1361" w:type="dxa"/>
            <w:vAlign w:val="center"/>
          </w:tcPr>
          <w:p>
            <w:pPr>
              <w:pStyle w:val="13"/>
            </w:pPr>
            <w:r>
              <w:t>22.00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11.00</w:t>
            </w:r>
          </w:p>
        </w:tc>
        <w:tc>
          <w:tcPr>
            <w:tcW w:w="1361" w:type="dxa"/>
            <w:vAlign w:val="center"/>
          </w:tcPr>
          <w:p>
            <w:pPr>
              <w:pStyle w:val="13"/>
            </w:pPr>
            <w:r>
              <w:t>11.00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12.56</w:t>
            </w:r>
          </w:p>
        </w:tc>
        <w:tc>
          <w:tcPr>
            <w:tcW w:w="1361" w:type="dxa"/>
            <w:vAlign w:val="center"/>
          </w:tcPr>
          <w:p>
            <w:pPr>
              <w:pStyle w:val="13"/>
            </w:pPr>
            <w:r>
              <w:t>12.56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12.56</w:t>
            </w:r>
          </w:p>
        </w:tc>
        <w:tc>
          <w:tcPr>
            <w:tcW w:w="1361" w:type="dxa"/>
            <w:vAlign w:val="center"/>
          </w:tcPr>
          <w:p>
            <w:pPr>
              <w:pStyle w:val="13"/>
            </w:pPr>
            <w:r>
              <w:t>12.56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12.56</w:t>
            </w:r>
          </w:p>
        </w:tc>
        <w:tc>
          <w:tcPr>
            <w:tcW w:w="1361" w:type="dxa"/>
            <w:vAlign w:val="center"/>
          </w:tcPr>
          <w:p>
            <w:pPr>
              <w:pStyle w:val="13"/>
            </w:pPr>
            <w:r>
              <w:t>12.56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17.00</w:t>
            </w:r>
          </w:p>
        </w:tc>
        <w:tc>
          <w:tcPr>
            <w:tcW w:w="1361" w:type="dxa"/>
            <w:vAlign w:val="center"/>
          </w:tcPr>
          <w:p>
            <w:pPr>
              <w:pStyle w:val="13"/>
            </w:pPr>
            <w:r>
              <w:t>17.00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17.00</w:t>
            </w:r>
          </w:p>
        </w:tc>
        <w:tc>
          <w:tcPr>
            <w:tcW w:w="1361" w:type="dxa"/>
            <w:vAlign w:val="center"/>
          </w:tcPr>
          <w:p>
            <w:pPr>
              <w:pStyle w:val="13"/>
            </w:pPr>
            <w:r>
              <w:t>17.00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17.00</w:t>
            </w:r>
          </w:p>
        </w:tc>
        <w:tc>
          <w:tcPr>
            <w:tcW w:w="1361" w:type="dxa"/>
            <w:vAlign w:val="center"/>
          </w:tcPr>
          <w:p>
            <w:pPr>
              <w:pStyle w:val="13"/>
            </w:pPr>
            <w:r>
              <w:t>17.00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317中共成安县委机构编制委员会办公室</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237.54</w:t>
            </w:r>
          </w:p>
        </w:tc>
        <w:tc>
          <w:tcPr>
            <w:tcW w:w="3402" w:type="dxa"/>
            <w:vAlign w:val="center"/>
          </w:tcPr>
          <w:p>
            <w:pPr>
              <w:pStyle w:val="14"/>
            </w:pPr>
            <w:r>
              <w:t>一、一般公共服务支出</w:t>
            </w:r>
          </w:p>
        </w:tc>
        <w:tc>
          <w:tcPr>
            <w:tcW w:w="1474" w:type="dxa"/>
            <w:vAlign w:val="center"/>
          </w:tcPr>
          <w:p>
            <w:pPr>
              <w:pStyle w:val="13"/>
            </w:pPr>
            <w:r>
              <w:t>172.11</w:t>
            </w:r>
          </w:p>
        </w:tc>
        <w:tc>
          <w:tcPr>
            <w:tcW w:w="1474" w:type="dxa"/>
            <w:vAlign w:val="center"/>
          </w:tcPr>
          <w:p>
            <w:pPr>
              <w:pStyle w:val="13"/>
            </w:pPr>
            <w:r>
              <w:t>172.11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35.87</w:t>
            </w:r>
          </w:p>
        </w:tc>
        <w:tc>
          <w:tcPr>
            <w:tcW w:w="1474" w:type="dxa"/>
            <w:vAlign w:val="center"/>
          </w:tcPr>
          <w:p>
            <w:pPr>
              <w:pStyle w:val="13"/>
            </w:pPr>
            <w:r>
              <w:t>35.87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12.56</w:t>
            </w:r>
          </w:p>
        </w:tc>
        <w:tc>
          <w:tcPr>
            <w:tcW w:w="1474" w:type="dxa"/>
            <w:vAlign w:val="center"/>
          </w:tcPr>
          <w:p>
            <w:pPr>
              <w:pStyle w:val="13"/>
            </w:pPr>
            <w:r>
              <w:t>12.56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17.00</w:t>
            </w:r>
          </w:p>
        </w:tc>
        <w:tc>
          <w:tcPr>
            <w:tcW w:w="1474" w:type="dxa"/>
            <w:vAlign w:val="center"/>
          </w:tcPr>
          <w:p>
            <w:pPr>
              <w:pStyle w:val="13"/>
            </w:pPr>
            <w:r>
              <w:t>17.00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237.54</w:t>
            </w:r>
          </w:p>
        </w:tc>
        <w:tc>
          <w:tcPr>
            <w:tcW w:w="3402" w:type="dxa"/>
            <w:vAlign w:val="center"/>
          </w:tcPr>
          <w:p>
            <w:pPr>
              <w:pStyle w:val="16"/>
            </w:pPr>
            <w:r>
              <w:t>本年支出合计</w:t>
            </w:r>
          </w:p>
        </w:tc>
        <w:tc>
          <w:tcPr>
            <w:tcW w:w="1474" w:type="dxa"/>
            <w:vAlign w:val="center"/>
          </w:tcPr>
          <w:p>
            <w:pPr>
              <w:pStyle w:val="17"/>
            </w:pPr>
            <w:r>
              <w:t>237.54</w:t>
            </w:r>
          </w:p>
        </w:tc>
        <w:tc>
          <w:tcPr>
            <w:tcW w:w="1474" w:type="dxa"/>
            <w:vAlign w:val="center"/>
          </w:tcPr>
          <w:p>
            <w:pPr>
              <w:pStyle w:val="17"/>
            </w:pPr>
            <w:r>
              <w:t>237.54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237.54</w:t>
            </w:r>
          </w:p>
        </w:tc>
        <w:tc>
          <w:tcPr>
            <w:tcW w:w="3402" w:type="dxa"/>
            <w:vAlign w:val="center"/>
          </w:tcPr>
          <w:p>
            <w:pPr>
              <w:pStyle w:val="16"/>
            </w:pPr>
            <w:r>
              <w:t>支出总计</w:t>
            </w:r>
          </w:p>
        </w:tc>
        <w:tc>
          <w:tcPr>
            <w:tcW w:w="1474" w:type="dxa"/>
            <w:vAlign w:val="center"/>
          </w:tcPr>
          <w:p>
            <w:pPr>
              <w:pStyle w:val="17"/>
            </w:pPr>
            <w:r>
              <w:t>237.54</w:t>
            </w:r>
          </w:p>
        </w:tc>
        <w:tc>
          <w:tcPr>
            <w:tcW w:w="1474" w:type="dxa"/>
            <w:vAlign w:val="center"/>
          </w:tcPr>
          <w:p>
            <w:pPr>
              <w:pStyle w:val="17"/>
            </w:pPr>
            <w:r>
              <w:t>237.54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317中共成安县委机构编制委员会办公室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237.54</w:t>
            </w:r>
          </w:p>
        </w:tc>
        <w:tc>
          <w:tcPr>
            <w:tcW w:w="2551" w:type="dxa"/>
            <w:vAlign w:val="center"/>
          </w:tcPr>
          <w:p>
            <w:pPr>
              <w:pStyle w:val="17"/>
            </w:pPr>
            <w:r>
              <w:t>237.54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172.11</w:t>
            </w:r>
          </w:p>
        </w:tc>
        <w:tc>
          <w:tcPr>
            <w:tcW w:w="2551" w:type="dxa"/>
            <w:vAlign w:val="center"/>
          </w:tcPr>
          <w:p>
            <w:pPr>
              <w:pStyle w:val="13"/>
            </w:pPr>
            <w:r>
              <w:t>172.11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172.11</w:t>
            </w:r>
          </w:p>
        </w:tc>
        <w:tc>
          <w:tcPr>
            <w:tcW w:w="2551" w:type="dxa"/>
            <w:vAlign w:val="center"/>
          </w:tcPr>
          <w:p>
            <w:pPr>
              <w:pStyle w:val="13"/>
            </w:pPr>
            <w:r>
              <w:t>172.11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172.11</w:t>
            </w:r>
          </w:p>
        </w:tc>
        <w:tc>
          <w:tcPr>
            <w:tcW w:w="2551" w:type="dxa"/>
            <w:vAlign w:val="center"/>
          </w:tcPr>
          <w:p>
            <w:pPr>
              <w:pStyle w:val="13"/>
            </w:pPr>
            <w:r>
              <w:t>172.11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35.87</w:t>
            </w:r>
          </w:p>
        </w:tc>
        <w:tc>
          <w:tcPr>
            <w:tcW w:w="2551" w:type="dxa"/>
            <w:vAlign w:val="center"/>
          </w:tcPr>
          <w:p>
            <w:pPr>
              <w:pStyle w:val="13"/>
            </w:pPr>
            <w:r>
              <w:t>35.87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35.87</w:t>
            </w:r>
          </w:p>
        </w:tc>
        <w:tc>
          <w:tcPr>
            <w:tcW w:w="2551" w:type="dxa"/>
            <w:vAlign w:val="center"/>
          </w:tcPr>
          <w:p>
            <w:pPr>
              <w:pStyle w:val="13"/>
            </w:pPr>
            <w:r>
              <w:t>35.87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2.87</w:t>
            </w:r>
          </w:p>
        </w:tc>
        <w:tc>
          <w:tcPr>
            <w:tcW w:w="2551" w:type="dxa"/>
            <w:vAlign w:val="center"/>
          </w:tcPr>
          <w:p>
            <w:pPr>
              <w:pStyle w:val="13"/>
            </w:pPr>
            <w:r>
              <w:t>2.87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22.00</w:t>
            </w:r>
          </w:p>
        </w:tc>
        <w:tc>
          <w:tcPr>
            <w:tcW w:w="2551" w:type="dxa"/>
            <w:vAlign w:val="center"/>
          </w:tcPr>
          <w:p>
            <w:pPr>
              <w:pStyle w:val="13"/>
            </w:pPr>
            <w:r>
              <w:t>22.00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11.00</w:t>
            </w:r>
          </w:p>
        </w:tc>
        <w:tc>
          <w:tcPr>
            <w:tcW w:w="2551" w:type="dxa"/>
            <w:vAlign w:val="center"/>
          </w:tcPr>
          <w:p>
            <w:pPr>
              <w:pStyle w:val="13"/>
            </w:pPr>
            <w:r>
              <w:t>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12.56</w:t>
            </w:r>
          </w:p>
        </w:tc>
        <w:tc>
          <w:tcPr>
            <w:tcW w:w="2551" w:type="dxa"/>
            <w:vAlign w:val="center"/>
          </w:tcPr>
          <w:p>
            <w:pPr>
              <w:pStyle w:val="13"/>
            </w:pPr>
            <w:r>
              <w:t>12.56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12.56</w:t>
            </w:r>
          </w:p>
        </w:tc>
        <w:tc>
          <w:tcPr>
            <w:tcW w:w="2551" w:type="dxa"/>
            <w:vAlign w:val="center"/>
          </w:tcPr>
          <w:p>
            <w:pPr>
              <w:pStyle w:val="13"/>
            </w:pPr>
            <w:r>
              <w:t>12.56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12.56</w:t>
            </w:r>
          </w:p>
        </w:tc>
        <w:tc>
          <w:tcPr>
            <w:tcW w:w="2551" w:type="dxa"/>
            <w:vAlign w:val="center"/>
          </w:tcPr>
          <w:p>
            <w:pPr>
              <w:pStyle w:val="13"/>
            </w:pPr>
            <w:r>
              <w:t>12.56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17.00</w:t>
            </w:r>
          </w:p>
        </w:tc>
        <w:tc>
          <w:tcPr>
            <w:tcW w:w="2551" w:type="dxa"/>
            <w:vAlign w:val="center"/>
          </w:tcPr>
          <w:p>
            <w:pPr>
              <w:pStyle w:val="13"/>
            </w:pPr>
            <w:r>
              <w:t>17.00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17.00</w:t>
            </w:r>
          </w:p>
        </w:tc>
        <w:tc>
          <w:tcPr>
            <w:tcW w:w="2551" w:type="dxa"/>
            <w:vAlign w:val="center"/>
          </w:tcPr>
          <w:p>
            <w:pPr>
              <w:pStyle w:val="13"/>
            </w:pPr>
            <w:r>
              <w:t>17.00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17.00</w:t>
            </w:r>
          </w:p>
        </w:tc>
        <w:tc>
          <w:tcPr>
            <w:tcW w:w="2551" w:type="dxa"/>
            <w:vAlign w:val="center"/>
          </w:tcPr>
          <w:p>
            <w:pPr>
              <w:pStyle w:val="13"/>
            </w:pPr>
            <w:r>
              <w:t>17.00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317中共成安县委机构编制委员会办公室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237.54</w:t>
            </w:r>
          </w:p>
        </w:tc>
        <w:tc>
          <w:tcPr>
            <w:tcW w:w="2551" w:type="dxa"/>
            <w:vAlign w:val="center"/>
          </w:tcPr>
          <w:p>
            <w:pPr>
              <w:pStyle w:val="17"/>
            </w:pPr>
            <w:r>
              <w:t>216.50</w:t>
            </w:r>
          </w:p>
        </w:tc>
        <w:tc>
          <w:tcPr>
            <w:tcW w:w="2551" w:type="dxa"/>
            <w:vAlign w:val="center"/>
          </w:tcPr>
          <w:p>
            <w:pPr>
              <w:pStyle w:val="17"/>
            </w:pPr>
            <w:r>
              <w:t>21.04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213.63</w:t>
            </w:r>
          </w:p>
        </w:tc>
        <w:tc>
          <w:tcPr>
            <w:tcW w:w="2551" w:type="dxa"/>
            <w:vAlign w:val="center"/>
          </w:tcPr>
          <w:p>
            <w:pPr>
              <w:pStyle w:val="13"/>
            </w:pPr>
            <w:r>
              <w:t>213.63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83.39</w:t>
            </w:r>
          </w:p>
        </w:tc>
        <w:tc>
          <w:tcPr>
            <w:tcW w:w="2551" w:type="dxa"/>
            <w:vAlign w:val="center"/>
          </w:tcPr>
          <w:p>
            <w:pPr>
              <w:pStyle w:val="13"/>
            </w:pPr>
            <w:r>
              <w:t>83.39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28.34</w:t>
            </w:r>
          </w:p>
        </w:tc>
        <w:tc>
          <w:tcPr>
            <w:tcW w:w="2551" w:type="dxa"/>
            <w:vAlign w:val="center"/>
          </w:tcPr>
          <w:p>
            <w:pPr>
              <w:pStyle w:val="13"/>
            </w:pPr>
            <w:r>
              <w:t>28.34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22.72</w:t>
            </w:r>
          </w:p>
        </w:tc>
        <w:tc>
          <w:tcPr>
            <w:tcW w:w="2551" w:type="dxa"/>
            <w:vAlign w:val="center"/>
          </w:tcPr>
          <w:p>
            <w:pPr>
              <w:pStyle w:val="13"/>
            </w:pPr>
            <w:r>
              <w:t>22.72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16.62</w:t>
            </w:r>
          </w:p>
        </w:tc>
        <w:tc>
          <w:tcPr>
            <w:tcW w:w="2551" w:type="dxa"/>
            <w:vAlign w:val="center"/>
          </w:tcPr>
          <w:p>
            <w:pPr>
              <w:pStyle w:val="13"/>
            </w:pPr>
            <w:r>
              <w:t>16.62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22.00</w:t>
            </w:r>
          </w:p>
        </w:tc>
        <w:tc>
          <w:tcPr>
            <w:tcW w:w="2551" w:type="dxa"/>
            <w:vAlign w:val="center"/>
          </w:tcPr>
          <w:p>
            <w:pPr>
              <w:pStyle w:val="13"/>
            </w:pPr>
            <w:r>
              <w:t>22.00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11.00</w:t>
            </w:r>
          </w:p>
        </w:tc>
        <w:tc>
          <w:tcPr>
            <w:tcW w:w="2551" w:type="dxa"/>
            <w:vAlign w:val="center"/>
          </w:tcPr>
          <w:p>
            <w:pPr>
              <w:pStyle w:val="13"/>
            </w:pPr>
            <w:r>
              <w:t>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12.00</w:t>
            </w:r>
          </w:p>
        </w:tc>
        <w:tc>
          <w:tcPr>
            <w:tcW w:w="2551" w:type="dxa"/>
            <w:vAlign w:val="center"/>
          </w:tcPr>
          <w:p>
            <w:pPr>
              <w:pStyle w:val="13"/>
            </w:pPr>
            <w:r>
              <w:t>12.00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0.56</w:t>
            </w:r>
          </w:p>
        </w:tc>
        <w:tc>
          <w:tcPr>
            <w:tcW w:w="2551" w:type="dxa"/>
            <w:vAlign w:val="center"/>
          </w:tcPr>
          <w:p>
            <w:pPr>
              <w:pStyle w:val="13"/>
            </w:pPr>
            <w:r>
              <w:t>0.56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17.00</w:t>
            </w:r>
          </w:p>
        </w:tc>
        <w:tc>
          <w:tcPr>
            <w:tcW w:w="2551" w:type="dxa"/>
            <w:vAlign w:val="center"/>
          </w:tcPr>
          <w:p>
            <w:pPr>
              <w:pStyle w:val="13"/>
            </w:pPr>
            <w:r>
              <w:t>17.00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21.04</w:t>
            </w:r>
          </w:p>
        </w:tc>
        <w:tc>
          <w:tcPr>
            <w:tcW w:w="2551" w:type="dxa"/>
            <w:vAlign w:val="center"/>
          </w:tcPr>
          <w:p>
            <w:pPr>
              <w:pStyle w:val="13"/>
            </w:pPr>
          </w:p>
        </w:tc>
        <w:tc>
          <w:tcPr>
            <w:tcW w:w="2551" w:type="dxa"/>
            <w:vAlign w:val="center"/>
          </w:tcPr>
          <w:p>
            <w:pPr>
              <w:pStyle w:val="13"/>
            </w:pPr>
            <w:r>
              <w:t>21.04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8.24</w:t>
            </w:r>
          </w:p>
        </w:tc>
        <w:tc>
          <w:tcPr>
            <w:tcW w:w="2551" w:type="dxa"/>
            <w:vAlign w:val="center"/>
          </w:tcPr>
          <w:p>
            <w:pPr>
              <w:pStyle w:val="13"/>
            </w:pPr>
          </w:p>
        </w:tc>
        <w:tc>
          <w:tcPr>
            <w:tcW w:w="2551" w:type="dxa"/>
            <w:vAlign w:val="center"/>
          </w:tcPr>
          <w:p>
            <w:pPr>
              <w:pStyle w:val="13"/>
            </w:pPr>
            <w:r>
              <w:t>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7.80</w:t>
            </w:r>
          </w:p>
        </w:tc>
        <w:tc>
          <w:tcPr>
            <w:tcW w:w="2551" w:type="dxa"/>
            <w:vAlign w:val="center"/>
          </w:tcPr>
          <w:p>
            <w:pPr>
              <w:pStyle w:val="13"/>
            </w:pPr>
          </w:p>
        </w:tc>
        <w:tc>
          <w:tcPr>
            <w:tcW w:w="2551" w:type="dxa"/>
            <w:vAlign w:val="center"/>
          </w:tcPr>
          <w:p>
            <w:pPr>
              <w:pStyle w:val="13"/>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2.87</w:t>
            </w:r>
          </w:p>
        </w:tc>
        <w:tc>
          <w:tcPr>
            <w:tcW w:w="2551" w:type="dxa"/>
            <w:vAlign w:val="center"/>
          </w:tcPr>
          <w:p>
            <w:pPr>
              <w:pStyle w:val="13"/>
            </w:pPr>
            <w:r>
              <w:t>2.87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2.87</w:t>
            </w:r>
          </w:p>
        </w:tc>
        <w:tc>
          <w:tcPr>
            <w:tcW w:w="2551" w:type="dxa"/>
            <w:vAlign w:val="center"/>
          </w:tcPr>
          <w:p>
            <w:pPr>
              <w:pStyle w:val="13"/>
            </w:pPr>
            <w:r>
              <w:t>2.87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317中共成安县委机构编制委员会办公室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317中共成安县委机构编制委员会办公室</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317中共成安县委机构编制委员会办公室</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中共成安县委机构编制委员会办公室2024年部门预算信息公开情况说明</w:t>
      </w:r>
    </w:p>
    <w:p>
      <w:pPr>
        <w:jc w:val="center"/>
      </w:pPr>
      <w:r>
        <w:rPr>
          <w:rFonts w:ascii="方正小标宋_GBK" w:hAnsi="方正小标宋_GBK" w:eastAsia="方正小标宋_GBK" w:cs="方正小标宋_GBK"/>
          <w:color w:val="000000"/>
          <w:sz w:val="44"/>
        </w:rPr>
        <w:t>中共成安县委机构编制委员会办公室2024年部门预算信息公开情况说明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按照《中华人民共和国预算法》、《地方预决算公开操作规程》和《关于进一步推进预算公开工作的实施意见》规定，现将中共成安县委机构编制委员会办公室2024年部门预算公开如下：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widowControl/>
        <w:spacing w:line="360" w:lineRule="auto"/>
        <w:ind w:firstLine="640" w:firstLineChars="200"/>
        <w:jc w:val="left"/>
        <w:rPr>
          <w:rFonts w:hint="eastAsia" w:ascii="仿宋" w:hAnsi="仿宋" w:eastAsia="仿宋" w:cs="仿宋_GB2312"/>
          <w:kern w:val="0"/>
          <w:sz w:val="32"/>
          <w:szCs w:val="32"/>
          <w:lang w:bidi="ar"/>
        </w:rPr>
      </w:pPr>
      <w:r>
        <w:rPr>
          <w:rFonts w:ascii="方正楷体_GBK" w:hAnsi="方正楷体_GBK" w:eastAsia="方正楷体_GBK" w:cs="方正楷体_GBK"/>
          <w:b/>
          <w:color w:val="000000"/>
          <w:sz w:val="32"/>
        </w:rPr>
        <w:t>部门职责：</w:t>
      </w:r>
      <w:r>
        <w:rPr>
          <w:rFonts w:hint="eastAsia" w:ascii="仿宋" w:hAnsi="仿宋" w:eastAsia="仿宋" w:cs="仿宋_GB2312"/>
          <w:kern w:val="0"/>
          <w:sz w:val="32"/>
          <w:szCs w:val="32"/>
          <w:lang w:bidi="ar"/>
        </w:rPr>
        <w:t>中共</w:t>
      </w:r>
      <w:r>
        <w:rPr>
          <w:rFonts w:ascii="仿宋" w:hAnsi="仿宋" w:eastAsia="仿宋" w:cs="仿宋_GB2312"/>
          <w:kern w:val="0"/>
          <w:sz w:val="32"/>
          <w:szCs w:val="32"/>
          <w:lang w:bidi="ar"/>
        </w:rPr>
        <w:t>成安</w:t>
      </w:r>
      <w:r>
        <w:rPr>
          <w:rFonts w:hint="eastAsia" w:ascii="仿宋" w:hAnsi="仿宋" w:eastAsia="仿宋" w:cs="仿宋_GB2312"/>
          <w:kern w:val="0"/>
          <w:sz w:val="32"/>
          <w:szCs w:val="32"/>
          <w:lang w:val="en-US" w:eastAsia="zh-CN" w:bidi="ar"/>
        </w:rPr>
        <w:t>县委</w:t>
      </w:r>
      <w:r>
        <w:rPr>
          <w:rFonts w:ascii="仿宋" w:hAnsi="仿宋" w:eastAsia="仿宋" w:cs="仿宋_GB2312"/>
          <w:kern w:val="0"/>
          <w:sz w:val="32"/>
          <w:szCs w:val="32"/>
          <w:lang w:bidi="ar"/>
        </w:rPr>
        <w:t>机构编制委员会办公室是县委工作机构</w:t>
      </w:r>
      <w:r>
        <w:rPr>
          <w:rFonts w:hint="eastAsia" w:ascii="仿宋" w:hAnsi="仿宋" w:eastAsia="仿宋" w:cs="仿宋_GB2312"/>
          <w:kern w:val="0"/>
          <w:sz w:val="32"/>
          <w:szCs w:val="32"/>
          <w:lang w:bidi="ar"/>
        </w:rPr>
        <w:t>，</w:t>
      </w:r>
      <w:r>
        <w:rPr>
          <w:rFonts w:ascii="仿宋" w:hAnsi="仿宋" w:eastAsia="仿宋" w:cs="仿宋_GB2312"/>
          <w:kern w:val="0"/>
          <w:sz w:val="32"/>
          <w:szCs w:val="32"/>
          <w:lang w:bidi="ar"/>
        </w:rPr>
        <w:t>属行政机构，列县委序列，在</w:t>
      </w:r>
      <w:r>
        <w:rPr>
          <w:rFonts w:hint="eastAsia" w:ascii="仿宋" w:hAnsi="仿宋" w:eastAsia="仿宋" w:cs="仿宋_GB2312"/>
          <w:kern w:val="0"/>
          <w:sz w:val="32"/>
          <w:szCs w:val="32"/>
          <w:lang w:val="en-US" w:eastAsia="zh-CN" w:bidi="ar"/>
        </w:rPr>
        <w:t>县委</w:t>
      </w:r>
      <w:r>
        <w:rPr>
          <w:rFonts w:ascii="仿宋" w:hAnsi="仿宋" w:eastAsia="仿宋" w:cs="仿宋_GB2312"/>
          <w:kern w:val="0"/>
          <w:sz w:val="32"/>
          <w:szCs w:val="32"/>
          <w:lang w:bidi="ar"/>
        </w:rPr>
        <w:t>机构编制委员会的领导下负责全县行政管理体制改革、机构改革、机构编制日常管理、行政审批制度改革、机关和编办管理的群团统一社会信用代码赋码以及事业单位登记管理工作。</w:t>
      </w:r>
    </w:p>
    <w:p>
      <w:pPr>
        <w:widowControl/>
        <w:spacing w:line="360" w:lineRule="auto"/>
        <w:ind w:firstLine="640" w:firstLineChars="200"/>
        <w:jc w:val="left"/>
        <w:rPr>
          <w:rFonts w:hint="eastAsia" w:ascii="仿宋" w:hAnsi="仿宋" w:eastAsia="仿宋" w:cs="仿宋_GB2312"/>
          <w:kern w:val="0"/>
          <w:sz w:val="32"/>
          <w:szCs w:val="32"/>
          <w:lang w:bidi="ar"/>
        </w:rPr>
      </w:pPr>
      <w:r>
        <w:rPr>
          <w:rFonts w:hint="eastAsia" w:ascii="仿宋" w:hAnsi="仿宋" w:eastAsia="仿宋" w:cs="仿宋_GB2312"/>
          <w:kern w:val="0"/>
          <w:sz w:val="32"/>
          <w:szCs w:val="32"/>
          <w:lang w:val="en-US" w:eastAsia="zh-CN" w:bidi="ar"/>
        </w:rPr>
        <w:t>中共</w:t>
      </w:r>
      <w:r>
        <w:rPr>
          <w:rFonts w:hint="eastAsia" w:ascii="仿宋" w:hAnsi="仿宋" w:eastAsia="仿宋" w:cs="仿宋_GB2312"/>
          <w:kern w:val="0"/>
          <w:sz w:val="32"/>
          <w:szCs w:val="32"/>
          <w:lang w:bidi="ar"/>
        </w:rPr>
        <w:t>成安</w:t>
      </w:r>
      <w:r>
        <w:rPr>
          <w:rFonts w:hint="eastAsia" w:ascii="仿宋" w:hAnsi="仿宋" w:eastAsia="仿宋" w:cs="仿宋_GB2312"/>
          <w:kern w:val="0"/>
          <w:sz w:val="32"/>
          <w:szCs w:val="32"/>
          <w:lang w:val="en-US" w:eastAsia="zh-CN" w:bidi="ar"/>
        </w:rPr>
        <w:t>县委</w:t>
      </w:r>
      <w:r>
        <w:rPr>
          <w:rFonts w:hint="eastAsia" w:ascii="仿宋" w:hAnsi="仿宋" w:eastAsia="仿宋" w:cs="仿宋_GB2312"/>
          <w:kern w:val="0"/>
          <w:sz w:val="32"/>
          <w:szCs w:val="32"/>
          <w:lang w:bidi="ar"/>
        </w:rPr>
        <w:t>机构编制委员会办公室，预算编码是317，内设3个内部机构。</w:t>
      </w:r>
    </w:p>
    <w:p>
      <w:pPr>
        <w:widowControl/>
        <w:numPr>
          <w:ilvl w:val="0"/>
          <w:numId w:val="1"/>
        </w:numPr>
        <w:spacing w:line="360" w:lineRule="auto"/>
        <w:ind w:left="628"/>
        <w:jc w:val="left"/>
        <w:rPr>
          <w:rFonts w:hint="eastAsia" w:ascii="楷体" w:hAnsi="楷体" w:eastAsia="楷体" w:cs="楷体"/>
          <w:b/>
          <w:kern w:val="0"/>
          <w:sz w:val="32"/>
          <w:szCs w:val="32"/>
          <w:lang w:bidi="ar"/>
        </w:rPr>
      </w:pPr>
      <w:r>
        <w:rPr>
          <w:rFonts w:hint="eastAsia" w:ascii="楷体" w:hAnsi="楷体" w:eastAsia="楷体" w:cs="楷体"/>
          <w:b/>
          <w:kern w:val="0"/>
          <w:sz w:val="32"/>
          <w:szCs w:val="32"/>
          <w:lang w:bidi="ar"/>
        </w:rPr>
        <w:t>综合股</w:t>
      </w:r>
    </w:p>
    <w:p>
      <w:pPr>
        <w:widowControl/>
        <w:spacing w:line="360" w:lineRule="auto"/>
        <w:jc w:val="left"/>
        <w:rPr>
          <w:rFonts w:hint="eastAsia" w:ascii="仿宋" w:hAnsi="仿宋" w:eastAsia="仿宋" w:cs="仿宋"/>
          <w:bCs/>
          <w:kern w:val="0"/>
          <w:sz w:val="32"/>
          <w:szCs w:val="32"/>
          <w:lang w:bidi="ar"/>
        </w:rPr>
      </w:pPr>
      <w:r>
        <w:rPr>
          <w:rFonts w:hint="eastAsia" w:ascii="仿宋" w:hAnsi="仿宋" w:eastAsia="仿宋" w:cs="仿宋"/>
          <w:bCs/>
          <w:kern w:val="0"/>
          <w:sz w:val="32"/>
          <w:szCs w:val="32"/>
          <w:lang w:bidi="ar"/>
        </w:rPr>
        <w:t xml:space="preserve">     主要负责：</w:t>
      </w:r>
      <w:r>
        <w:rPr>
          <w:rFonts w:hint="eastAsia" w:ascii="仿宋" w:hAnsi="仿宋" w:eastAsia="仿宋" w:cs="仿宋"/>
          <w:bCs/>
          <w:kern w:val="0"/>
          <w:sz w:val="32"/>
          <w:szCs w:val="32"/>
          <w:lang w:val="en-US" w:eastAsia="zh-CN" w:bidi="ar"/>
        </w:rPr>
        <w:t>机关文电、会务、保密机要、档案、财务、后勤等机关日常运转和宣传、信息、安全、提案、信访等工作；承担机关政务公开和新闻发布、新闻应急工作；负责起草综合性文件；组织重大和全局性调查研究；管理全县行政编制、政法专项编制和事业编制总额，协调有关股室提出对编制总额分配、调整的意见；负责县直机关各部门和事业单位《机构编制管理证》登记管理，股级领导职数审核；组织机构编制核查工作；负责机构编制实名制管理工作；负责县直机关事业单位编制使用核准；审核机关事业单位军转干部编制事宜；指导机构编制信息化建设和统计工作；指导全县党政机关、事业单位和其他非营利性单位网上名称管理工作；拟订机关和所属单位内部管理规章制度；负责综合协调、督促检查等工作</w:t>
      </w:r>
      <w:r>
        <w:rPr>
          <w:rFonts w:hint="eastAsia" w:ascii="仿宋" w:hAnsi="仿宋" w:eastAsia="仿宋" w:cs="仿宋"/>
          <w:bCs/>
          <w:kern w:val="0"/>
          <w:sz w:val="32"/>
          <w:szCs w:val="32"/>
          <w:lang w:bidi="ar"/>
        </w:rPr>
        <w:t>。</w:t>
      </w:r>
    </w:p>
    <w:p>
      <w:pPr>
        <w:widowControl/>
        <w:spacing w:line="360" w:lineRule="auto"/>
        <w:ind w:firstLine="640"/>
        <w:jc w:val="left"/>
        <w:rPr>
          <w:rFonts w:hint="default" w:ascii="楷体" w:hAnsi="楷体" w:eastAsia="楷体" w:cs="楷体"/>
          <w:b/>
          <w:kern w:val="0"/>
          <w:sz w:val="32"/>
          <w:szCs w:val="32"/>
          <w:lang w:val="en-US" w:eastAsia="zh-CN" w:bidi="ar"/>
        </w:rPr>
      </w:pPr>
      <w:r>
        <w:rPr>
          <w:rFonts w:hint="eastAsia" w:ascii="楷体" w:hAnsi="楷体" w:eastAsia="楷体" w:cs="楷体"/>
          <w:b/>
          <w:kern w:val="0"/>
          <w:sz w:val="32"/>
          <w:szCs w:val="32"/>
          <w:lang w:bidi="ar"/>
        </w:rPr>
        <w:t>2、</w:t>
      </w:r>
      <w:r>
        <w:rPr>
          <w:rFonts w:hint="eastAsia" w:ascii="楷体" w:hAnsi="楷体" w:eastAsia="楷体" w:cs="楷体"/>
          <w:b/>
          <w:kern w:val="0"/>
          <w:sz w:val="32"/>
          <w:szCs w:val="32"/>
          <w:lang w:val="en-US" w:eastAsia="zh-CN" w:bidi="ar"/>
        </w:rPr>
        <w:t>机构编制股</w:t>
      </w:r>
    </w:p>
    <w:p>
      <w:pPr>
        <w:widowControl/>
        <w:spacing w:line="360" w:lineRule="auto"/>
        <w:ind w:firstLine="640"/>
        <w:jc w:val="left"/>
        <w:rPr>
          <w:rFonts w:hint="eastAsia" w:ascii="仿宋" w:hAnsi="仿宋" w:eastAsia="仿宋" w:cs="仿宋"/>
          <w:bCs/>
          <w:kern w:val="0"/>
          <w:sz w:val="32"/>
          <w:szCs w:val="32"/>
          <w:lang w:bidi="ar"/>
        </w:rPr>
      </w:pPr>
      <w:r>
        <w:rPr>
          <w:rFonts w:hint="eastAsia" w:ascii="仿宋" w:hAnsi="仿宋" w:eastAsia="仿宋" w:cs="仿宋"/>
          <w:bCs/>
          <w:kern w:val="0"/>
          <w:sz w:val="32"/>
          <w:szCs w:val="32"/>
          <w:lang w:bidi="ar"/>
        </w:rPr>
        <w:t>主要负责：</w:t>
      </w:r>
      <w:r>
        <w:rPr>
          <w:rFonts w:hint="eastAsia" w:ascii="仿宋" w:hAnsi="仿宋" w:eastAsia="仿宋" w:cs="仿宋"/>
          <w:bCs/>
          <w:kern w:val="0"/>
          <w:sz w:val="32"/>
          <w:szCs w:val="32"/>
          <w:lang w:val="en-US" w:eastAsia="zh-CN" w:bidi="ar"/>
        </w:rPr>
        <w:t>监督实施全县行政管理体制改革的政策和地方性法规；研究行政管理体制改革的重大问题，指导全县行政管理体制改革；负责行政执法体制改革工作；负责县开发区（园区）行政管理体制和机构设置工作；协调推进机构编制科学化、规范化、法制化建设；承担有关规范性文件的合法性审核和法律法规政策征求意见的回复工作；参与综合性文件的起草；承办有关行政复议和行政应诉工作，负责机关和所属事业单位法制化建设有关工作；负责机构编制研究工作；负责县委各部门职责分工与职能调整；负责县纪委监察委机关及其派驻纪检监察组、县委各部门、县人大常委会机关、县政协机关、县政法机关、县级人民团体机关机构改革意见的拟订、“三定”规定的审核和机构编制管理工作；负责提出市委编办下达的政法专项编制分配使用</w:t>
      </w:r>
      <w:r>
        <w:rPr>
          <w:rFonts w:hint="eastAsia" w:ascii="仿宋" w:hAnsi="仿宋" w:eastAsia="仿宋" w:cs="仿宋"/>
          <w:bCs/>
          <w:kern w:val="0"/>
          <w:sz w:val="32"/>
          <w:szCs w:val="32"/>
          <w:lang w:bidi="ar"/>
        </w:rPr>
        <w:t>。</w:t>
      </w:r>
    </w:p>
    <w:p>
      <w:pPr>
        <w:widowControl/>
        <w:spacing w:line="360" w:lineRule="auto"/>
        <w:ind w:firstLine="640"/>
        <w:jc w:val="left"/>
        <w:rPr>
          <w:rFonts w:hint="eastAsia" w:ascii="楷体" w:hAnsi="楷体" w:eastAsia="楷体" w:cs="楷体"/>
          <w:b/>
          <w:kern w:val="0"/>
          <w:sz w:val="32"/>
          <w:szCs w:val="32"/>
          <w:lang w:val="en-US" w:eastAsia="zh-CN" w:bidi="ar"/>
        </w:rPr>
      </w:pPr>
      <w:r>
        <w:rPr>
          <w:rFonts w:hint="eastAsia" w:ascii="楷体" w:hAnsi="楷体" w:eastAsia="楷体" w:cs="楷体"/>
          <w:b/>
          <w:kern w:val="0"/>
          <w:sz w:val="32"/>
          <w:szCs w:val="32"/>
          <w:lang w:val="en-US" w:eastAsia="zh-CN" w:bidi="ar"/>
        </w:rPr>
        <w:t>3、事业单位登记管理股（成安县事业单位登记管理局）</w:t>
      </w:r>
    </w:p>
    <w:p>
      <w:pPr>
        <w:widowControl/>
        <w:numPr>
          <w:ilvl w:val="0"/>
          <w:numId w:val="0"/>
        </w:numPr>
        <w:spacing w:line="360" w:lineRule="auto"/>
        <w:ind w:firstLine="640" w:firstLineChars="200"/>
        <w:jc w:val="left"/>
        <w:rPr>
          <w:rFonts w:hint="eastAsia" w:ascii="仿宋" w:hAnsi="仿宋" w:eastAsia="仿宋" w:cs="仿宋"/>
          <w:bCs/>
          <w:kern w:val="0"/>
          <w:sz w:val="32"/>
          <w:szCs w:val="32"/>
          <w:lang w:bidi="ar"/>
        </w:rPr>
      </w:pPr>
      <w:r>
        <w:rPr>
          <w:rFonts w:hint="eastAsia" w:ascii="仿宋" w:hAnsi="仿宋" w:eastAsia="仿宋" w:cs="仿宋"/>
          <w:bCs/>
          <w:kern w:val="0"/>
          <w:sz w:val="32"/>
          <w:szCs w:val="32"/>
          <w:lang w:bidi="ar"/>
        </w:rPr>
        <w:t>主要负责：</w:t>
      </w:r>
      <w:r>
        <w:rPr>
          <w:rFonts w:hint="eastAsia" w:ascii="仿宋" w:hAnsi="仿宋" w:eastAsia="仿宋" w:cs="仿宋"/>
          <w:bCs/>
          <w:kern w:val="0"/>
          <w:sz w:val="32"/>
          <w:szCs w:val="32"/>
          <w:lang w:val="en-US" w:eastAsia="zh-CN" w:bidi="ar"/>
        </w:rPr>
        <w:t>指导监督事业单位贯彻落实《事业单位登记管理暂行条例》和《实施细则》，依法查处违反事业单位登记管理规定的行为；负责本县管辖范围内和市事业单位登记管理机关授权的事业单位登记管理工作；负责组织实施事业单位法人年度报告公开和法人治理结构工作；组织实施全县事业单位网上登记管理系统和信息管理工作；开展有关事业单位登记管理信息的社会服务；承担县直机关和群团统一社会信用代码赋码证书发放和管理工作</w:t>
      </w:r>
      <w:r>
        <w:rPr>
          <w:rFonts w:hint="eastAsia" w:ascii="仿宋" w:hAnsi="仿宋" w:eastAsia="仿宋" w:cs="仿宋"/>
          <w:bCs/>
          <w:kern w:val="0"/>
          <w:sz w:val="32"/>
          <w:szCs w:val="32"/>
          <w:lang w:bidi="ar"/>
        </w:rPr>
        <w:t>。</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中共成安县委机构编制委员会办公室(本级)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numPr>
          <w:ilvl w:val="0"/>
          <w:numId w:val="0"/>
        </w:numPr>
        <w:spacing w:before="10" w:after="10" w:line="360" w:lineRule="auto"/>
        <w:ind w:firstLine="640" w:firstLineChars="200"/>
        <w:outlineLvl w:val="2"/>
        <w:rPr>
          <w:rFonts w:ascii="黑体" w:hAnsi="黑体" w:eastAsia="黑体" w:cs="黑体"/>
          <w:color w:val="000000"/>
          <w:sz w:val="32"/>
        </w:rPr>
      </w:pPr>
      <w:bookmarkStart w:id="10" w:name="_Toc_3_3_0000000011"/>
      <w:r>
        <w:rPr>
          <w:rFonts w:hint="eastAsia" w:ascii="黑体" w:hAnsi="黑体" w:eastAsia="黑体" w:cs="黑体"/>
          <w:color w:val="000000"/>
          <w:sz w:val="32"/>
          <w:lang w:val="en-US" w:eastAsia="zh-CN"/>
        </w:rPr>
        <w:t>二 、</w:t>
      </w:r>
      <w:r>
        <w:rPr>
          <w:rFonts w:ascii="黑体" w:hAnsi="黑体" w:eastAsia="黑体" w:cs="黑体"/>
          <w:color w:val="000000"/>
          <w:sz w:val="32"/>
        </w:rPr>
        <w:t>部门预算安排的总体情况</w:t>
      </w:r>
      <w:bookmarkEnd w:id="10"/>
    </w:p>
    <w:p>
      <w:pPr>
        <w:numPr>
          <w:ilvl w:val="0"/>
          <w:numId w:val="0"/>
        </w:numPr>
        <w:spacing w:before="10" w:after="10" w:line="360" w:lineRule="auto"/>
        <w:ind w:firstLine="560" w:firstLineChars="200"/>
        <w:outlineLvl w:val="2"/>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28"/>
        </w:rPr>
        <w:t>按照预算管理有关规定，目前我部门预算的编制实行综合预算管理，即全部收入和支出都反映在预算中。中共成</w:t>
      </w:r>
      <w:r>
        <w:rPr>
          <w:rFonts w:hint="eastAsia" w:ascii="仿宋_GB2312" w:hAnsi="仿宋_GB2312" w:eastAsia="仿宋_GB2312" w:cs="仿宋_GB2312"/>
          <w:color w:val="auto"/>
          <w:sz w:val="28"/>
        </w:rPr>
        <w:t>安县委机构编制委员会办公室机关及所属事业单位的收支包含在部门预算中。</w:t>
      </w:r>
    </w:p>
    <w:p>
      <w:pPr>
        <w:spacing w:line="560" w:lineRule="exact"/>
        <w:ind w:firstLine="640"/>
        <w:rPr>
          <w:rFonts w:ascii="楷体" w:hAnsi="楷体" w:eastAsia="楷体"/>
          <w:b/>
          <w:color w:val="auto"/>
          <w:sz w:val="32"/>
          <w:szCs w:val="32"/>
        </w:rPr>
      </w:pPr>
      <w:r>
        <w:rPr>
          <w:rFonts w:ascii="楷体" w:hAnsi="楷体" w:eastAsia="楷体"/>
          <w:b/>
          <w:color w:val="auto"/>
          <w:sz w:val="32"/>
          <w:szCs w:val="32"/>
        </w:rPr>
        <w:t>1</w:t>
      </w:r>
      <w:r>
        <w:rPr>
          <w:rFonts w:hint="eastAsia" w:ascii="楷体" w:hAnsi="楷体" w:eastAsia="楷体"/>
          <w:b/>
          <w:color w:val="auto"/>
          <w:sz w:val="32"/>
          <w:szCs w:val="32"/>
        </w:rPr>
        <w:t>、收入说明</w:t>
      </w:r>
    </w:p>
    <w:p>
      <w:pPr>
        <w:spacing w:line="560" w:lineRule="exact"/>
        <w:ind w:firstLine="640"/>
        <w:rPr>
          <w:rFonts w:ascii="仿宋" w:hAnsi="仿宋" w:eastAsia="仿宋" w:cs="仿宋"/>
          <w:bCs/>
          <w:color w:val="auto"/>
          <w:kern w:val="0"/>
          <w:sz w:val="32"/>
          <w:szCs w:val="32"/>
          <w:lang w:bidi="ar"/>
        </w:rPr>
      </w:pPr>
      <w:r>
        <w:rPr>
          <w:rFonts w:hint="eastAsia" w:ascii="仿宋" w:hAnsi="仿宋" w:eastAsia="仿宋"/>
          <w:color w:val="auto"/>
          <w:sz w:val="32"/>
          <w:szCs w:val="32"/>
          <w:lang w:val="en-US" w:eastAsia="zh-CN"/>
        </w:rPr>
        <w:t>反映本部门当年全部收入。</w:t>
      </w:r>
      <w:r>
        <w:rPr>
          <w:rFonts w:hint="eastAsia" w:ascii="仿宋" w:hAnsi="仿宋" w:eastAsia="仿宋"/>
          <w:color w:val="auto"/>
          <w:sz w:val="32"/>
          <w:szCs w:val="32"/>
          <w:lang w:eastAsia="zh-CN"/>
        </w:rPr>
        <w:t>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年预算收入</w:t>
      </w:r>
      <w:r>
        <w:rPr>
          <w:rFonts w:hint="eastAsia" w:ascii="仿宋" w:hAnsi="仿宋" w:eastAsia="仿宋"/>
          <w:color w:val="auto"/>
          <w:sz w:val="32"/>
          <w:szCs w:val="32"/>
          <w:lang w:val="en-US" w:eastAsia="zh-CN"/>
        </w:rPr>
        <w:t>237.54</w:t>
      </w:r>
      <w:r>
        <w:rPr>
          <w:rFonts w:hint="eastAsia" w:ascii="仿宋" w:hAnsi="仿宋" w:eastAsia="仿宋"/>
          <w:color w:val="auto"/>
          <w:sz w:val="32"/>
          <w:szCs w:val="32"/>
        </w:rPr>
        <w:t>万元，其中：一般公共预算收入</w:t>
      </w:r>
      <w:r>
        <w:rPr>
          <w:rFonts w:hint="eastAsia" w:ascii="仿宋" w:hAnsi="仿宋" w:eastAsia="仿宋" w:cs="仿宋"/>
          <w:bCs/>
          <w:color w:val="auto"/>
          <w:kern w:val="0"/>
          <w:sz w:val="32"/>
          <w:szCs w:val="32"/>
          <w:lang w:val="en-US" w:eastAsia="zh-CN" w:bidi="ar"/>
        </w:rPr>
        <w:t>237.54</w:t>
      </w:r>
      <w:r>
        <w:rPr>
          <w:rFonts w:hint="eastAsia" w:ascii="仿宋" w:hAnsi="仿宋" w:eastAsia="仿宋"/>
          <w:color w:val="auto"/>
          <w:sz w:val="32"/>
          <w:szCs w:val="32"/>
        </w:rPr>
        <w:t>万元，政府性基金收入</w:t>
      </w:r>
      <w:r>
        <w:rPr>
          <w:rFonts w:ascii="仿宋" w:hAnsi="仿宋" w:eastAsia="仿宋"/>
          <w:color w:val="auto"/>
          <w:sz w:val="32"/>
          <w:szCs w:val="32"/>
        </w:rPr>
        <w:t>0</w:t>
      </w:r>
      <w:r>
        <w:rPr>
          <w:rFonts w:hint="eastAsia" w:ascii="仿宋" w:hAnsi="仿宋" w:eastAsia="仿宋"/>
          <w:color w:val="auto"/>
          <w:sz w:val="32"/>
          <w:szCs w:val="32"/>
        </w:rPr>
        <w:t>万元，国有资本经营收入</w:t>
      </w:r>
      <w:r>
        <w:rPr>
          <w:rFonts w:ascii="仿宋" w:hAnsi="仿宋" w:eastAsia="仿宋"/>
          <w:color w:val="auto"/>
          <w:sz w:val="32"/>
          <w:szCs w:val="32"/>
        </w:rPr>
        <w:t>0</w:t>
      </w:r>
      <w:r>
        <w:rPr>
          <w:rFonts w:hint="eastAsia" w:ascii="仿宋" w:hAnsi="仿宋" w:eastAsia="仿宋"/>
          <w:color w:val="auto"/>
          <w:sz w:val="32"/>
          <w:szCs w:val="32"/>
        </w:rPr>
        <w:t>万元，事业收入</w:t>
      </w:r>
      <w:r>
        <w:rPr>
          <w:rFonts w:ascii="仿宋" w:hAnsi="仿宋" w:eastAsia="仿宋"/>
          <w:color w:val="auto"/>
          <w:sz w:val="32"/>
          <w:szCs w:val="32"/>
        </w:rPr>
        <w:t>0</w:t>
      </w:r>
      <w:r>
        <w:rPr>
          <w:rFonts w:hint="eastAsia" w:ascii="仿宋" w:hAnsi="仿宋" w:eastAsia="仿宋"/>
          <w:color w:val="auto"/>
          <w:sz w:val="32"/>
          <w:szCs w:val="32"/>
        </w:rPr>
        <w:t>万元，其他收入</w:t>
      </w:r>
      <w:r>
        <w:rPr>
          <w:rFonts w:ascii="仿宋" w:hAnsi="仿宋" w:eastAsia="仿宋"/>
          <w:color w:val="auto"/>
          <w:sz w:val="32"/>
          <w:szCs w:val="32"/>
        </w:rPr>
        <w:t>0</w:t>
      </w:r>
      <w:r>
        <w:rPr>
          <w:rFonts w:hint="eastAsia" w:ascii="仿宋" w:hAnsi="仿宋" w:eastAsia="仿宋"/>
          <w:color w:val="auto"/>
          <w:sz w:val="32"/>
          <w:szCs w:val="32"/>
        </w:rPr>
        <w:t>万元。</w:t>
      </w:r>
    </w:p>
    <w:p>
      <w:pPr>
        <w:spacing w:line="560" w:lineRule="exact"/>
        <w:ind w:firstLine="640"/>
        <w:rPr>
          <w:rFonts w:ascii="楷体" w:hAnsi="楷体" w:eastAsia="楷体"/>
          <w:b/>
          <w:color w:val="auto"/>
          <w:sz w:val="32"/>
          <w:szCs w:val="32"/>
        </w:rPr>
      </w:pPr>
      <w:r>
        <w:rPr>
          <w:rFonts w:ascii="楷体" w:hAnsi="楷体" w:eastAsia="楷体"/>
          <w:b/>
          <w:color w:val="auto"/>
          <w:sz w:val="32"/>
          <w:szCs w:val="32"/>
        </w:rPr>
        <w:t>2</w:t>
      </w:r>
      <w:r>
        <w:rPr>
          <w:rFonts w:hint="eastAsia" w:ascii="楷体" w:hAnsi="楷体" w:eastAsia="楷体"/>
          <w:b/>
          <w:color w:val="auto"/>
          <w:sz w:val="32"/>
          <w:szCs w:val="32"/>
        </w:rPr>
        <w:t>、支出说明</w:t>
      </w:r>
    </w:p>
    <w:p>
      <w:pPr>
        <w:spacing w:line="560" w:lineRule="exact"/>
        <w:ind w:firstLine="640"/>
        <w:rPr>
          <w:rFonts w:ascii="仿宋" w:hAnsi="仿宋" w:eastAsia="仿宋" w:cs="仿宋"/>
          <w:bCs/>
          <w:color w:val="auto"/>
          <w:kern w:val="0"/>
          <w:sz w:val="32"/>
          <w:szCs w:val="32"/>
          <w:lang w:bidi="ar"/>
        </w:rPr>
      </w:pPr>
      <w:r>
        <w:rPr>
          <w:rFonts w:hint="eastAsia" w:ascii="仿宋" w:hAnsi="仿宋" w:eastAsia="仿宋"/>
          <w:color w:val="auto"/>
          <w:sz w:val="32"/>
          <w:szCs w:val="32"/>
          <w:lang w:val="en-US" w:eastAsia="zh-CN"/>
        </w:rPr>
        <w:t>收支预算总表支出栏、基本支出表、项目支出表按经济分类和支出功能分类科目编制，反映中共成安县委机构编制委员会办公室年度部门预算中支出预算的总体情况。</w:t>
      </w:r>
      <w:r>
        <w:rPr>
          <w:rFonts w:hint="eastAsia" w:ascii="仿宋" w:hAnsi="仿宋" w:eastAsia="仿宋"/>
          <w:color w:val="auto"/>
          <w:sz w:val="32"/>
          <w:szCs w:val="32"/>
          <w:lang w:eastAsia="zh-CN"/>
        </w:rPr>
        <w:t>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年支出预算</w:t>
      </w:r>
      <w:r>
        <w:rPr>
          <w:rFonts w:hint="eastAsia" w:ascii="仿宋" w:hAnsi="仿宋" w:eastAsia="仿宋" w:cs="仿宋"/>
          <w:bCs/>
          <w:color w:val="auto"/>
          <w:kern w:val="0"/>
          <w:sz w:val="32"/>
          <w:szCs w:val="32"/>
          <w:lang w:val="en-US" w:eastAsia="zh-CN" w:bidi="ar"/>
        </w:rPr>
        <w:t>237.54</w:t>
      </w:r>
      <w:r>
        <w:rPr>
          <w:rFonts w:hint="eastAsia" w:ascii="仿宋" w:hAnsi="仿宋" w:eastAsia="仿宋"/>
          <w:color w:val="auto"/>
          <w:sz w:val="32"/>
          <w:szCs w:val="32"/>
        </w:rPr>
        <w:t>万元，其中基本支出</w:t>
      </w:r>
      <w:r>
        <w:rPr>
          <w:rFonts w:hint="eastAsia" w:ascii="仿宋" w:hAnsi="仿宋" w:eastAsia="仿宋" w:cs="仿宋"/>
          <w:bCs/>
          <w:color w:val="auto"/>
          <w:kern w:val="0"/>
          <w:sz w:val="32"/>
          <w:szCs w:val="32"/>
          <w:lang w:val="en-US" w:eastAsia="zh-CN" w:bidi="ar"/>
        </w:rPr>
        <w:t>237.54</w:t>
      </w:r>
      <w:r>
        <w:rPr>
          <w:rFonts w:hint="eastAsia" w:ascii="仿宋" w:hAnsi="仿宋" w:eastAsia="仿宋"/>
          <w:color w:val="auto"/>
          <w:sz w:val="32"/>
          <w:szCs w:val="32"/>
        </w:rPr>
        <w:t>万元，包括人员经费</w:t>
      </w:r>
      <w:r>
        <w:rPr>
          <w:rFonts w:hint="eastAsia" w:ascii="仿宋" w:hAnsi="仿宋" w:eastAsia="仿宋" w:cs="仿宋"/>
          <w:bCs/>
          <w:color w:val="auto"/>
          <w:kern w:val="0"/>
          <w:sz w:val="32"/>
          <w:szCs w:val="32"/>
          <w:lang w:val="en-US" w:eastAsia="zh-CN" w:bidi="ar"/>
        </w:rPr>
        <w:t>216.5</w:t>
      </w:r>
      <w:r>
        <w:rPr>
          <w:rFonts w:hint="eastAsia" w:ascii="仿宋" w:hAnsi="仿宋" w:eastAsia="仿宋"/>
          <w:color w:val="auto"/>
          <w:sz w:val="32"/>
          <w:szCs w:val="32"/>
        </w:rPr>
        <w:t>万元和日常公用经费</w:t>
      </w:r>
      <w:r>
        <w:rPr>
          <w:rFonts w:hint="eastAsia" w:ascii="仿宋" w:hAnsi="仿宋" w:eastAsia="仿宋" w:cs="宋体"/>
          <w:color w:val="auto"/>
          <w:kern w:val="0"/>
          <w:sz w:val="32"/>
          <w:szCs w:val="32"/>
          <w:lang w:val="en-US" w:eastAsia="zh-CN"/>
        </w:rPr>
        <w:t>21.04</w:t>
      </w:r>
      <w:r>
        <w:rPr>
          <w:rFonts w:hint="eastAsia" w:ascii="仿宋" w:hAnsi="仿宋" w:eastAsia="仿宋"/>
          <w:color w:val="auto"/>
          <w:sz w:val="32"/>
          <w:szCs w:val="32"/>
        </w:rPr>
        <w:t>万元。</w:t>
      </w:r>
    </w:p>
    <w:p>
      <w:pPr>
        <w:spacing w:line="560" w:lineRule="exact"/>
        <w:ind w:firstLine="640"/>
        <w:rPr>
          <w:rFonts w:ascii="仿宋" w:hAnsi="仿宋" w:eastAsia="仿宋"/>
          <w:color w:val="auto"/>
          <w:sz w:val="32"/>
          <w:szCs w:val="32"/>
        </w:rPr>
      </w:pPr>
      <w:r>
        <w:rPr>
          <w:rFonts w:ascii="楷体" w:hAnsi="楷体" w:eastAsia="楷体"/>
          <w:b/>
          <w:color w:val="auto"/>
          <w:sz w:val="32"/>
          <w:szCs w:val="32"/>
        </w:rPr>
        <w:t>3</w:t>
      </w:r>
      <w:r>
        <w:rPr>
          <w:rFonts w:hint="eastAsia" w:ascii="楷体" w:hAnsi="楷体" w:eastAsia="楷体"/>
          <w:b/>
          <w:color w:val="auto"/>
          <w:sz w:val="32"/>
          <w:szCs w:val="32"/>
        </w:rPr>
        <w:t>、比上年增减变化情况</w:t>
      </w:r>
    </w:p>
    <w:p>
      <w:pPr>
        <w:spacing w:line="500" w:lineRule="exact"/>
        <w:ind w:firstLine="560"/>
      </w:pPr>
      <w:r>
        <w:rPr>
          <w:rFonts w:hint="eastAsia" w:ascii="仿宋" w:hAnsi="仿宋" w:eastAsia="仿宋"/>
          <w:color w:val="auto"/>
          <w:sz w:val="32"/>
          <w:szCs w:val="32"/>
          <w:lang w:eastAsia="zh-CN"/>
        </w:rPr>
        <w:t>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年预算收支安排万元</w:t>
      </w:r>
      <w:r>
        <w:rPr>
          <w:rFonts w:hint="eastAsia" w:ascii="仿宋" w:hAnsi="仿宋" w:eastAsia="仿宋"/>
          <w:color w:val="auto"/>
          <w:sz w:val="32"/>
          <w:szCs w:val="32"/>
          <w:lang w:val="en-US" w:eastAsia="zh-CN"/>
        </w:rPr>
        <w:t>237.54万元</w:t>
      </w:r>
      <w:r>
        <w:rPr>
          <w:rFonts w:hint="eastAsia" w:ascii="仿宋" w:hAnsi="仿宋" w:eastAsia="仿宋"/>
          <w:color w:val="auto"/>
          <w:sz w:val="32"/>
          <w:szCs w:val="32"/>
        </w:rPr>
        <w:t>，较</w:t>
      </w:r>
      <w:r>
        <w:rPr>
          <w:rFonts w:hint="eastAsia" w:ascii="仿宋" w:hAnsi="仿宋" w:eastAsia="仿宋"/>
          <w:color w:val="auto"/>
          <w:sz w:val="32"/>
          <w:szCs w:val="32"/>
          <w:lang w:eastAsia="zh-CN"/>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年预算</w:t>
      </w:r>
      <w:r>
        <w:rPr>
          <w:rFonts w:hint="eastAsia" w:ascii="仿宋" w:hAnsi="仿宋" w:eastAsia="仿宋"/>
          <w:color w:val="auto"/>
          <w:sz w:val="32"/>
          <w:szCs w:val="32"/>
          <w:lang w:val="en-US" w:eastAsia="zh-CN"/>
        </w:rPr>
        <w:t>增加15.53</w:t>
      </w:r>
      <w:r>
        <w:rPr>
          <w:rFonts w:hint="eastAsia" w:ascii="仿宋" w:hAnsi="仿宋" w:eastAsia="仿宋"/>
          <w:color w:val="auto"/>
          <w:sz w:val="32"/>
          <w:szCs w:val="32"/>
        </w:rPr>
        <w:t>万元，</w:t>
      </w:r>
      <w:r>
        <w:rPr>
          <w:rFonts w:hint="eastAsia" w:ascii="仿宋" w:hAnsi="仿宋" w:eastAsia="仿宋"/>
          <w:color w:val="auto"/>
          <w:sz w:val="32"/>
          <w:szCs w:val="32"/>
          <w:lang w:val="en-US" w:eastAsia="zh-CN"/>
        </w:rPr>
        <w:t>其中：基本支出增加14.16万元，主要为人员正常晋级增加工资津补贴、社会保险和住房公积金。项目支出</w:t>
      </w:r>
      <w:r>
        <w:rPr>
          <w:rFonts w:ascii="仿宋" w:hAnsi="仿宋" w:eastAsia="仿宋" w:cs="仿宋"/>
          <w:bCs/>
          <w:color w:val="auto"/>
          <w:kern w:val="0"/>
          <w:sz w:val="32"/>
          <w:szCs w:val="32"/>
          <w:lang w:bidi="ar"/>
        </w:rPr>
        <w:t>比去年</w:t>
      </w:r>
      <w:r>
        <w:rPr>
          <w:rFonts w:hint="eastAsia" w:ascii="仿宋" w:hAnsi="仿宋" w:eastAsia="仿宋" w:cs="仿宋"/>
          <w:bCs/>
          <w:color w:val="auto"/>
          <w:kern w:val="0"/>
          <w:sz w:val="32"/>
          <w:szCs w:val="32"/>
          <w:lang w:val="en-US" w:eastAsia="zh-CN" w:bidi="ar"/>
        </w:rPr>
        <w:t>减少19.67万元，主要为节约开支</w:t>
      </w:r>
      <w:r>
        <w:rPr>
          <w:rFonts w:hint="eastAsia" w:ascii="仿宋" w:hAnsi="仿宋" w:eastAsia="仿宋" w:cs="仿宋_GB2312"/>
          <w:color w:val="auto"/>
          <w:kern w:val="0"/>
          <w:sz w:val="32"/>
          <w:szCs w:val="32"/>
        </w:rPr>
        <w:t>。</w:t>
      </w:r>
    </w:p>
    <w:p>
      <w:pPr>
        <w:keepNext w:val="0"/>
        <w:keepLines w:val="0"/>
        <w:pageBreakBefore w:val="0"/>
        <w:widowControl/>
        <w:kinsoku/>
        <w:wordWrap/>
        <w:overflowPunct/>
        <w:topLinePunct w:val="0"/>
        <w:autoSpaceDE/>
        <w:autoSpaceDN/>
        <w:bidi w:val="0"/>
        <w:adjustRightInd/>
        <w:snapToGrid/>
        <w:spacing w:before="10" w:after="10" w:line="580" w:lineRule="exact"/>
        <w:ind w:firstLine="640"/>
        <w:textAlignment w:val="auto"/>
        <w:outlineLvl w:val="2"/>
      </w:pPr>
      <w:bookmarkStart w:id="11" w:name="_Toc_3_3_0000000012"/>
      <w:r>
        <w:rPr>
          <w:rFonts w:ascii="黑体" w:hAnsi="黑体" w:eastAsia="黑体" w:cs="黑体"/>
          <w:color w:val="000000"/>
          <w:sz w:val="32"/>
        </w:rPr>
        <w:t>三、机关运行经费安排情况</w:t>
      </w:r>
      <w:bookmarkEnd w:id="11"/>
    </w:p>
    <w:p>
      <w:pPr>
        <w:pStyle w:val="21"/>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 w:hAnsi="仿宋" w:eastAsia="仿宋" w:cs="仿宋"/>
          <w:bCs/>
          <w:color w:val="auto"/>
          <w:kern w:val="0"/>
          <w:sz w:val="32"/>
          <w:szCs w:val="32"/>
          <w:lang w:val="en-US" w:eastAsia="zh-CN" w:bidi="ar"/>
        </w:rPr>
      </w:pPr>
      <w:r>
        <w:rPr>
          <w:rFonts w:hint="eastAsia" w:ascii="仿宋" w:hAnsi="仿宋" w:eastAsia="仿宋" w:cs="仿宋"/>
          <w:bCs/>
          <w:color w:val="auto"/>
          <w:kern w:val="0"/>
          <w:sz w:val="32"/>
          <w:szCs w:val="32"/>
          <w:lang w:val="en-US" w:eastAsia="zh-CN" w:bidi="ar"/>
        </w:rPr>
        <w:t xml:space="preserve">2024年，我部门机关运行经费共计安排21.04万元，主要用于日常维修、网络运行维护、办公耗材、文件印刷等日常运行支出。 </w:t>
      </w:r>
    </w:p>
    <w:p>
      <w:pPr>
        <w:keepNext w:val="0"/>
        <w:keepLines w:val="0"/>
        <w:pageBreakBefore w:val="0"/>
        <w:widowControl/>
        <w:kinsoku/>
        <w:wordWrap/>
        <w:overflowPunct/>
        <w:topLinePunct w:val="0"/>
        <w:autoSpaceDE/>
        <w:autoSpaceDN/>
        <w:bidi w:val="0"/>
        <w:adjustRightInd/>
        <w:snapToGrid/>
        <w:spacing w:before="10" w:after="10" w:line="580" w:lineRule="exact"/>
        <w:ind w:firstLine="640"/>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keepNext w:val="0"/>
        <w:keepLines w:val="0"/>
        <w:pageBreakBefore w:val="0"/>
        <w:widowControl/>
        <w:kinsoku/>
        <w:wordWrap/>
        <w:overflowPunct/>
        <w:topLinePunct w:val="0"/>
        <w:autoSpaceDE/>
        <w:autoSpaceDN/>
        <w:bidi w:val="0"/>
        <w:adjustRightInd/>
        <w:snapToGrid/>
        <w:spacing w:line="580" w:lineRule="exact"/>
        <w:ind w:firstLine="561"/>
        <w:textAlignment w:val="auto"/>
      </w:pPr>
      <w:r>
        <w:rPr>
          <w:rFonts w:hint="eastAsia" w:ascii="仿宋" w:hAnsi="仿宋" w:eastAsia="仿宋" w:cs="仿宋"/>
          <w:bCs/>
          <w:color w:val="auto"/>
          <w:kern w:val="0"/>
          <w:sz w:val="32"/>
          <w:szCs w:val="32"/>
          <w:lang w:val="en-US" w:eastAsia="zh-CN" w:bidi="ar"/>
        </w:rPr>
        <w:t>2024 年，我部门财政拨款“三公”经费预算安排0万元，其中因公出国（境）费0万元；公务用车购置及运维费0万元（其中：公务用车购置费为 0 万元，公务用车运维费0万元)；公务接待费0万元。与上年持平</w:t>
      </w:r>
      <w:r>
        <w:rPr>
          <w:rFonts w:hint="eastAsia"/>
        </w:rPr>
        <w:t xml:space="preserve"> </w:t>
      </w:r>
    </w:p>
    <w:p>
      <w:pPr>
        <w:keepNext w:val="0"/>
        <w:keepLines w:val="0"/>
        <w:pageBreakBefore w:val="0"/>
        <w:widowControl/>
        <w:kinsoku/>
        <w:wordWrap/>
        <w:overflowPunct/>
        <w:topLinePunct w:val="0"/>
        <w:autoSpaceDE/>
        <w:autoSpaceDN/>
        <w:bidi w:val="0"/>
        <w:adjustRightInd/>
        <w:snapToGrid/>
        <w:spacing w:before="10" w:after="10" w:line="580" w:lineRule="exact"/>
        <w:ind w:firstLine="640"/>
        <w:textAlignment w:val="auto"/>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rPr>
          <w:rFonts w:eastAsia="方正仿宋_GBK"/>
          <w:color w:val="000000"/>
          <w:sz w:val="28"/>
        </w:rPr>
      </w:pPr>
      <w:r>
        <w:rPr>
          <w:rFonts w:eastAsia="方正仿宋_GBK"/>
          <w:color w:val="000000"/>
          <w:sz w:val="28"/>
        </w:rPr>
        <w:t>（一）总体绩效目标</w:t>
      </w:r>
    </w:p>
    <w:p>
      <w:pPr>
        <w:spacing w:line="500" w:lineRule="exact"/>
        <w:ind w:firstLine="560"/>
      </w:pPr>
      <w:r>
        <w:rPr>
          <w:rFonts w:hint="eastAsia" w:ascii="仿宋" w:hAnsi="仿宋" w:eastAsia="仿宋" w:cs="仿宋"/>
          <w:color w:val="000000"/>
          <w:sz w:val="28"/>
        </w:rPr>
        <w:t>坚持以习近平新时代中国特色社会主义思想为指导，深入贯彻党的二十大和二十届二中全会精神，认真落实省委</w:t>
      </w:r>
      <w:r>
        <w:rPr>
          <w:rFonts w:hint="eastAsia" w:ascii="仿宋" w:hAnsi="仿宋" w:eastAsia="仿宋" w:cs="仿宋"/>
          <w:color w:val="000000"/>
          <w:sz w:val="28"/>
          <w:lang w:val="en-US" w:eastAsia="zh-CN"/>
        </w:rPr>
        <w:t>十</w:t>
      </w:r>
      <w:r>
        <w:rPr>
          <w:rFonts w:hint="eastAsia" w:ascii="仿宋" w:hAnsi="仿宋" w:eastAsia="仿宋" w:cs="仿宋"/>
          <w:color w:val="000000"/>
          <w:sz w:val="28"/>
        </w:rPr>
        <w:t>届三次、四次、五次全会精神，按</w:t>
      </w:r>
      <w:r>
        <w:rPr>
          <w:rFonts w:hint="eastAsia" w:ascii="仿宋" w:hAnsi="仿宋" w:eastAsia="仿宋" w:cs="仿宋"/>
          <w:color w:val="000000"/>
          <w:sz w:val="28"/>
          <w:lang w:eastAsia="zh-CN"/>
        </w:rPr>
        <w:t>照中央和县委</w:t>
      </w:r>
      <w:bookmarkStart w:id="20" w:name="_GoBack"/>
      <w:bookmarkEnd w:id="20"/>
      <w:r>
        <w:rPr>
          <w:rFonts w:hint="eastAsia" w:ascii="仿宋" w:hAnsi="仿宋" w:eastAsia="仿宋" w:cs="仿宋"/>
          <w:color w:val="000000"/>
          <w:sz w:val="28"/>
        </w:rPr>
        <w:t>办部署安排，以坚持和加强党的全面领导为统领，以谋划推进机构改革为主线，解放思想、奋发进取，统筹推进完善党政机构职能体系、深化机构改革和体制机制改革、优化机构编制资源配置等工作，持续推动新时代机构编制工作高质量发展，为加快建设经济强</w:t>
      </w:r>
      <w:r>
        <w:rPr>
          <w:rFonts w:hint="eastAsia" w:ascii="仿宋" w:hAnsi="仿宋" w:eastAsia="仿宋" w:cs="仿宋"/>
          <w:color w:val="000000"/>
          <w:sz w:val="28"/>
          <w:lang w:val="en-US" w:eastAsia="zh-CN"/>
        </w:rPr>
        <w:t>县</w:t>
      </w:r>
      <w:r>
        <w:rPr>
          <w:rFonts w:hint="eastAsia" w:ascii="仿宋" w:hAnsi="仿宋" w:eastAsia="仿宋" w:cs="仿宋"/>
          <w:color w:val="000000"/>
          <w:sz w:val="28"/>
        </w:rPr>
        <w:t>、美丽</w:t>
      </w:r>
      <w:r>
        <w:rPr>
          <w:rFonts w:hint="eastAsia" w:ascii="仿宋" w:hAnsi="仿宋" w:eastAsia="仿宋" w:cs="仿宋"/>
          <w:color w:val="000000"/>
          <w:sz w:val="28"/>
          <w:lang w:val="en-US" w:eastAsia="zh-CN"/>
        </w:rPr>
        <w:t>成安</w:t>
      </w:r>
      <w:r>
        <w:rPr>
          <w:rFonts w:hint="eastAsia" w:ascii="仿宋" w:hAnsi="仿宋" w:eastAsia="仿宋" w:cs="仿宋"/>
          <w:color w:val="000000"/>
          <w:sz w:val="28"/>
        </w:rPr>
        <w:t>提供体制机制保障。</w:t>
      </w:r>
    </w:p>
    <w:p>
      <w:pPr>
        <w:spacing w:line="500" w:lineRule="exact"/>
        <w:ind w:firstLine="560"/>
      </w:pPr>
      <w:r>
        <w:rPr>
          <w:rFonts w:eastAsia="方正仿宋_GBK"/>
          <w:color w:val="000000"/>
          <w:sz w:val="28"/>
        </w:rPr>
        <w:t>（二）分项绩效目标</w:t>
      </w:r>
    </w:p>
    <w:p>
      <w:pPr>
        <w:pStyle w:val="24"/>
        <w:rPr>
          <w:rFonts w:hint="eastAsia" w:ascii="仿宋" w:hAnsi="仿宋" w:eastAsia="仿宋" w:cs="仿宋"/>
        </w:rPr>
      </w:pPr>
      <w:r>
        <w:rPr>
          <w:rFonts w:hint="eastAsia" w:ascii="仿宋" w:hAnsi="仿宋" w:eastAsia="仿宋" w:cs="仿宋"/>
        </w:rPr>
        <w:t xml:space="preserve">1.党政机构职能体系持续完善 </w:t>
      </w:r>
    </w:p>
    <w:p>
      <w:pPr>
        <w:pStyle w:val="24"/>
        <w:rPr>
          <w:rFonts w:hint="eastAsia" w:ascii="仿宋" w:hAnsi="仿宋" w:eastAsia="仿宋" w:cs="仿宋"/>
        </w:rPr>
      </w:pPr>
      <w:r>
        <w:rPr>
          <w:rFonts w:hint="eastAsia" w:ascii="仿宋" w:hAnsi="仿宋" w:eastAsia="仿宋" w:cs="仿宋"/>
        </w:rPr>
        <w:t>绩效目标：</w:t>
      </w:r>
      <w:r>
        <w:rPr>
          <w:rFonts w:hint="eastAsia" w:ascii="仿宋" w:hAnsi="仿宋" w:eastAsia="仿宋" w:cs="仿宋"/>
          <w:lang w:val="en-US" w:eastAsia="zh-CN"/>
        </w:rPr>
        <w:t>县</w:t>
      </w:r>
      <w:r>
        <w:rPr>
          <w:rFonts w:hint="eastAsia" w:ascii="仿宋" w:hAnsi="仿宋" w:eastAsia="仿宋" w:cs="仿宋"/>
        </w:rPr>
        <w:t>直“三定”规定有效落实。稳妥有序做好县改革方案</w:t>
      </w:r>
      <w:r>
        <w:rPr>
          <w:rFonts w:hint="eastAsia" w:ascii="仿宋" w:hAnsi="仿宋" w:eastAsia="仿宋" w:cs="仿宋"/>
          <w:lang w:val="en-US" w:eastAsia="zh-CN"/>
        </w:rPr>
        <w:t>制定</w:t>
      </w:r>
      <w:r>
        <w:rPr>
          <w:rFonts w:hint="eastAsia" w:ascii="仿宋" w:hAnsi="仿宋" w:eastAsia="仿宋" w:cs="仿宋"/>
        </w:rPr>
        <w:t xml:space="preserve">、编制精简、机构组建和人员转隶等工作，确保新机构有效承接职责。 </w:t>
      </w:r>
    </w:p>
    <w:p>
      <w:pPr>
        <w:pStyle w:val="24"/>
        <w:rPr>
          <w:rFonts w:hint="eastAsia" w:ascii="仿宋" w:hAnsi="仿宋" w:eastAsia="仿宋" w:cs="仿宋"/>
        </w:rPr>
      </w:pPr>
      <w:r>
        <w:rPr>
          <w:rFonts w:hint="eastAsia" w:ascii="仿宋" w:hAnsi="仿宋" w:eastAsia="仿宋" w:cs="仿宋"/>
        </w:rPr>
        <w:t>绩效指标：及时调整优化</w:t>
      </w:r>
      <w:r>
        <w:rPr>
          <w:rFonts w:hint="eastAsia" w:ascii="仿宋" w:hAnsi="仿宋" w:eastAsia="仿宋" w:cs="仿宋"/>
          <w:lang w:val="en-US" w:eastAsia="zh-CN"/>
        </w:rPr>
        <w:t>县</w:t>
      </w:r>
      <w:r>
        <w:rPr>
          <w:rFonts w:hint="eastAsia" w:ascii="仿宋" w:hAnsi="仿宋" w:eastAsia="仿宋" w:cs="仿宋"/>
        </w:rPr>
        <w:t>直有关部门职能配置、内设机构和人员编制。对</w:t>
      </w:r>
      <w:r>
        <w:rPr>
          <w:rFonts w:hint="eastAsia" w:ascii="仿宋" w:hAnsi="仿宋" w:eastAsia="仿宋" w:cs="仿宋"/>
          <w:lang w:val="en-US" w:eastAsia="zh-CN"/>
        </w:rPr>
        <w:t>县</w:t>
      </w:r>
      <w:r>
        <w:rPr>
          <w:rFonts w:hint="eastAsia" w:ascii="仿宋" w:hAnsi="仿宋" w:eastAsia="仿宋" w:cs="仿宋"/>
        </w:rPr>
        <w:t xml:space="preserve">机构改革情况进行调研检查和验收评估，盘活用好精简编制，制定分配使用办法。 </w:t>
      </w:r>
    </w:p>
    <w:p>
      <w:pPr>
        <w:pStyle w:val="24"/>
        <w:rPr>
          <w:rFonts w:hint="eastAsia" w:ascii="仿宋" w:hAnsi="仿宋" w:eastAsia="仿宋" w:cs="仿宋"/>
        </w:rPr>
      </w:pPr>
      <w:r>
        <w:rPr>
          <w:rFonts w:hint="eastAsia" w:ascii="仿宋" w:hAnsi="仿宋" w:eastAsia="仿宋" w:cs="仿宋"/>
        </w:rPr>
        <w:t xml:space="preserve">2.机构编制资源统筹配置更加优化 </w:t>
      </w:r>
    </w:p>
    <w:p>
      <w:pPr>
        <w:pStyle w:val="24"/>
        <w:rPr>
          <w:rFonts w:hint="eastAsia" w:ascii="仿宋" w:hAnsi="仿宋" w:eastAsia="仿宋" w:cs="仿宋"/>
        </w:rPr>
      </w:pPr>
      <w:r>
        <w:rPr>
          <w:rFonts w:hint="eastAsia" w:ascii="仿宋" w:hAnsi="仿宋" w:eastAsia="仿宋" w:cs="仿宋"/>
        </w:rPr>
        <w:t>绩效目标：机构编制动态调整力度不断加大，编制资源效益更加明显，控编减编工作开展扎实有效。建立健全机构</w:t>
      </w:r>
    </w:p>
    <w:p>
      <w:pPr>
        <w:pStyle w:val="24"/>
        <w:ind w:left="0" w:leftChars="0" w:firstLine="0" w:firstLineChars="0"/>
        <w:rPr>
          <w:rFonts w:hint="eastAsia" w:ascii="仿宋" w:hAnsi="仿宋" w:eastAsia="仿宋" w:cs="仿宋"/>
        </w:rPr>
      </w:pPr>
      <w:r>
        <w:rPr>
          <w:rFonts w:hint="eastAsia" w:ascii="仿宋" w:hAnsi="仿宋" w:eastAsia="仿宋" w:cs="仿宋"/>
        </w:rPr>
        <w:t xml:space="preserve">编制部门与有关部门之间的协调配合约束机制，受理违反机构编制法规、纪律检举和控告及时，处置高效。 </w:t>
      </w:r>
    </w:p>
    <w:p>
      <w:pPr>
        <w:pStyle w:val="24"/>
        <w:rPr>
          <w:rFonts w:hint="eastAsia" w:ascii="仿宋" w:hAnsi="仿宋" w:eastAsia="仿宋" w:cs="仿宋"/>
        </w:rPr>
      </w:pPr>
      <w:r>
        <w:rPr>
          <w:rFonts w:hint="eastAsia" w:ascii="仿宋" w:hAnsi="仿宋" w:eastAsia="仿宋" w:cs="仿宋"/>
        </w:rPr>
        <w:t xml:space="preserve">绩效指标：探索建立“周转池”制度，财政供养人员实现只减不增，管理手段升级、职能任务弱化、机构重复设置的单位实现机构编制适度精简。及时受理“12310”举报电话举报，受理率达到 100%，全年案件办结率大于 90%，《中国共产党机构编制工作条例》得到全面有效落实。 </w:t>
      </w:r>
    </w:p>
    <w:p>
      <w:pPr>
        <w:pStyle w:val="24"/>
        <w:rPr>
          <w:rFonts w:hint="eastAsia" w:ascii="仿宋" w:hAnsi="仿宋" w:eastAsia="仿宋" w:cs="仿宋"/>
        </w:rPr>
      </w:pPr>
      <w:r>
        <w:rPr>
          <w:rFonts w:hint="eastAsia" w:ascii="仿宋" w:hAnsi="仿宋" w:eastAsia="仿宋" w:cs="仿宋"/>
        </w:rPr>
        <w:t xml:space="preserve">3.机构编制管理更加规范高效 </w:t>
      </w:r>
    </w:p>
    <w:p>
      <w:pPr>
        <w:pStyle w:val="24"/>
        <w:rPr>
          <w:rFonts w:hint="eastAsia" w:ascii="仿宋" w:hAnsi="仿宋" w:eastAsia="仿宋" w:cs="仿宋"/>
        </w:rPr>
      </w:pPr>
      <w:r>
        <w:rPr>
          <w:rFonts w:hint="eastAsia" w:ascii="仿宋" w:hAnsi="仿宋" w:eastAsia="仿宋" w:cs="仿宋"/>
        </w:rPr>
        <w:t>绩效目标：实现</w:t>
      </w:r>
      <w:r>
        <w:rPr>
          <w:rFonts w:hint="eastAsia" w:ascii="仿宋" w:hAnsi="仿宋" w:eastAsia="仿宋" w:cs="仿宋"/>
          <w:lang w:val="en-US" w:eastAsia="zh-CN"/>
        </w:rPr>
        <w:t>县</w:t>
      </w:r>
      <w:r>
        <w:rPr>
          <w:rFonts w:hint="eastAsia" w:ascii="仿宋" w:hAnsi="仿宋" w:eastAsia="仿宋" w:cs="仿宋"/>
        </w:rPr>
        <w:t>本级部门用编申请、出入编业务网上办理。扎实开展机构改革、体制机制和职责调整等机构编制研究，机关事业单位统一社会信用代码工作高标准完成，事业单位登记管理工作扎实推进。</w:t>
      </w:r>
    </w:p>
    <w:p>
      <w:pPr>
        <w:pStyle w:val="24"/>
        <w:rPr>
          <w:rFonts w:hint="eastAsia"/>
        </w:rPr>
      </w:pPr>
      <w:r>
        <w:rPr>
          <w:rFonts w:hint="eastAsia" w:ascii="仿宋" w:hAnsi="仿宋" w:eastAsia="仿宋" w:cs="仿宋"/>
        </w:rPr>
        <w:t>绩效指标：完成全</w:t>
      </w:r>
      <w:r>
        <w:rPr>
          <w:rFonts w:hint="eastAsia" w:ascii="仿宋" w:hAnsi="仿宋" w:eastAsia="仿宋" w:cs="仿宋"/>
          <w:lang w:val="en-US" w:eastAsia="zh-CN"/>
        </w:rPr>
        <w:t>县</w:t>
      </w:r>
      <w:r>
        <w:rPr>
          <w:rFonts w:hint="eastAsia" w:ascii="仿宋" w:hAnsi="仿宋" w:eastAsia="仿宋" w:cs="仿宋"/>
        </w:rPr>
        <w:t>机构编制实名制数据 1 至 12 月份人员信息数据更新。组织开展机构和行政体制改革，以及机构编制管理课题研究。</w:t>
      </w:r>
    </w:p>
    <w:p>
      <w:pPr>
        <w:spacing w:line="500" w:lineRule="exact"/>
        <w:ind w:firstLine="560"/>
      </w:pPr>
      <w:r>
        <w:rPr>
          <w:rFonts w:eastAsia="方正仿宋_GBK"/>
          <w:color w:val="000000"/>
          <w:sz w:val="28"/>
        </w:rPr>
        <w:t>（三）工作保障措施</w:t>
      </w:r>
    </w:p>
    <w:p>
      <w:pPr>
        <w:pStyle w:val="25"/>
        <w:rPr>
          <w:rFonts w:hint="eastAsia" w:ascii="仿宋" w:hAnsi="仿宋" w:eastAsia="仿宋" w:cs="仿宋"/>
        </w:rPr>
      </w:pPr>
      <w:r>
        <w:rPr>
          <w:rFonts w:hint="eastAsia" w:ascii="仿宋" w:hAnsi="仿宋" w:eastAsia="仿宋" w:cs="仿宋"/>
        </w:rPr>
        <w:t xml:space="preserve">1.加强组织领导，完善绩效制度。成立由办主要领导同志任组长的预算绩效工作领导小组，分设办机关、电子政务中心和研究中心三个业务小组，建立统筹协调、分工协作、密切配合、合力推进的工作机制。将事前论证、目标管理、运行监控、绩效评价、结果应用等各项措施，贯穿于预算管理的全过程，建立健全机构编制预算绩效管理制度。围绕年度总体绩效目标和分类绩效目标，细化工作方案，明确责任主体、实施进度监控，确保绩效目标如期完成。 </w:t>
      </w:r>
    </w:p>
    <w:p>
      <w:pPr>
        <w:pStyle w:val="25"/>
        <w:rPr>
          <w:rFonts w:hint="eastAsia" w:ascii="仿宋" w:hAnsi="仿宋" w:eastAsia="仿宋" w:cs="仿宋"/>
        </w:rPr>
      </w:pPr>
      <w:r>
        <w:rPr>
          <w:rFonts w:hint="eastAsia" w:ascii="仿宋" w:hAnsi="仿宋" w:eastAsia="仿宋" w:cs="仿宋"/>
        </w:rPr>
        <w:t>2.分解细化责任，狠抓任务落实。按照“谁花钱、谁负责”的原则，明确各处、中心预算绩效管理职责。充分调动项目主管</w:t>
      </w:r>
      <w:r>
        <w:rPr>
          <w:rFonts w:hint="eastAsia" w:ascii="仿宋" w:hAnsi="仿宋" w:eastAsia="仿宋" w:cs="仿宋"/>
          <w:lang w:val="en-US" w:eastAsia="zh-CN"/>
        </w:rPr>
        <w:t>科室</w:t>
      </w:r>
      <w:r>
        <w:rPr>
          <w:rFonts w:hint="eastAsia" w:ascii="仿宋" w:hAnsi="仿宋" w:eastAsia="仿宋" w:cs="仿宋"/>
        </w:rPr>
        <w:t>的积极性和主动性，由业务</w:t>
      </w:r>
      <w:r>
        <w:rPr>
          <w:rFonts w:hint="eastAsia" w:ascii="仿宋" w:hAnsi="仿宋" w:eastAsia="仿宋" w:cs="仿宋"/>
          <w:lang w:val="en-US" w:eastAsia="zh-CN"/>
        </w:rPr>
        <w:t>科室</w:t>
      </w:r>
      <w:r>
        <w:rPr>
          <w:rFonts w:hint="eastAsia" w:ascii="仿宋" w:hAnsi="仿宋" w:eastAsia="仿宋" w:cs="仿宋"/>
        </w:rPr>
        <w:t xml:space="preserve">负责科学制定分管项目和内容的中期、终期绩效目标和评价指标，动态收集评估数据信息，开展预算绩效中期绩效评估、终期评价，落实整改措施。按照领导小组批示，开展分管项目及内容的预算绩效管理具体工作，实现定项目就要抓绩效、分资金就要管绩效，确保财务与业务工作紧密衔接，相互促进。 </w:t>
      </w:r>
    </w:p>
    <w:p>
      <w:pPr>
        <w:pStyle w:val="25"/>
        <w:rPr>
          <w:rFonts w:hint="eastAsia" w:ascii="仿宋" w:hAnsi="仿宋" w:eastAsia="仿宋" w:cs="仿宋"/>
        </w:rPr>
      </w:pPr>
      <w:r>
        <w:rPr>
          <w:rFonts w:hint="eastAsia" w:ascii="仿宋" w:hAnsi="仿宋" w:eastAsia="仿宋" w:cs="仿宋"/>
        </w:rPr>
        <w:t xml:space="preserve">3.强化预算执行，确保支出进度。强化财政预算执行的刚性约束，及时启动项目和资金支付，加快履行政府采购程序，优化部门预算支出结构，创新财政资金支出思路，合理改进支出方式，确保按照时间节点完成支出任务，提高财政资金使用效率。 </w:t>
      </w:r>
    </w:p>
    <w:p>
      <w:pPr>
        <w:pStyle w:val="25"/>
        <w:rPr>
          <w:rFonts w:hint="eastAsia" w:ascii="仿宋" w:hAnsi="仿宋" w:eastAsia="仿宋" w:cs="仿宋"/>
        </w:rPr>
      </w:pPr>
      <w:r>
        <w:rPr>
          <w:rFonts w:hint="eastAsia" w:ascii="仿宋" w:hAnsi="仿宋" w:eastAsia="仿宋" w:cs="仿宋"/>
        </w:rPr>
        <w:t>4.加大公开力度，提升评价效果。借鉴</w:t>
      </w:r>
      <w:r>
        <w:rPr>
          <w:rFonts w:hint="eastAsia" w:ascii="仿宋" w:hAnsi="仿宋" w:eastAsia="仿宋" w:cs="仿宋"/>
          <w:lang w:val="en-US" w:eastAsia="zh-CN"/>
        </w:rPr>
        <w:t>县</w:t>
      </w:r>
      <w:r>
        <w:rPr>
          <w:rFonts w:hint="eastAsia" w:ascii="仿宋" w:hAnsi="仿宋" w:eastAsia="仿宋" w:cs="仿宋"/>
        </w:rPr>
        <w:t>直部门先进绩效评价经验，成立专门的评价工作小组，制定科学评价办法，对项目资金支出的经济性、效率性以及绩效目标的实现程度全方位评价，及时发现实施中存在的问题，并研究解决对策。评价过程要最大程度地实行信息公开，运用各种有效手段促进预算绩效工作扎实推进，做到程序规范、方法合理、结果可信。</w:t>
      </w:r>
    </w:p>
    <w:p>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hint="default" w:ascii="仿宋" w:hAnsi="仿宋" w:eastAsia="仿宋" w:cs="仿宋"/>
          <w:sz w:val="28"/>
          <w:szCs w:val="24"/>
          <w:lang w:val="en-US" w:eastAsia="zh-CN" w:bidi="ar-SA"/>
        </w:rPr>
        <w:sectPr>
          <w:pgSz w:w="16840" w:h="11900" w:orient="landscape"/>
          <w:pgMar w:top="1361" w:right="1020" w:bottom="1134" w:left="1020" w:header="720" w:footer="720" w:gutter="0"/>
          <w:cols w:space="720" w:num="1"/>
        </w:sectPr>
      </w:pPr>
      <w:r>
        <w:rPr>
          <w:rFonts w:hint="eastAsia" w:ascii="仿宋" w:hAnsi="仿宋" w:eastAsia="仿宋" w:cs="仿宋"/>
          <w:sz w:val="28"/>
          <w:szCs w:val="24"/>
          <w:lang w:val="en-US" w:eastAsia="zh-CN" w:bidi="ar-SA"/>
        </w:rPr>
        <w:t>我部门无专项资金。</w:t>
      </w:r>
    </w:p>
    <w:p>
      <w:pPr>
        <w:numPr>
          <w:ilvl w:val="0"/>
          <w:numId w:val="2"/>
        </w:numPr>
        <w:spacing w:before="10" w:after="10" w:line="360" w:lineRule="auto"/>
        <w:ind w:firstLine="640"/>
        <w:outlineLvl w:val="2"/>
        <w:rPr>
          <w:rFonts w:ascii="黑体" w:hAnsi="黑体" w:eastAsia="黑体" w:cs="黑体"/>
          <w:color w:val="000000"/>
          <w:sz w:val="32"/>
        </w:rPr>
      </w:pPr>
      <w:bookmarkStart w:id="15" w:name="_Toc_3_3_0000000016"/>
      <w:r>
        <w:rPr>
          <w:rFonts w:ascii="黑体" w:hAnsi="黑体" w:eastAsia="黑体" w:cs="黑体"/>
          <w:color w:val="000000"/>
          <w:sz w:val="32"/>
        </w:rPr>
        <w:t>部门项目预算安排情况及绩效目标</w:t>
      </w:r>
      <w:bookmarkEnd w:id="15"/>
    </w:p>
    <w:p>
      <w:pPr>
        <w:numPr>
          <w:ilvl w:val="0"/>
          <w:numId w:val="0"/>
        </w:numPr>
        <w:spacing w:before="10" w:after="10" w:line="360" w:lineRule="auto"/>
        <w:ind w:firstLine="640" w:firstLineChars="200"/>
        <w:outlineLvl w:val="2"/>
        <w:rPr>
          <w:rFonts w:hint="eastAsia" w:ascii="仿宋" w:hAnsi="仿宋" w:eastAsia="仿宋" w:cs="仿宋"/>
          <w:color w:val="000000"/>
          <w:sz w:val="32"/>
          <w:lang w:val="en-US" w:eastAsia="zh-CN"/>
        </w:rPr>
        <w:sectPr>
          <w:pgSz w:w="16840" w:h="11900" w:orient="landscape"/>
          <w:pgMar w:top="1361" w:right="1020" w:bottom="1134" w:left="1020" w:header="720" w:footer="720" w:gutter="0"/>
          <w:cols w:space="720" w:num="1"/>
        </w:sectPr>
      </w:pPr>
      <w:r>
        <w:rPr>
          <w:rFonts w:hint="eastAsia" w:ascii="仿宋" w:hAnsi="仿宋" w:eastAsia="仿宋" w:cs="仿宋"/>
          <w:color w:val="000000"/>
          <w:sz w:val="32"/>
          <w:lang w:val="en-US" w:eastAsia="zh-CN"/>
        </w:rPr>
        <w:t>无</w:t>
      </w: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317中共成安县委机构编制委员会办公室</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中共成安县委机构编制委员会办公室（含所属单位）上年末固定资产金额为</w:t>
      </w:r>
      <w:r>
        <w:rPr>
          <w:rFonts w:hint="eastAsia" w:eastAsia="方正仿宋_GBK"/>
          <w:color w:val="000000"/>
          <w:sz w:val="28"/>
          <w:lang w:val="en-US" w:eastAsia="zh-CN"/>
        </w:rPr>
        <w:t>19.51</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317中共成安县委机构编制委员会办公室</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default" w:eastAsia="方正书宋_GBK"/>
                <w:lang w:val="en-US" w:eastAsia="zh-CN"/>
              </w:rPr>
            </w:pPr>
            <w:r>
              <w:rPr>
                <w:rFonts w:hint="eastAsia"/>
                <w:lang w:val="en-US" w:eastAsia="zh-CN"/>
              </w:rPr>
              <w:t>资产总额</w:t>
            </w:r>
          </w:p>
        </w:tc>
        <w:tc>
          <w:tcPr>
            <w:tcW w:w="2835" w:type="dxa"/>
            <w:vAlign w:val="center"/>
          </w:tcPr>
          <w:p>
            <w:pPr>
              <w:pStyle w:val="15"/>
              <w:rPr>
                <w:rFonts w:hint="default" w:eastAsia="方正书宋_GBK"/>
                <w:lang w:val="en-US" w:eastAsia="zh-CN"/>
              </w:rPr>
            </w:pPr>
          </w:p>
        </w:tc>
        <w:tc>
          <w:tcPr>
            <w:tcW w:w="2835" w:type="dxa"/>
            <w:vAlign w:val="center"/>
          </w:tcPr>
          <w:p>
            <w:pPr>
              <w:pStyle w:val="13"/>
              <w:rPr>
                <w:rFonts w:hint="default" w:eastAsia="方正书宋_GBK"/>
                <w:lang w:val="en-US" w:eastAsia="zh-CN"/>
              </w:rPr>
            </w:pPr>
            <w:r>
              <w:rPr>
                <w:rFonts w:hint="eastAsia"/>
                <w:lang w:val="en-US" w:eastAsia="zh-CN"/>
              </w:rPr>
              <w:t>19.51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default" w:eastAsia="方正书宋_GBK"/>
                <w:lang w:val="en-US" w:eastAsia="zh-CN"/>
              </w:rPr>
            </w:pPr>
            <w:r>
              <w:rPr>
                <w:rFonts w:hint="eastAsia"/>
                <w:lang w:val="en-US" w:eastAsia="zh-CN"/>
              </w:rPr>
              <w:t>1.房屋（平方米）</w:t>
            </w:r>
          </w:p>
        </w:tc>
        <w:tc>
          <w:tcPr>
            <w:tcW w:w="2835" w:type="dxa"/>
            <w:vAlign w:val="center"/>
          </w:tcPr>
          <w:p>
            <w:pPr>
              <w:pStyle w:val="15"/>
              <w:rPr>
                <w:rFonts w:hint="eastAsia" w:eastAsia="方正书宋_GBK"/>
                <w:lang w:val="en-US" w:eastAsia="zh-CN"/>
              </w:rPr>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default" w:eastAsia="方正书宋_GBK"/>
                <w:lang w:val="en-US" w:eastAsia="zh-CN"/>
              </w:rPr>
            </w:pPr>
            <w:r>
              <w:rPr>
                <w:rFonts w:hint="eastAsia"/>
                <w:lang w:val="en-US" w:eastAsia="zh-CN"/>
              </w:rPr>
              <w:t xml:space="preserve">    其中：办公用房（平方米）</w:t>
            </w:r>
          </w:p>
        </w:tc>
        <w:tc>
          <w:tcPr>
            <w:tcW w:w="2835" w:type="dxa"/>
            <w:vAlign w:val="center"/>
          </w:tcPr>
          <w:p>
            <w:pPr>
              <w:pStyle w:val="15"/>
              <w:rPr>
                <w:rFonts w:hint="eastAsia" w:eastAsia="方正书宋_GBK"/>
                <w:lang w:val="en-US" w:eastAsia="zh-CN"/>
              </w:rPr>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default" w:eastAsia="方正书宋_GBK"/>
                <w:lang w:val="en-US" w:eastAsia="zh-CN"/>
              </w:rPr>
            </w:pPr>
            <w:r>
              <w:rPr>
                <w:rFonts w:hint="eastAsia"/>
                <w:lang w:val="en-US" w:eastAsia="zh-CN"/>
              </w:rPr>
              <w:t>2.车辆（台、辆）</w:t>
            </w:r>
          </w:p>
        </w:tc>
        <w:tc>
          <w:tcPr>
            <w:tcW w:w="2835" w:type="dxa"/>
            <w:vAlign w:val="center"/>
          </w:tcPr>
          <w:p>
            <w:pPr>
              <w:pStyle w:val="15"/>
              <w:rPr>
                <w:rFonts w:hint="eastAsia" w:eastAsia="方正书宋_GBK"/>
                <w:lang w:val="en-US" w:eastAsia="zh-CN"/>
              </w:rPr>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default" w:eastAsia="方正书宋_GBK"/>
                <w:lang w:val="en-US" w:eastAsia="zh-CN"/>
              </w:rPr>
            </w:pPr>
            <w:r>
              <w:rPr>
                <w:rFonts w:hint="eastAsia"/>
                <w:lang w:val="en-US" w:eastAsia="zh-CN"/>
              </w:rPr>
              <w:t>3.单价在50万元以上的设备</w:t>
            </w:r>
          </w:p>
        </w:tc>
        <w:tc>
          <w:tcPr>
            <w:tcW w:w="2835" w:type="dxa"/>
            <w:vAlign w:val="center"/>
          </w:tcPr>
          <w:p>
            <w:pPr>
              <w:pStyle w:val="15"/>
              <w:rPr>
                <w:rFonts w:hint="eastAsia" w:eastAsia="方正书宋_GBK"/>
                <w:lang w:val="en-US" w:eastAsia="zh-CN"/>
              </w:rPr>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default" w:eastAsia="方正书宋_GBK"/>
                <w:lang w:val="en-US" w:eastAsia="zh-CN"/>
              </w:rPr>
            </w:pPr>
            <w:r>
              <w:rPr>
                <w:rFonts w:hint="eastAsia"/>
                <w:lang w:val="en-US" w:eastAsia="zh-CN"/>
              </w:rPr>
              <w:t>4.其他固定资产</w:t>
            </w:r>
          </w:p>
        </w:tc>
        <w:tc>
          <w:tcPr>
            <w:tcW w:w="2835" w:type="dxa"/>
            <w:vAlign w:val="center"/>
          </w:tcPr>
          <w:p>
            <w:pPr>
              <w:pStyle w:val="15"/>
              <w:rPr>
                <w:rFonts w:hint="default" w:eastAsia="方正书宋_GBK"/>
                <w:lang w:val="en-US" w:eastAsia="zh-CN"/>
              </w:rPr>
            </w:pPr>
            <w:r>
              <w:rPr>
                <w:rFonts w:hint="eastAsia"/>
                <w:lang w:val="en-US" w:eastAsia="zh-CN"/>
              </w:rPr>
              <w:t>75</w:t>
            </w:r>
          </w:p>
        </w:tc>
        <w:tc>
          <w:tcPr>
            <w:tcW w:w="2835" w:type="dxa"/>
            <w:vAlign w:val="center"/>
          </w:tcPr>
          <w:p>
            <w:pPr>
              <w:pStyle w:val="13"/>
              <w:rPr>
                <w:rFonts w:hint="default" w:eastAsia="方正书宋_GBK"/>
                <w:lang w:val="en-US" w:eastAsia="zh-CN"/>
              </w:rPr>
            </w:pPr>
            <w:r>
              <w:rPr>
                <w:rFonts w:hint="eastAsia"/>
                <w:lang w:val="en-US" w:eastAsia="zh-CN"/>
              </w:rPr>
              <w:t>19.51</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rPr>
          <w:rFonts w:hint="eastAsia" w:ascii="仿宋" w:hAnsi="仿宋" w:eastAsia="仿宋" w:cs="仿宋"/>
        </w:rPr>
      </w:pPr>
      <w:r>
        <w:rPr>
          <w:rFonts w:hint="eastAsia" w:ascii="仿宋" w:hAnsi="仿宋" w:eastAsia="仿宋" w:cs="仿宋"/>
          <w:color w:val="000000"/>
          <w:sz w:val="28"/>
        </w:rPr>
        <w:t>我部门无其他需要说明的事项。</w:t>
      </w:r>
    </w:p>
    <w:sectPr>
      <w:pgSz w:w="16840" w:h="11900" w:orient="landscape"/>
      <w:pgMar w:top="1361" w:right="1020" w:bottom="1134" w:left="102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roman"/>
    <w:pitch w:val="default"/>
    <w:sig w:usb0="00000000" w:usb1="0000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楷体_GBK">
    <w:altName w:val="微软雅黑"/>
    <w:panose1 w:val="02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锟斤拷锟脚猴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F874C9"/>
    <w:multiLevelType w:val="singleLevel"/>
    <w:tmpl w:val="E9F874C9"/>
    <w:lvl w:ilvl="0" w:tentative="0">
      <w:start w:val="7"/>
      <w:numFmt w:val="chineseCounting"/>
      <w:suff w:val="nothing"/>
      <w:lvlText w:val="%1、"/>
      <w:lvlJc w:val="left"/>
      <w:rPr>
        <w:rFonts w:hint="eastAsia"/>
      </w:rPr>
    </w:lvl>
  </w:abstractNum>
  <w:abstractNum w:abstractNumId="1">
    <w:nsid w:val="58BCCB38"/>
    <w:multiLevelType w:val="singleLevel"/>
    <w:tmpl w:val="58BCCB3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A1BC3"/>
    <w:rsid w:val="004852F1"/>
    <w:rsid w:val="006A1BC3"/>
    <w:rsid w:val="089D0CB1"/>
    <w:rsid w:val="1C5E52B5"/>
    <w:rsid w:val="3D827EC5"/>
    <w:rsid w:val="4A02579B"/>
    <w:rsid w:val="6252593A"/>
    <w:rsid w:val="77A85ADD"/>
    <w:rsid w:val="7FDB3464"/>
    <w:rsid w:val="EF7E3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2"/>
    <w:basedOn w:val="1"/>
    <w:qFormat/>
    <w:uiPriority w:val="99"/>
    <w:pPr>
      <w:widowControl w:val="0"/>
      <w:spacing w:after="120"/>
      <w:jc w:val="both"/>
    </w:pPr>
    <w:rPr>
      <w:rFonts w:ascii="Calibri" w:hAnsi="Calibri" w:eastAsia="宋体" w:cs="Times New Roman"/>
      <w:kern w:val="2"/>
      <w:sz w:val="28"/>
      <w:szCs w:val="24"/>
      <w:lang w:val="en-US" w:eastAsia="zh-CN" w:bidi="ar-SA"/>
    </w:rPr>
  </w:style>
  <w:style w:type="paragraph" w:styleId="4">
    <w:name w:val="footer"/>
    <w:basedOn w:val="1"/>
    <w:link w:val="31"/>
    <w:semiHidden/>
    <w:unhideWhenUsed/>
    <w:qFormat/>
    <w:uiPriority w:val="99"/>
    <w:pPr>
      <w:tabs>
        <w:tab w:val="center" w:pos="4153"/>
        <w:tab w:val="right" w:pos="8306"/>
      </w:tabs>
      <w:snapToGrid w:val="0"/>
    </w:pPr>
    <w:rPr>
      <w:sz w:val="18"/>
      <w:szCs w:val="18"/>
    </w:rPr>
  </w:style>
  <w:style w:type="paragraph" w:styleId="5">
    <w:name w:val="header"/>
    <w:basedOn w:val="1"/>
    <w:link w:val="3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1"/>
    <w:basedOn w:val="1"/>
    <w:qFormat/>
    <w:uiPriority w:val="0"/>
    <w:pPr>
      <w:spacing w:before="120"/>
      <w:ind w:firstLine="560"/>
    </w:pPr>
    <w:rPr>
      <w:rFonts w:eastAsia="方正仿宋_GBK"/>
      <w:color w:val="000000"/>
      <w:sz w:val="28"/>
    </w:rPr>
  </w:style>
  <w:style w:type="character" w:customStyle="1" w:styleId="30">
    <w:name w:val="页眉 Char"/>
    <w:basedOn w:val="8"/>
    <w:link w:val="5"/>
    <w:semiHidden/>
    <w:qFormat/>
    <w:uiPriority w:val="99"/>
    <w:rPr>
      <w:rFonts w:eastAsia="Times New Roman"/>
      <w:sz w:val="18"/>
      <w:szCs w:val="18"/>
      <w:lang w:eastAsia="uk-UA"/>
    </w:rPr>
  </w:style>
  <w:style w:type="character" w:customStyle="1" w:styleId="31">
    <w:name w:val="页脚 Char"/>
    <w:basedOn w:val="8"/>
    <w:link w:val="4"/>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1291</Words>
  <Characters>7360</Characters>
  <Lines>61</Lines>
  <Paragraphs>17</Paragraphs>
  <TotalTime>84</TotalTime>
  <ScaleCrop>false</ScaleCrop>
  <LinksUpToDate>false</LinksUpToDate>
  <CharactersWithSpaces>8634</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2024-02-20T10:19:00Z</dcterms:created>
  <dc:creator>lenovo</dc:creator>
  <cp:lastModifiedBy>Administrator</cp:lastModifiedBy>
  <cp:lastPrinted>2024-03-06T15:37:00Z</cp:lastPrinted>
  <dcterms:modified xsi:type="dcterms:W3CDTF">2024-03-21T02:48:18Z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7CC94831A5B341A4A43E1071037799FB</vt:lpwstr>
  </property>
</Properties>
</file>