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bookmarkStart w:id="1" w:name="_GoBack"/>
      <w:bookmarkEnd w:id="1"/>
      <w:r>
        <w:rPr>
          <w:rFonts w:hint="eastAsia" w:ascii="黑体" w:hAnsi="黑体" w:eastAsia="黑体" w:cs="黑体"/>
          <w:b/>
          <w:sz w:val="44"/>
          <w:szCs w:val="44"/>
        </w:rPr>
        <w:t>邯郸市公安局交通巡逻警察支队成安县大队</w:t>
      </w:r>
      <w:r>
        <w:rPr>
          <w:rFonts w:hint="eastAsia" w:ascii="黑体" w:hAnsi="黑体" w:eastAsia="黑体" w:cs="黑体"/>
          <w:b/>
          <w:sz w:val="44"/>
          <w:szCs w:val="44"/>
          <w:lang w:eastAsia="zh-CN"/>
        </w:rPr>
        <w:t>所属单位</w:t>
      </w:r>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25"/>
        <w:tabs>
          <w:tab w:val="right" w:leader="dot" w:pos="14562"/>
        </w:tabs>
      </w:pPr>
      <w:r>
        <w:fldChar w:fldCharType="begin"/>
      </w:r>
      <w:r>
        <w:instrText xml:space="preserve">TOC \o "4-4" \h \z \u</w:instrText>
      </w:r>
      <w:r>
        <w:fldChar w:fldCharType="separate"/>
      </w:r>
    </w:p>
    <w:p>
      <w:r>
        <w:fldChar w:fldCharType="end"/>
      </w: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rPr>
          <w:rFonts w:hint="eastAsia"/>
          <w:lang w:eastAsia="zh-CN"/>
        </w:rPr>
        <w:fldChar w:fldCharType="end"/>
      </w:r>
    </w:p>
    <w:p>
      <w:pPr>
        <w:pStyle w:val="25"/>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rPr>
          <w:rFonts w:hint="eastAsia"/>
          <w:lang w:eastAsia="zh-CN"/>
        </w:rPr>
        <w:fldChar w:fldCharType="end"/>
      </w:r>
    </w:p>
    <w:p>
      <w:pPr>
        <w:pStyle w:val="25"/>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rPr>
          <w:rFonts w:hint="eastAsia"/>
          <w:lang w:val="en-US" w:eastAsia="zh-CN"/>
        </w:rPr>
        <w:t>5</w:t>
      </w:r>
      <w:r>
        <w:fldChar w:fldCharType="end"/>
      </w:r>
    </w:p>
    <w:p>
      <w:pPr>
        <w:pStyle w:val="25"/>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rPr>
          <w:rFonts w:hint="eastAsia"/>
          <w:lang w:val="en-US" w:eastAsia="zh-CN"/>
        </w:rPr>
        <w:t>6</w:t>
      </w:r>
      <w:r>
        <w:fldChar w:fldCharType="end"/>
      </w:r>
    </w:p>
    <w:p>
      <w:pPr>
        <w:pStyle w:val="25"/>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rPr>
          <w:rFonts w:hint="eastAsia"/>
          <w:lang w:val="en-US" w:eastAsia="zh-CN"/>
        </w:rPr>
        <w:t>9</w:t>
      </w:r>
      <w:r>
        <w:rPr>
          <w:rFonts w:hint="eastAsia"/>
          <w:lang w:eastAsia="zh-CN"/>
        </w:rPr>
        <w:fldChar w:fldCharType="end"/>
      </w:r>
    </w:p>
    <w:p>
      <w:pPr>
        <w:pStyle w:val="25"/>
        <w:tabs>
          <w:tab w:val="right" w:leader="dot" w:pos="14562"/>
        </w:tabs>
        <w:rPr>
          <w:rFonts w:hint="default"/>
          <w:lang w:val="en-US"/>
        </w:rPr>
      </w:pPr>
      <w:r>
        <w:fldChar w:fldCharType="begin"/>
      </w:r>
      <w:r>
        <w:instrText xml:space="preserve"> HYPERLINK \l "_Toc_2_2_0000000006" </w:instrText>
      </w:r>
      <w:r>
        <w:fldChar w:fldCharType="separate"/>
      </w:r>
      <w:r>
        <w:rPr>
          <w:rFonts w:hint="eastAsia"/>
        </w:rPr>
        <w:t>单位</w:t>
      </w:r>
      <w:r>
        <w:t>预算一般公共预算财政拨款基本支出表</w:t>
      </w:r>
      <w:r>
        <w:tab/>
      </w:r>
      <w:r>
        <w:rPr>
          <w:rFonts w:hint="eastAsia"/>
          <w:lang w:val="en-US" w:eastAsia="zh-CN"/>
        </w:rPr>
        <w:t>1</w:t>
      </w:r>
      <w:r>
        <w:rPr>
          <w:rFonts w:hint="eastAsia"/>
          <w:lang w:eastAsia="zh-CN"/>
        </w:rPr>
        <w:fldChar w:fldCharType="end"/>
      </w:r>
      <w:r>
        <w:rPr>
          <w:rFonts w:hint="eastAsia"/>
          <w:lang w:val="en-US" w:eastAsia="zh-CN"/>
        </w:rPr>
        <w:t>0</w:t>
      </w:r>
    </w:p>
    <w:p>
      <w:pPr>
        <w:pStyle w:val="25"/>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rPr>
          <w:rFonts w:hint="eastAsia"/>
          <w:lang w:eastAsia="zh-CN"/>
        </w:rPr>
        <w:t>1</w:t>
      </w:r>
      <w:r>
        <w:rPr>
          <w:rFonts w:hint="eastAsia"/>
          <w:lang w:val="en-US" w:eastAsia="zh-CN"/>
        </w:rPr>
        <w:t>1</w:t>
      </w:r>
      <w:r>
        <w:rPr>
          <w:rFonts w:hint="eastAsia"/>
          <w:lang w:eastAsia="zh-CN"/>
        </w:rPr>
        <w:fldChar w:fldCharType="end"/>
      </w:r>
    </w:p>
    <w:p>
      <w:pPr>
        <w:pStyle w:val="25"/>
        <w:tabs>
          <w:tab w:val="right" w:leader="dot" w:pos="14562"/>
        </w:tabs>
        <w:rPr>
          <w:rFonts w:hint="default"/>
          <w:lang w:val="en-US"/>
        </w:rPr>
      </w:pPr>
      <w:r>
        <w:fldChar w:fldCharType="begin"/>
      </w:r>
      <w:r>
        <w:instrText xml:space="preserve"> HYPERLINK \l "_Toc_2_2_0000000008" </w:instrText>
      </w:r>
      <w:r>
        <w:fldChar w:fldCharType="separate"/>
      </w:r>
      <w:r>
        <w:rPr>
          <w:rFonts w:hint="eastAsia"/>
        </w:rPr>
        <w:t>单位</w:t>
      </w:r>
      <w:r>
        <w:t>预算国有资本经营预算财政拨款支出表</w:t>
      </w:r>
      <w:r>
        <w:tab/>
      </w:r>
      <w:r>
        <w:rPr>
          <w:rFonts w:hint="eastAsia"/>
          <w:lang w:val="en-US" w:eastAsia="zh-CN"/>
        </w:rPr>
        <w:t>1</w:t>
      </w:r>
      <w:r>
        <w:rPr>
          <w:rFonts w:hint="eastAsia"/>
          <w:lang w:eastAsia="zh-CN"/>
        </w:rPr>
        <w:fldChar w:fldCharType="end"/>
      </w:r>
      <w:r>
        <w:rPr>
          <w:rFonts w:hint="eastAsia"/>
          <w:lang w:val="en-US" w:eastAsia="zh-CN"/>
        </w:rPr>
        <w:t>2</w:t>
      </w:r>
    </w:p>
    <w:p>
      <w:pPr>
        <w:pStyle w:val="2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rPr>
        <w:t>单位</w:t>
      </w:r>
      <w:r>
        <w:t>预算财政拨款“三公”经费支出表</w:t>
      </w:r>
      <w:r>
        <w:tab/>
      </w:r>
      <w:r>
        <w:rPr>
          <w:rFonts w:hint="eastAsia"/>
          <w:lang w:val="en-US" w:eastAsia="zh-CN"/>
        </w:rPr>
        <w:t>1</w:t>
      </w:r>
      <w:r>
        <w:fldChar w:fldCharType="end"/>
      </w:r>
      <w:r>
        <w:rPr>
          <w:rFonts w:hint="eastAsia"/>
          <w:lang w:val="en-US" w:eastAsia="zh-CN"/>
        </w:rPr>
        <w:t>3</w:t>
      </w:r>
    </w:p>
    <w:p>
      <w:r>
        <w:fldChar w:fldCharType="end"/>
      </w:r>
    </w:p>
    <w:p>
      <w:pPr>
        <w:rPr>
          <w:rFonts w:ascii="方正楷体_GBK" w:hAnsi="方正楷体_GBK" w:eastAsia="方正楷体_GBK" w:cs="方正楷体_GBK"/>
          <w:b/>
          <w:color w:val="000000"/>
          <w:sz w:val="28"/>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rPr>
          <w:rFonts w:ascii="方正楷体_GBK" w:hAnsi="方正楷体_GBK" w:eastAsia="方正楷体_GBK" w:cs="方正楷体_GBK"/>
          <w:b/>
          <w:color w:val="000000"/>
          <w:sz w:val="28"/>
        </w:rPr>
      </w:pPr>
    </w:p>
    <w:p>
      <w:pPr>
        <w:pStyle w:val="25"/>
        <w:tabs>
          <w:tab w:val="right" w:leader="dot" w:pos="14562"/>
        </w:tabs>
        <w:rPr>
          <w:rFonts w:hint="default"/>
          <w:lang w:val="en-US"/>
        </w:rPr>
      </w:pPr>
      <w:bookmarkStart w:id="0" w:name="_Toc_4_4_0000000001"/>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lang w:val="en-US" w:eastAsia="zh-CN"/>
        </w:rPr>
        <w:t>1</w:t>
      </w:r>
      <w:r>
        <w:rPr>
          <w:rFonts w:hint="eastAsia"/>
          <w:lang w:eastAsia="zh-CN"/>
        </w:rPr>
        <w:fldChar w:fldCharType="end"/>
      </w:r>
      <w:r>
        <w:rPr>
          <w:rFonts w:hint="eastAsia"/>
          <w:lang w:val="en-US" w:eastAsia="zh-CN"/>
        </w:rPr>
        <w:t>4</w:t>
      </w:r>
    </w:p>
    <w:p>
      <w:pPr>
        <w:pStyle w:val="25"/>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rPr>
        <w:t>单位</w:t>
      </w:r>
      <w:r>
        <w:t>预算安排的总体情况</w:t>
      </w:r>
      <w:r>
        <w:tab/>
      </w:r>
      <w:r>
        <w:rPr>
          <w:rFonts w:hint="eastAsia"/>
          <w:lang w:val="en-US" w:eastAsia="zh-CN"/>
        </w:rPr>
        <w:t>1</w:t>
      </w:r>
      <w:r>
        <w:rPr>
          <w:rFonts w:hint="eastAsia"/>
          <w:lang w:eastAsia="zh-CN"/>
        </w:rPr>
        <w:fldChar w:fldCharType="end"/>
      </w:r>
      <w:r>
        <w:rPr>
          <w:rFonts w:hint="eastAsia"/>
          <w:lang w:val="en-US" w:eastAsia="zh-CN"/>
        </w:rPr>
        <w:t>5</w:t>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val="en-US" w:eastAsia="zh-CN"/>
        </w:rPr>
        <w:t>5</w:t>
      </w:r>
      <w:r>
        <w:rPr>
          <w:rFonts w:hint="eastAsia"/>
          <w:lang w:eastAsia="zh-CN"/>
        </w:rP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val="en-US" w:eastAsia="zh-CN"/>
        </w:rPr>
        <w:t>5</w:t>
      </w:r>
      <w:r>
        <w:rPr>
          <w:rFonts w:hint="eastAsia"/>
          <w:lang w:eastAsia="zh-CN"/>
        </w:rPr>
        <w:fldChar w:fldCharType="end"/>
      </w:r>
    </w:p>
    <w:p>
      <w:pPr>
        <w:pStyle w:val="25"/>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eastAsia"/>
          <w:lang w:val="en-US" w:eastAsia="zh-CN"/>
        </w:rPr>
        <w:t>2</w:t>
      </w:r>
      <w:r>
        <w:rPr>
          <w:rFonts w:hint="eastAsia"/>
          <w:lang w:eastAsia="zh-CN"/>
        </w:rPr>
        <w:fldChar w:fldCharType="end"/>
      </w:r>
      <w:r>
        <w:rPr>
          <w:rFonts w:hint="eastAsia"/>
          <w:lang w:val="en-US" w:eastAsia="zh-CN"/>
        </w:rPr>
        <w:t>0</w:t>
      </w:r>
    </w:p>
    <w:p>
      <w:pPr>
        <w:pStyle w:val="2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val="en-US" w:eastAsia="zh-CN"/>
        </w:rPr>
        <w:t>1</w:t>
      </w:r>
      <w:r>
        <w:rPr>
          <w:rFonts w:hint="eastAsia"/>
          <w:lang w:eastAsia="zh-CN"/>
        </w:rPr>
        <w:fldChar w:fldCharType="end"/>
      </w:r>
    </w:p>
    <w:p>
      <w:pPr>
        <w:pStyle w:val="25"/>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eastAsia"/>
          <w:lang w:val="en-US" w:eastAsia="zh-CN"/>
        </w:rPr>
        <w:t>2</w:t>
      </w:r>
      <w:r>
        <w:rPr>
          <w:rFonts w:hint="eastAsia"/>
          <w:lang w:eastAsia="zh-CN"/>
        </w:rPr>
        <w:fldChar w:fldCharType="end"/>
      </w:r>
      <w:r>
        <w:rPr>
          <w:rFonts w:hint="eastAsia"/>
          <w:lang w:val="en-US" w:eastAsia="zh-CN"/>
        </w:rPr>
        <w:t>2</w:t>
      </w:r>
    </w:p>
    <w:p>
      <w:pPr>
        <w:pStyle w:val="2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val="en-US" w:eastAsia="zh-CN"/>
        </w:rPr>
        <w:t>2</w:t>
      </w:r>
      <w:r>
        <w:rPr>
          <w:rFonts w:hint="eastAsia"/>
          <w:lang w:eastAsia="zh-CN"/>
        </w:rPr>
        <w:fldChar w:fldCharType="end"/>
      </w:r>
    </w:p>
    <w:p>
      <w:pPr>
        <w:pStyle w:val="2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2</w:t>
      </w:r>
      <w:r>
        <w:rPr>
          <w:rFonts w:hint="eastAsia"/>
          <w:lang w:val="en-US" w:eastAsia="zh-CN"/>
        </w:rPr>
        <w:t>3</w:t>
      </w:r>
      <w:r>
        <w:rPr>
          <w:rFonts w:hint="eastAsia"/>
          <w:lang w:eastAsia="zh-CN"/>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一、邯郸市公安局交通巡逻警察支队成安县大队本级收支预算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417.72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368.70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417.72</w:t>
            </w:r>
          </w:p>
        </w:tc>
        <w:tc>
          <w:tcPr>
            <w:tcW w:w="4535" w:type="dxa"/>
            <w:vAlign w:val="center"/>
          </w:tcPr>
          <w:p>
            <w:pPr>
              <w:pStyle w:val="16"/>
            </w:pPr>
            <w:r>
              <w:t>本年支出合计</w:t>
            </w:r>
          </w:p>
        </w:tc>
        <w:tc>
          <w:tcPr>
            <w:tcW w:w="2126" w:type="dxa"/>
            <w:vAlign w:val="center"/>
          </w:tcPr>
          <w:p>
            <w:pPr>
              <w:pStyle w:val="17"/>
            </w:pPr>
            <w:r>
              <w:t>417.72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417.72</w:t>
            </w:r>
          </w:p>
        </w:tc>
        <w:tc>
          <w:tcPr>
            <w:tcW w:w="4535" w:type="dxa"/>
            <w:vAlign w:val="center"/>
          </w:tcPr>
          <w:p>
            <w:pPr>
              <w:pStyle w:val="16"/>
            </w:pPr>
            <w:r>
              <w:t>支出总计</w:t>
            </w:r>
          </w:p>
        </w:tc>
        <w:tc>
          <w:tcPr>
            <w:tcW w:w="2126" w:type="dxa"/>
            <w:vAlign w:val="center"/>
          </w:tcPr>
          <w:p>
            <w:pPr>
              <w:pStyle w:val="17"/>
            </w:pPr>
            <w:r>
              <w:t>417.72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417.72</w:t>
            </w:r>
          </w:p>
        </w:tc>
        <w:tc>
          <w:tcPr>
            <w:tcW w:w="1134" w:type="dxa"/>
            <w:vAlign w:val="center"/>
          </w:tcPr>
          <w:p>
            <w:pPr>
              <w:pStyle w:val="17"/>
            </w:pPr>
            <w:r>
              <w:t>417.72</w:t>
            </w:r>
          </w:p>
        </w:tc>
        <w:tc>
          <w:tcPr>
            <w:tcW w:w="1134" w:type="dxa"/>
            <w:vAlign w:val="center"/>
          </w:tcPr>
          <w:p>
            <w:pPr>
              <w:pStyle w:val="17"/>
            </w:pPr>
            <w:r>
              <w:t>417.72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368.70</w:t>
            </w:r>
          </w:p>
        </w:tc>
        <w:tc>
          <w:tcPr>
            <w:tcW w:w="1134" w:type="dxa"/>
            <w:vAlign w:val="center"/>
          </w:tcPr>
          <w:p>
            <w:pPr>
              <w:pStyle w:val="13"/>
            </w:pPr>
            <w:r>
              <w:t>368.70</w:t>
            </w:r>
          </w:p>
        </w:tc>
        <w:tc>
          <w:tcPr>
            <w:tcW w:w="1134" w:type="dxa"/>
            <w:vAlign w:val="center"/>
          </w:tcPr>
          <w:p>
            <w:pPr>
              <w:pStyle w:val="13"/>
            </w:pPr>
            <w:r>
              <w:t>368.70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368.70</w:t>
            </w:r>
          </w:p>
        </w:tc>
        <w:tc>
          <w:tcPr>
            <w:tcW w:w="1134" w:type="dxa"/>
            <w:vAlign w:val="center"/>
          </w:tcPr>
          <w:p>
            <w:pPr>
              <w:pStyle w:val="13"/>
            </w:pPr>
            <w:r>
              <w:t>368.70</w:t>
            </w:r>
          </w:p>
        </w:tc>
        <w:tc>
          <w:tcPr>
            <w:tcW w:w="1134" w:type="dxa"/>
            <w:vAlign w:val="center"/>
          </w:tcPr>
          <w:p>
            <w:pPr>
              <w:pStyle w:val="13"/>
            </w:pPr>
            <w:r>
              <w:t>368.70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pPr>
            <w:r>
              <w:t>323.70</w:t>
            </w:r>
          </w:p>
        </w:tc>
        <w:tc>
          <w:tcPr>
            <w:tcW w:w="1134" w:type="dxa"/>
            <w:vAlign w:val="center"/>
          </w:tcPr>
          <w:p>
            <w:pPr>
              <w:pStyle w:val="13"/>
            </w:pPr>
            <w:r>
              <w:t>323.70</w:t>
            </w:r>
          </w:p>
        </w:tc>
        <w:tc>
          <w:tcPr>
            <w:tcW w:w="1134" w:type="dxa"/>
            <w:vAlign w:val="center"/>
          </w:tcPr>
          <w:p>
            <w:pPr>
              <w:pStyle w:val="13"/>
            </w:pPr>
            <w:r>
              <w:t>323.70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2040220</w:t>
            </w:r>
          </w:p>
        </w:tc>
        <w:tc>
          <w:tcPr>
            <w:tcW w:w="1559" w:type="dxa"/>
            <w:vAlign w:val="center"/>
          </w:tcPr>
          <w:p>
            <w:pPr>
              <w:pStyle w:val="14"/>
            </w:pPr>
            <w:r>
              <w:t>执法办案</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24.76</w:t>
            </w:r>
          </w:p>
        </w:tc>
        <w:tc>
          <w:tcPr>
            <w:tcW w:w="1134" w:type="dxa"/>
            <w:vAlign w:val="center"/>
          </w:tcPr>
          <w:p>
            <w:pPr>
              <w:pStyle w:val="13"/>
            </w:pPr>
            <w:r>
              <w:t>24.76</w:t>
            </w:r>
          </w:p>
        </w:tc>
        <w:tc>
          <w:tcPr>
            <w:tcW w:w="1134" w:type="dxa"/>
            <w:vAlign w:val="center"/>
          </w:tcPr>
          <w:p>
            <w:pPr>
              <w:pStyle w:val="13"/>
            </w:pPr>
            <w:r>
              <w:t>24.76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24.76</w:t>
            </w:r>
          </w:p>
        </w:tc>
        <w:tc>
          <w:tcPr>
            <w:tcW w:w="1134" w:type="dxa"/>
            <w:vAlign w:val="center"/>
          </w:tcPr>
          <w:p>
            <w:pPr>
              <w:pStyle w:val="13"/>
            </w:pPr>
            <w:r>
              <w:t>24.76</w:t>
            </w:r>
          </w:p>
        </w:tc>
        <w:tc>
          <w:tcPr>
            <w:tcW w:w="1134" w:type="dxa"/>
            <w:vAlign w:val="center"/>
          </w:tcPr>
          <w:p>
            <w:pPr>
              <w:pStyle w:val="13"/>
            </w:pPr>
            <w:r>
              <w:t>24.76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24.76</w:t>
            </w:r>
          </w:p>
        </w:tc>
        <w:tc>
          <w:tcPr>
            <w:tcW w:w="1134" w:type="dxa"/>
            <w:vAlign w:val="center"/>
          </w:tcPr>
          <w:p>
            <w:pPr>
              <w:pStyle w:val="13"/>
            </w:pPr>
            <w:r>
              <w:t>24.76</w:t>
            </w:r>
          </w:p>
        </w:tc>
        <w:tc>
          <w:tcPr>
            <w:tcW w:w="1134" w:type="dxa"/>
            <w:vAlign w:val="center"/>
          </w:tcPr>
          <w:p>
            <w:pPr>
              <w:pStyle w:val="13"/>
            </w:pPr>
            <w:r>
              <w:t>24.76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11.26</w:t>
            </w:r>
          </w:p>
        </w:tc>
        <w:tc>
          <w:tcPr>
            <w:tcW w:w="1134" w:type="dxa"/>
            <w:vAlign w:val="center"/>
          </w:tcPr>
          <w:p>
            <w:pPr>
              <w:pStyle w:val="13"/>
            </w:pPr>
            <w:r>
              <w:t>11.26</w:t>
            </w:r>
          </w:p>
        </w:tc>
        <w:tc>
          <w:tcPr>
            <w:tcW w:w="1134" w:type="dxa"/>
            <w:vAlign w:val="center"/>
          </w:tcPr>
          <w:p>
            <w:pPr>
              <w:pStyle w:val="13"/>
            </w:pPr>
            <w:r>
              <w:t>11.26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11.26</w:t>
            </w:r>
          </w:p>
        </w:tc>
        <w:tc>
          <w:tcPr>
            <w:tcW w:w="1134" w:type="dxa"/>
            <w:vAlign w:val="center"/>
          </w:tcPr>
          <w:p>
            <w:pPr>
              <w:pStyle w:val="13"/>
            </w:pPr>
            <w:r>
              <w:t>11.26</w:t>
            </w:r>
          </w:p>
        </w:tc>
        <w:tc>
          <w:tcPr>
            <w:tcW w:w="1134" w:type="dxa"/>
            <w:vAlign w:val="center"/>
          </w:tcPr>
          <w:p>
            <w:pPr>
              <w:pStyle w:val="13"/>
            </w:pPr>
            <w:r>
              <w:t>11.26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11.26</w:t>
            </w:r>
          </w:p>
        </w:tc>
        <w:tc>
          <w:tcPr>
            <w:tcW w:w="1134" w:type="dxa"/>
            <w:vAlign w:val="center"/>
          </w:tcPr>
          <w:p>
            <w:pPr>
              <w:pStyle w:val="13"/>
            </w:pPr>
            <w:r>
              <w:t>11.26</w:t>
            </w:r>
          </w:p>
        </w:tc>
        <w:tc>
          <w:tcPr>
            <w:tcW w:w="1134" w:type="dxa"/>
            <w:vAlign w:val="center"/>
          </w:tcPr>
          <w:p>
            <w:pPr>
              <w:pStyle w:val="13"/>
            </w:pPr>
            <w:r>
              <w:t>11.26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r>
              <w:t>13.00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417.72</w:t>
            </w:r>
          </w:p>
        </w:tc>
        <w:tc>
          <w:tcPr>
            <w:tcW w:w="1361" w:type="dxa"/>
            <w:vAlign w:val="center"/>
          </w:tcPr>
          <w:p>
            <w:pPr>
              <w:pStyle w:val="17"/>
            </w:pPr>
            <w:r>
              <w:t>372.72</w:t>
            </w:r>
          </w:p>
        </w:tc>
        <w:tc>
          <w:tcPr>
            <w:tcW w:w="1361" w:type="dxa"/>
            <w:vAlign w:val="center"/>
          </w:tcPr>
          <w:p>
            <w:pPr>
              <w:pStyle w:val="17"/>
            </w:pPr>
            <w:r>
              <w:t>45.00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368.70</w:t>
            </w:r>
          </w:p>
        </w:tc>
        <w:tc>
          <w:tcPr>
            <w:tcW w:w="1361" w:type="dxa"/>
            <w:vAlign w:val="center"/>
          </w:tcPr>
          <w:p>
            <w:pPr>
              <w:pStyle w:val="13"/>
            </w:pPr>
            <w:r>
              <w:t>323.70</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368.70</w:t>
            </w:r>
          </w:p>
        </w:tc>
        <w:tc>
          <w:tcPr>
            <w:tcW w:w="1361" w:type="dxa"/>
            <w:vAlign w:val="center"/>
          </w:tcPr>
          <w:p>
            <w:pPr>
              <w:pStyle w:val="13"/>
            </w:pPr>
            <w:r>
              <w:t>323.70</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5" w:type="dxa"/>
            <w:vAlign w:val="center"/>
          </w:tcPr>
          <w:p>
            <w:pPr>
              <w:pStyle w:val="14"/>
            </w:pPr>
            <w:r>
              <w:t>行政运行</w:t>
            </w:r>
          </w:p>
        </w:tc>
        <w:tc>
          <w:tcPr>
            <w:tcW w:w="1361" w:type="dxa"/>
            <w:vAlign w:val="center"/>
          </w:tcPr>
          <w:p>
            <w:pPr>
              <w:pStyle w:val="13"/>
            </w:pPr>
            <w:r>
              <w:t>323.70</w:t>
            </w:r>
          </w:p>
        </w:tc>
        <w:tc>
          <w:tcPr>
            <w:tcW w:w="1361" w:type="dxa"/>
            <w:vAlign w:val="center"/>
          </w:tcPr>
          <w:p>
            <w:pPr>
              <w:pStyle w:val="13"/>
            </w:pPr>
            <w:r>
              <w:t>323.70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2040220</w:t>
            </w:r>
          </w:p>
        </w:tc>
        <w:tc>
          <w:tcPr>
            <w:tcW w:w="4535" w:type="dxa"/>
            <w:vAlign w:val="center"/>
          </w:tcPr>
          <w:p>
            <w:pPr>
              <w:pStyle w:val="14"/>
            </w:pPr>
            <w:r>
              <w:t>执法办案</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24.76</w:t>
            </w:r>
          </w:p>
        </w:tc>
        <w:tc>
          <w:tcPr>
            <w:tcW w:w="1361" w:type="dxa"/>
            <w:vAlign w:val="center"/>
          </w:tcPr>
          <w:p>
            <w:pPr>
              <w:pStyle w:val="13"/>
            </w:pPr>
            <w:r>
              <w:t>24.76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24.76</w:t>
            </w:r>
          </w:p>
        </w:tc>
        <w:tc>
          <w:tcPr>
            <w:tcW w:w="1361" w:type="dxa"/>
            <w:vAlign w:val="center"/>
          </w:tcPr>
          <w:p>
            <w:pPr>
              <w:pStyle w:val="13"/>
            </w:pPr>
            <w:r>
              <w:t>24.76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24.76</w:t>
            </w:r>
          </w:p>
        </w:tc>
        <w:tc>
          <w:tcPr>
            <w:tcW w:w="1361" w:type="dxa"/>
            <w:vAlign w:val="center"/>
          </w:tcPr>
          <w:p>
            <w:pPr>
              <w:pStyle w:val="13"/>
            </w:pPr>
            <w:r>
              <w:t>24.76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11.26</w:t>
            </w:r>
          </w:p>
        </w:tc>
        <w:tc>
          <w:tcPr>
            <w:tcW w:w="1361" w:type="dxa"/>
            <w:vAlign w:val="center"/>
          </w:tcPr>
          <w:p>
            <w:pPr>
              <w:pStyle w:val="13"/>
            </w:pPr>
            <w:r>
              <w:t>11.26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11.26</w:t>
            </w:r>
          </w:p>
        </w:tc>
        <w:tc>
          <w:tcPr>
            <w:tcW w:w="1361" w:type="dxa"/>
            <w:vAlign w:val="center"/>
          </w:tcPr>
          <w:p>
            <w:pPr>
              <w:pStyle w:val="13"/>
            </w:pPr>
            <w:r>
              <w:t>11.26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11.26</w:t>
            </w:r>
          </w:p>
        </w:tc>
        <w:tc>
          <w:tcPr>
            <w:tcW w:w="1361" w:type="dxa"/>
            <w:vAlign w:val="center"/>
          </w:tcPr>
          <w:p>
            <w:pPr>
              <w:pStyle w:val="13"/>
            </w:pPr>
            <w:r>
              <w:t>11.26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13.00</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13.00</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13.00</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lang w:val="en-US" w:eastAsia="zh-CN"/>
              </w:rPr>
              <w:t xml:space="preserve">   </w:t>
            </w: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417.72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368.70</w:t>
            </w:r>
          </w:p>
        </w:tc>
        <w:tc>
          <w:tcPr>
            <w:tcW w:w="1474" w:type="dxa"/>
            <w:vAlign w:val="center"/>
          </w:tcPr>
          <w:p>
            <w:pPr>
              <w:pStyle w:val="13"/>
            </w:pPr>
            <w:r>
              <w:t>368.70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24.76</w:t>
            </w:r>
          </w:p>
        </w:tc>
        <w:tc>
          <w:tcPr>
            <w:tcW w:w="1474" w:type="dxa"/>
            <w:vAlign w:val="center"/>
          </w:tcPr>
          <w:p>
            <w:pPr>
              <w:pStyle w:val="13"/>
            </w:pPr>
            <w:r>
              <w:t>24.76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11.26</w:t>
            </w:r>
          </w:p>
        </w:tc>
        <w:tc>
          <w:tcPr>
            <w:tcW w:w="1474" w:type="dxa"/>
            <w:vAlign w:val="center"/>
          </w:tcPr>
          <w:p>
            <w:pPr>
              <w:pStyle w:val="13"/>
            </w:pPr>
            <w:r>
              <w:t>11.26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13.00</w:t>
            </w:r>
          </w:p>
        </w:tc>
        <w:tc>
          <w:tcPr>
            <w:tcW w:w="1474" w:type="dxa"/>
            <w:vAlign w:val="center"/>
          </w:tcPr>
          <w:p>
            <w:pPr>
              <w:pStyle w:val="13"/>
            </w:pPr>
            <w:r>
              <w:t>13.00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417.72</w:t>
            </w:r>
          </w:p>
        </w:tc>
        <w:tc>
          <w:tcPr>
            <w:tcW w:w="3402" w:type="dxa"/>
            <w:vAlign w:val="center"/>
          </w:tcPr>
          <w:p>
            <w:pPr>
              <w:pStyle w:val="16"/>
            </w:pPr>
            <w:r>
              <w:t>本年支出合计</w:t>
            </w:r>
          </w:p>
        </w:tc>
        <w:tc>
          <w:tcPr>
            <w:tcW w:w="1474" w:type="dxa"/>
            <w:vAlign w:val="center"/>
          </w:tcPr>
          <w:p>
            <w:pPr>
              <w:pStyle w:val="17"/>
            </w:pPr>
            <w:r>
              <w:t>417.72</w:t>
            </w:r>
          </w:p>
        </w:tc>
        <w:tc>
          <w:tcPr>
            <w:tcW w:w="1474" w:type="dxa"/>
            <w:vAlign w:val="center"/>
          </w:tcPr>
          <w:p>
            <w:pPr>
              <w:pStyle w:val="17"/>
            </w:pPr>
            <w:r>
              <w:t>417.72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rPr>
                <w:rFonts w:hint="eastAsia" w:eastAsia="方正书宋_GBK"/>
                <w:lang w:val="en-US" w:eastAsia="zh-CN"/>
              </w:rPr>
            </w:pPr>
            <w:r>
              <w:rPr>
                <w:rFonts w:hint="eastAsia"/>
                <w:lang w:val="en-US" w:eastAsia="zh-CN"/>
              </w:rPr>
              <w:t xml:space="preserve"> </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417.72</w:t>
            </w:r>
          </w:p>
        </w:tc>
        <w:tc>
          <w:tcPr>
            <w:tcW w:w="3402" w:type="dxa"/>
            <w:vAlign w:val="center"/>
          </w:tcPr>
          <w:p>
            <w:pPr>
              <w:pStyle w:val="16"/>
            </w:pPr>
            <w:r>
              <w:t>支出总计</w:t>
            </w:r>
          </w:p>
        </w:tc>
        <w:tc>
          <w:tcPr>
            <w:tcW w:w="1474" w:type="dxa"/>
            <w:vAlign w:val="center"/>
          </w:tcPr>
          <w:p>
            <w:pPr>
              <w:pStyle w:val="17"/>
            </w:pPr>
            <w:r>
              <w:t>417.72</w:t>
            </w:r>
          </w:p>
        </w:tc>
        <w:tc>
          <w:tcPr>
            <w:tcW w:w="1474" w:type="dxa"/>
            <w:vAlign w:val="center"/>
          </w:tcPr>
          <w:p>
            <w:pPr>
              <w:pStyle w:val="17"/>
            </w:pPr>
            <w:r>
              <w:t>417.72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417.72</w:t>
            </w:r>
          </w:p>
        </w:tc>
        <w:tc>
          <w:tcPr>
            <w:tcW w:w="2551" w:type="dxa"/>
            <w:vAlign w:val="center"/>
          </w:tcPr>
          <w:p>
            <w:pPr>
              <w:pStyle w:val="17"/>
            </w:pPr>
            <w:r>
              <w:t>372.72</w:t>
            </w:r>
          </w:p>
        </w:tc>
        <w:tc>
          <w:tcPr>
            <w:tcW w:w="2551" w:type="dxa"/>
            <w:vAlign w:val="center"/>
          </w:tcPr>
          <w:p>
            <w:pPr>
              <w:pStyle w:val="17"/>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368.70</w:t>
            </w:r>
          </w:p>
        </w:tc>
        <w:tc>
          <w:tcPr>
            <w:tcW w:w="2551" w:type="dxa"/>
            <w:vAlign w:val="center"/>
          </w:tcPr>
          <w:p>
            <w:pPr>
              <w:pStyle w:val="13"/>
            </w:pPr>
            <w:r>
              <w:t>323.70</w:t>
            </w: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368.70</w:t>
            </w:r>
          </w:p>
        </w:tc>
        <w:tc>
          <w:tcPr>
            <w:tcW w:w="2551" w:type="dxa"/>
            <w:vAlign w:val="center"/>
          </w:tcPr>
          <w:p>
            <w:pPr>
              <w:pStyle w:val="13"/>
            </w:pPr>
            <w:r>
              <w:t>323.70</w:t>
            </w: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pPr>
            <w:r>
              <w:t>323.70</w:t>
            </w:r>
          </w:p>
        </w:tc>
        <w:tc>
          <w:tcPr>
            <w:tcW w:w="2551" w:type="dxa"/>
            <w:vAlign w:val="center"/>
          </w:tcPr>
          <w:p>
            <w:pPr>
              <w:pStyle w:val="13"/>
            </w:pPr>
            <w:r>
              <w:t>323.70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2040220</w:t>
            </w:r>
          </w:p>
        </w:tc>
        <w:tc>
          <w:tcPr>
            <w:tcW w:w="4535" w:type="dxa"/>
            <w:vAlign w:val="center"/>
          </w:tcPr>
          <w:p>
            <w:pPr>
              <w:pStyle w:val="14"/>
            </w:pPr>
            <w:r>
              <w:t>执法办案</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24.76</w:t>
            </w:r>
          </w:p>
        </w:tc>
        <w:tc>
          <w:tcPr>
            <w:tcW w:w="2551" w:type="dxa"/>
            <w:vAlign w:val="center"/>
          </w:tcPr>
          <w:p>
            <w:pPr>
              <w:pStyle w:val="13"/>
            </w:pPr>
            <w:r>
              <w:t>24.76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24.76</w:t>
            </w:r>
          </w:p>
        </w:tc>
        <w:tc>
          <w:tcPr>
            <w:tcW w:w="2551" w:type="dxa"/>
            <w:vAlign w:val="center"/>
          </w:tcPr>
          <w:p>
            <w:pPr>
              <w:pStyle w:val="13"/>
            </w:pPr>
            <w:r>
              <w:t>24.76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24.76</w:t>
            </w:r>
          </w:p>
        </w:tc>
        <w:tc>
          <w:tcPr>
            <w:tcW w:w="2551" w:type="dxa"/>
            <w:vAlign w:val="center"/>
          </w:tcPr>
          <w:p>
            <w:pPr>
              <w:pStyle w:val="13"/>
            </w:pPr>
            <w:r>
              <w:t>24.76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11.26</w:t>
            </w:r>
          </w:p>
        </w:tc>
        <w:tc>
          <w:tcPr>
            <w:tcW w:w="2551" w:type="dxa"/>
            <w:vAlign w:val="center"/>
          </w:tcPr>
          <w:p>
            <w:pPr>
              <w:pStyle w:val="13"/>
            </w:pPr>
            <w:r>
              <w:t>11.26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11.26</w:t>
            </w:r>
          </w:p>
        </w:tc>
        <w:tc>
          <w:tcPr>
            <w:tcW w:w="2551" w:type="dxa"/>
            <w:vAlign w:val="center"/>
          </w:tcPr>
          <w:p>
            <w:pPr>
              <w:pStyle w:val="13"/>
            </w:pPr>
            <w:r>
              <w:t>11.26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11.26</w:t>
            </w:r>
          </w:p>
        </w:tc>
        <w:tc>
          <w:tcPr>
            <w:tcW w:w="2551" w:type="dxa"/>
            <w:vAlign w:val="center"/>
          </w:tcPr>
          <w:p>
            <w:pPr>
              <w:pStyle w:val="13"/>
            </w:pPr>
            <w:r>
              <w:t>11.26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372.72</w:t>
            </w:r>
          </w:p>
        </w:tc>
        <w:tc>
          <w:tcPr>
            <w:tcW w:w="2551" w:type="dxa"/>
            <w:vAlign w:val="center"/>
          </w:tcPr>
          <w:p>
            <w:pPr>
              <w:pStyle w:val="17"/>
            </w:pPr>
            <w:r>
              <w:t>372.72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372.72</w:t>
            </w:r>
          </w:p>
        </w:tc>
        <w:tc>
          <w:tcPr>
            <w:tcW w:w="2551" w:type="dxa"/>
            <w:vAlign w:val="center"/>
          </w:tcPr>
          <w:p>
            <w:pPr>
              <w:pStyle w:val="13"/>
            </w:pPr>
            <w:r>
              <w:t>372.72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298.85</w:t>
            </w:r>
          </w:p>
        </w:tc>
        <w:tc>
          <w:tcPr>
            <w:tcW w:w="2551" w:type="dxa"/>
            <w:vAlign w:val="center"/>
          </w:tcPr>
          <w:p>
            <w:pPr>
              <w:pStyle w:val="13"/>
            </w:pPr>
            <w:r>
              <w:t>298.85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15.40</w:t>
            </w:r>
          </w:p>
        </w:tc>
        <w:tc>
          <w:tcPr>
            <w:tcW w:w="2551" w:type="dxa"/>
            <w:vAlign w:val="center"/>
          </w:tcPr>
          <w:p>
            <w:pPr>
              <w:pStyle w:val="13"/>
            </w:pPr>
            <w:r>
              <w:t>15.40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1.12</w:t>
            </w:r>
          </w:p>
        </w:tc>
        <w:tc>
          <w:tcPr>
            <w:tcW w:w="2551" w:type="dxa"/>
            <w:vAlign w:val="center"/>
          </w:tcPr>
          <w:p>
            <w:pPr>
              <w:pStyle w:val="13"/>
            </w:pPr>
            <w:r>
              <w:t>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8.33</w:t>
            </w:r>
          </w:p>
        </w:tc>
        <w:tc>
          <w:tcPr>
            <w:tcW w:w="2551" w:type="dxa"/>
            <w:vAlign w:val="center"/>
          </w:tcPr>
          <w:p>
            <w:pPr>
              <w:pStyle w:val="13"/>
            </w:pPr>
            <w:r>
              <w:t>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24.76</w:t>
            </w:r>
          </w:p>
        </w:tc>
        <w:tc>
          <w:tcPr>
            <w:tcW w:w="2551" w:type="dxa"/>
            <w:vAlign w:val="center"/>
          </w:tcPr>
          <w:p>
            <w:pPr>
              <w:pStyle w:val="13"/>
            </w:pPr>
            <w:r>
              <w:t>24.76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10.82</w:t>
            </w:r>
          </w:p>
        </w:tc>
        <w:tc>
          <w:tcPr>
            <w:tcW w:w="2551" w:type="dxa"/>
            <w:vAlign w:val="center"/>
          </w:tcPr>
          <w:p>
            <w:pPr>
              <w:pStyle w:val="13"/>
            </w:pPr>
            <w:r>
              <w:t>10.82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0.43</w:t>
            </w:r>
          </w:p>
        </w:tc>
        <w:tc>
          <w:tcPr>
            <w:tcW w:w="2551" w:type="dxa"/>
            <w:vAlign w:val="center"/>
          </w:tcPr>
          <w:p>
            <w:pPr>
              <w:pStyle w:val="13"/>
            </w:pPr>
            <w:r>
              <w:t>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13.00</w:t>
            </w:r>
          </w:p>
        </w:tc>
        <w:tc>
          <w:tcPr>
            <w:tcW w:w="2551" w:type="dxa"/>
            <w:vAlign w:val="center"/>
          </w:tcPr>
          <w:p>
            <w:pPr>
              <w:pStyle w:val="13"/>
            </w:pPr>
            <w:r>
              <w:t>13.00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451邯郸市公安局交通巡逻警察支队成安县大队</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1</w:t>
            </w:r>
          </w:p>
        </w:tc>
        <w:tc>
          <w:tcPr>
            <w:tcW w:w="3798" w:type="dxa"/>
            <w:vAlign w:val="center"/>
          </w:tcPr>
          <w:p>
            <w:pPr>
              <w:pStyle w:val="16"/>
              <w:rPr>
                <w:rFonts w:ascii="方正书宋_GBK" w:hAnsi="方正书宋_GBK" w:eastAsia="方正书宋_GBK" w:cs="方正书宋_GBK"/>
                <w:b/>
                <w:sz w:val="21"/>
                <w:szCs w:val="24"/>
                <w:lang w:val="en-US" w:eastAsia="uk-UA" w:bidi="ar-SA"/>
              </w:rPr>
            </w:pPr>
            <w:r>
              <w:t>合计</w:t>
            </w:r>
          </w:p>
        </w:tc>
        <w:tc>
          <w:tcPr>
            <w:tcW w:w="2382" w:type="dxa"/>
            <w:vAlign w:val="center"/>
          </w:tcPr>
          <w:p>
            <w:pPr>
              <w:pStyle w:val="17"/>
              <w:rPr>
                <w:rFonts w:ascii="方正书宋_GBK" w:hAnsi="方正书宋_GBK" w:eastAsia="方正书宋_GBK" w:cs="方正书宋_GBK"/>
                <w:b w:val="0"/>
                <w:sz w:val="21"/>
                <w:szCs w:val="24"/>
                <w:lang w:val="en-US" w:eastAsia="zh-CN" w:bidi="ar-SA"/>
              </w:rPr>
            </w:pPr>
            <w:r>
              <w:rPr>
                <w:rFonts w:hint="eastAsia"/>
                <w:b w:val="0"/>
                <w:lang w:val="en-US" w:eastAsia="zh-CN"/>
              </w:rPr>
              <w:t>9</w:t>
            </w:r>
          </w:p>
        </w:tc>
        <w:tc>
          <w:tcPr>
            <w:tcW w:w="2381" w:type="dxa"/>
            <w:vAlign w:val="center"/>
          </w:tcPr>
          <w:p>
            <w:pPr>
              <w:pStyle w:val="17"/>
              <w:rPr>
                <w:rFonts w:ascii="方正书宋_GBK" w:hAnsi="方正书宋_GBK" w:eastAsia="方正书宋_GBK" w:cs="方正书宋_GBK"/>
                <w:b w:val="0"/>
                <w:sz w:val="21"/>
                <w:szCs w:val="24"/>
                <w:lang w:val="en-US" w:eastAsia="zh-CN" w:bidi="ar-SA"/>
              </w:rPr>
            </w:pPr>
            <w:r>
              <w:rPr>
                <w:rFonts w:hint="eastAsia"/>
                <w:b w:val="0"/>
                <w:lang w:eastAsia="zh-CN"/>
              </w:rPr>
              <w:t>9</w:t>
            </w:r>
          </w:p>
        </w:tc>
        <w:tc>
          <w:tcPr>
            <w:tcW w:w="2381" w:type="dxa"/>
            <w:vAlign w:val="center"/>
          </w:tcPr>
          <w:p>
            <w:pPr>
              <w:pStyle w:val="17"/>
              <w:rPr>
                <w:rFonts w:ascii="方正书宋_GBK" w:hAnsi="方正书宋_GBK" w:eastAsia="方正书宋_GBK" w:cs="方正书宋_GBK"/>
                <w:b w:val="0"/>
                <w:sz w:val="21"/>
                <w:szCs w:val="24"/>
                <w:lang w:val="en-US" w:eastAsia="uk-UA" w:bidi="ar-SA"/>
              </w:rPr>
            </w:pPr>
          </w:p>
        </w:tc>
        <w:tc>
          <w:tcPr>
            <w:tcW w:w="2381" w:type="dxa"/>
            <w:vAlign w:val="center"/>
          </w:tcPr>
          <w:p>
            <w:pPr>
              <w:pStyle w:val="17"/>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2</w:t>
            </w:r>
          </w:p>
        </w:tc>
        <w:tc>
          <w:tcPr>
            <w:tcW w:w="3798" w:type="dxa"/>
            <w:vAlign w:val="center"/>
          </w:tcPr>
          <w:p>
            <w:pPr>
              <w:pStyle w:val="14"/>
              <w:rPr>
                <w:rFonts w:ascii="方正书宋_GBK" w:hAnsi="方正书宋_GBK" w:eastAsia="方正书宋_GBK" w:cs="方正书宋_GBK"/>
                <w:sz w:val="21"/>
                <w:szCs w:val="24"/>
                <w:lang w:val="en-US" w:eastAsia="uk-UA" w:bidi="ar-SA"/>
              </w:rPr>
            </w:pPr>
            <w:r>
              <w:t>“三公”经费小计</w:t>
            </w:r>
          </w:p>
        </w:tc>
        <w:tc>
          <w:tcPr>
            <w:tcW w:w="2382" w:type="dxa"/>
            <w:vAlign w:val="center"/>
          </w:tcPr>
          <w:p>
            <w:pPr>
              <w:pStyle w:val="13"/>
              <w:rPr>
                <w:rFonts w:ascii="方正书宋_GBK" w:hAnsi="方正书宋_GBK" w:eastAsia="方正书宋_GBK" w:cs="方正书宋_GBK"/>
                <w:sz w:val="21"/>
                <w:szCs w:val="24"/>
                <w:lang w:val="en-US" w:eastAsia="zh-CN" w:bidi="ar-SA"/>
              </w:rPr>
            </w:pPr>
            <w:r>
              <w:rPr>
                <w:rFonts w:hint="eastAsia"/>
                <w:lang w:eastAsia="zh-CN"/>
              </w:rPr>
              <w:t>9</w:t>
            </w:r>
          </w:p>
        </w:tc>
        <w:tc>
          <w:tcPr>
            <w:tcW w:w="2381" w:type="dxa"/>
            <w:vAlign w:val="center"/>
          </w:tcPr>
          <w:p>
            <w:pPr>
              <w:pStyle w:val="13"/>
              <w:rPr>
                <w:rFonts w:ascii="方正书宋_GBK" w:hAnsi="方正书宋_GBK" w:eastAsia="方正书宋_GBK" w:cs="方正书宋_GBK"/>
                <w:sz w:val="21"/>
                <w:szCs w:val="24"/>
                <w:lang w:val="en-US" w:eastAsia="zh-CN" w:bidi="ar-SA"/>
              </w:rPr>
            </w:pPr>
            <w:r>
              <w:rPr>
                <w:rFonts w:hint="eastAsia"/>
                <w:lang w:val="en-US" w:eastAsia="zh-CN"/>
              </w:rPr>
              <w:t>9</w:t>
            </w: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3</w:t>
            </w:r>
          </w:p>
        </w:tc>
        <w:tc>
          <w:tcPr>
            <w:tcW w:w="3798" w:type="dxa"/>
            <w:vAlign w:val="center"/>
          </w:tcPr>
          <w:p>
            <w:pPr>
              <w:pStyle w:val="14"/>
              <w:rPr>
                <w:rFonts w:ascii="方正书宋_GBK" w:hAnsi="方正书宋_GBK" w:eastAsia="方正书宋_GBK" w:cs="方正书宋_GBK"/>
                <w:sz w:val="21"/>
                <w:szCs w:val="24"/>
                <w:lang w:val="en-US" w:eastAsia="uk-UA" w:bidi="ar-SA"/>
              </w:rPr>
            </w:pPr>
            <w:r>
              <w:t>一、因公出国（境）费</w:t>
            </w:r>
          </w:p>
        </w:tc>
        <w:tc>
          <w:tcPr>
            <w:tcW w:w="2382"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4</w:t>
            </w:r>
          </w:p>
        </w:tc>
        <w:tc>
          <w:tcPr>
            <w:tcW w:w="3798" w:type="dxa"/>
            <w:vAlign w:val="center"/>
          </w:tcPr>
          <w:p>
            <w:pPr>
              <w:pStyle w:val="14"/>
              <w:rPr>
                <w:rFonts w:ascii="方正书宋_GBK" w:hAnsi="方正书宋_GBK" w:eastAsia="方正书宋_GBK" w:cs="方正书宋_GBK"/>
                <w:sz w:val="21"/>
                <w:szCs w:val="24"/>
                <w:lang w:val="en-US" w:eastAsia="uk-UA" w:bidi="ar-SA"/>
              </w:rPr>
            </w:pPr>
            <w:r>
              <w:t xml:space="preserve">    其中：教学科研人员因公出国（境）费</w:t>
            </w:r>
          </w:p>
        </w:tc>
        <w:tc>
          <w:tcPr>
            <w:tcW w:w="2382"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5</w:t>
            </w:r>
          </w:p>
        </w:tc>
        <w:tc>
          <w:tcPr>
            <w:tcW w:w="3798" w:type="dxa"/>
            <w:vAlign w:val="center"/>
          </w:tcPr>
          <w:p>
            <w:pPr>
              <w:pStyle w:val="14"/>
              <w:rPr>
                <w:rFonts w:ascii="方正书宋_GBK" w:hAnsi="方正书宋_GBK" w:eastAsia="方正书宋_GBK" w:cs="方正书宋_GBK"/>
                <w:sz w:val="21"/>
                <w:szCs w:val="24"/>
                <w:lang w:val="en-US" w:eastAsia="uk-UA" w:bidi="ar-SA"/>
              </w:rPr>
            </w:pPr>
            <w:r>
              <w:t xml:space="preserve">          其他因公出国（境）费</w:t>
            </w:r>
          </w:p>
        </w:tc>
        <w:tc>
          <w:tcPr>
            <w:tcW w:w="2382"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6</w:t>
            </w:r>
          </w:p>
        </w:tc>
        <w:tc>
          <w:tcPr>
            <w:tcW w:w="3798" w:type="dxa"/>
            <w:vAlign w:val="center"/>
          </w:tcPr>
          <w:p>
            <w:pPr>
              <w:pStyle w:val="14"/>
              <w:rPr>
                <w:rFonts w:ascii="方正书宋_GBK" w:hAnsi="方正书宋_GBK" w:eastAsia="方正书宋_GBK" w:cs="方正书宋_GBK"/>
                <w:sz w:val="21"/>
                <w:szCs w:val="24"/>
                <w:lang w:val="en-US" w:eastAsia="uk-UA" w:bidi="ar-SA"/>
              </w:rPr>
            </w:pPr>
            <w:r>
              <w:t>二、公务用车购置及运维费</w:t>
            </w:r>
          </w:p>
        </w:tc>
        <w:tc>
          <w:tcPr>
            <w:tcW w:w="2382"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7</w:t>
            </w:r>
          </w:p>
        </w:tc>
        <w:tc>
          <w:tcPr>
            <w:tcW w:w="3798" w:type="dxa"/>
            <w:vAlign w:val="center"/>
          </w:tcPr>
          <w:p>
            <w:pPr>
              <w:pStyle w:val="14"/>
              <w:rPr>
                <w:rFonts w:ascii="方正书宋_GBK" w:hAnsi="方正书宋_GBK" w:eastAsia="方正书宋_GBK" w:cs="方正书宋_GBK"/>
                <w:sz w:val="21"/>
                <w:szCs w:val="24"/>
                <w:lang w:val="en-US" w:eastAsia="uk-UA" w:bidi="ar-SA"/>
              </w:rPr>
            </w:pPr>
            <w:r>
              <w:t xml:space="preserve">    其中：公务用车购置费</w:t>
            </w:r>
          </w:p>
        </w:tc>
        <w:tc>
          <w:tcPr>
            <w:tcW w:w="2382"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8</w:t>
            </w:r>
          </w:p>
        </w:tc>
        <w:tc>
          <w:tcPr>
            <w:tcW w:w="3798" w:type="dxa"/>
            <w:vAlign w:val="center"/>
          </w:tcPr>
          <w:p>
            <w:pPr>
              <w:pStyle w:val="14"/>
              <w:rPr>
                <w:rFonts w:ascii="方正书宋_GBK" w:hAnsi="方正书宋_GBK" w:eastAsia="方正书宋_GBK" w:cs="方正书宋_GBK"/>
                <w:sz w:val="21"/>
                <w:szCs w:val="24"/>
                <w:lang w:val="en-US" w:eastAsia="uk-UA" w:bidi="ar-SA"/>
              </w:rPr>
            </w:pPr>
            <w:r>
              <w:t xml:space="preserve">          公务用车运行维护费</w:t>
            </w:r>
          </w:p>
        </w:tc>
        <w:tc>
          <w:tcPr>
            <w:tcW w:w="2382" w:type="dxa"/>
            <w:vAlign w:val="center"/>
          </w:tcPr>
          <w:p>
            <w:pPr>
              <w:pStyle w:val="13"/>
              <w:rPr>
                <w:rFonts w:ascii="方正书宋_GBK" w:hAnsi="方正书宋_GBK" w:eastAsia="方正书宋_GBK" w:cs="方正书宋_GBK"/>
                <w:sz w:val="21"/>
                <w:szCs w:val="24"/>
                <w:lang w:val="en-US" w:eastAsia="uk-UA" w:bidi="ar-SA"/>
              </w:rPr>
            </w:pPr>
            <w:r>
              <w:t>9</w:t>
            </w:r>
          </w:p>
        </w:tc>
        <w:tc>
          <w:tcPr>
            <w:tcW w:w="2381" w:type="dxa"/>
            <w:vAlign w:val="center"/>
          </w:tcPr>
          <w:p>
            <w:pPr>
              <w:pStyle w:val="13"/>
              <w:rPr>
                <w:rFonts w:ascii="方正书宋_GBK" w:hAnsi="方正书宋_GBK" w:eastAsia="方正书宋_GBK" w:cs="方正书宋_GBK"/>
                <w:sz w:val="21"/>
                <w:szCs w:val="24"/>
                <w:lang w:val="en-US" w:eastAsia="uk-UA" w:bidi="ar-SA"/>
              </w:rPr>
            </w:pPr>
            <w:r>
              <w:t>9</w:t>
            </w: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sz w:val="21"/>
                <w:szCs w:val="24"/>
                <w:lang w:val="en-US" w:eastAsia="uk-UA" w:bidi="ar-SA"/>
              </w:rPr>
            </w:pPr>
            <w:r>
              <w:t>9</w:t>
            </w:r>
          </w:p>
        </w:tc>
        <w:tc>
          <w:tcPr>
            <w:tcW w:w="3798" w:type="dxa"/>
            <w:vAlign w:val="center"/>
          </w:tcPr>
          <w:p>
            <w:pPr>
              <w:pStyle w:val="14"/>
              <w:rPr>
                <w:rFonts w:ascii="方正书宋_GBK" w:hAnsi="方正书宋_GBK" w:eastAsia="方正书宋_GBK" w:cs="方正书宋_GBK"/>
                <w:sz w:val="21"/>
                <w:szCs w:val="24"/>
                <w:lang w:val="en-US" w:eastAsia="uk-UA" w:bidi="ar-SA"/>
              </w:rPr>
            </w:pPr>
            <w:r>
              <w:t>三、公务接待费</w:t>
            </w:r>
          </w:p>
        </w:tc>
        <w:tc>
          <w:tcPr>
            <w:tcW w:w="2382"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c>
          <w:tcPr>
            <w:tcW w:w="2381" w:type="dxa"/>
            <w:vAlign w:val="center"/>
          </w:tcPr>
          <w:p>
            <w:pPr>
              <w:pStyle w:val="13"/>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邯郸市公安局交通巡逻警察支队成安县大队本级2024年单位预算信息公开情况说明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按照《中华人民共和国预算法》、《地方预决算公开操作规程》和《关于进一步推进预算公开工作的实施意见》规定，现将邯郸市公安局交通巡逻警察支队成安县大队本级2024年单位预算公开如下：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（一）负责全县道路交通安全管理、交通秩序维护和道路交通事故处理；</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（二）负责全县车辆和驾驶人的业务管理工作；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（三）负责城市交通安全设施的制作、安装和标线的施划工作；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（四）负责指挥协调全县道路交通安全管理和公路交通巡逻工作；</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（五）负责全县“网格化”巡逻防控工作的整体谋划、协调推进、业务指导和考评考核；</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（六）负责辖区“网格化”巡区的值守,包括巡区范围内交通安全管理、警情先期处置、接受群众报警求助、参与处置突发紧急事件和抢险救援、管辖案件的办理；</w:t>
      </w:r>
    </w:p>
    <w:p>
      <w:pPr>
        <w:ind w:firstLine="560" w:firstLineChars="200"/>
        <w:rPr>
          <w:rFonts w:ascii="方正仿宋_GBK" w:hAnsi="Calibri" w:eastAsia="方正仿宋_GBK" w:cs="宋体"/>
          <w:color w:val="000000"/>
          <w:sz w:val="28"/>
          <w:szCs w:val="28"/>
          <w:lang w:eastAsia="zh-CN"/>
        </w:rPr>
      </w:pPr>
      <w:r>
        <w:rPr>
          <w:rFonts w:hint="eastAsia" w:ascii="方正仿宋_GBK" w:hAnsi="宋体" w:eastAsia="方正仿宋_GBK" w:cs="宋体"/>
          <w:color w:val="000000"/>
          <w:sz w:val="28"/>
          <w:szCs w:val="28"/>
          <w:lang w:eastAsia="zh-CN"/>
        </w:rPr>
        <w:t>（七）负责开展对城乡居民进行安全防范宣传和道路交通安全教育；</w:t>
      </w:r>
    </w:p>
    <w:p>
      <w:pPr>
        <w:ind w:firstLine="560" w:firstLineChars="200"/>
      </w:pPr>
      <w:r>
        <w:rPr>
          <w:rFonts w:hint="eastAsia" w:ascii="方正仿宋_GBK" w:hAnsi="宋体" w:eastAsia="方正仿宋_GBK" w:cs="宋体"/>
          <w:color w:val="000000"/>
          <w:sz w:val="28"/>
          <w:szCs w:val="28"/>
          <w:lang w:eastAsia="zh-CN"/>
        </w:rPr>
        <w:t>（八）负责交巡警队伍的教育和管理。</w:t>
      </w:r>
    </w:p>
    <w:p>
      <w:pPr>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邯郸市公安局交通巡逻警察支队成安县大队本级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51" w:firstLineChars="196"/>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1、收入说明</w:t>
      </w:r>
    </w:p>
    <w:p>
      <w:pPr>
        <w:keepNext w:val="0"/>
        <w:keepLines w:val="0"/>
        <w:pageBreakBefore w:val="0"/>
        <w:widowControl/>
        <w:kinsoku/>
        <w:wordWrap/>
        <w:overflowPunct/>
        <w:topLinePunct w:val="0"/>
        <w:autoSpaceDE/>
        <w:autoSpaceDN/>
        <w:bidi w:val="0"/>
        <w:adjustRightInd/>
        <w:snapToGrid/>
        <w:spacing w:line="360" w:lineRule="auto"/>
        <w:ind w:firstLine="548" w:firstLineChars="196"/>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年预算收入</w:t>
      </w:r>
      <w:r>
        <w:rPr>
          <w:rFonts w:hint="eastAsia" w:eastAsiaTheme="minorEastAsia"/>
          <w:lang w:val="en-US" w:eastAsia="zh-CN"/>
        </w:rPr>
        <w:t>417.72</w:t>
      </w:r>
      <w:r>
        <w:rPr>
          <w:rFonts w:hint="eastAsia" w:asciiTheme="minorEastAsia" w:hAnsiTheme="minorEastAsia" w:eastAsiaTheme="minorEastAsia" w:cstheme="minorEastAsia"/>
          <w:sz w:val="28"/>
          <w:szCs w:val="28"/>
        </w:rPr>
        <w:t>万元，其中：一般公共预算收入</w:t>
      </w:r>
      <w:r>
        <w:rPr>
          <w:rFonts w:hint="eastAsia" w:eastAsiaTheme="minorEastAsia"/>
          <w:lang w:val="en-US" w:eastAsia="zh-CN"/>
        </w:rPr>
        <w:t>417.72</w:t>
      </w:r>
      <w:r>
        <w:rPr>
          <w:rFonts w:hint="eastAsia" w:asciiTheme="minorEastAsia" w:hAnsiTheme="minorEastAsia" w:eastAsiaTheme="minorEastAsia" w:cstheme="minorEastAsia"/>
          <w:sz w:val="28"/>
          <w:szCs w:val="28"/>
        </w:rPr>
        <w:t>万元，政府性基金收入0万元，国有资本经营收入0万元，事业收入0万元，其他收入0万元。</w:t>
      </w:r>
    </w:p>
    <w:p>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2、</w:t>
      </w:r>
      <w:r>
        <w:rPr>
          <w:rFonts w:hint="eastAsia" w:asciiTheme="minorEastAsia" w:hAnsiTheme="minorEastAsia" w:eastAsiaTheme="minorEastAsia" w:cstheme="minorEastAsia"/>
          <w:b/>
          <w:sz w:val="28"/>
          <w:szCs w:val="28"/>
        </w:rPr>
        <w:t>支出说明</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年支出预算</w:t>
      </w:r>
      <w:r>
        <w:rPr>
          <w:rFonts w:hint="eastAsia" w:eastAsiaTheme="minorEastAsia"/>
          <w:lang w:val="en-US" w:eastAsia="zh-CN"/>
        </w:rPr>
        <w:t>417.72</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372.72</w:t>
      </w:r>
      <w:r>
        <w:rPr>
          <w:rFonts w:hint="eastAsia" w:asciiTheme="minorEastAsia" w:hAnsiTheme="minorEastAsia" w:eastAsiaTheme="minorEastAsia" w:cstheme="minorEastAsia"/>
          <w:sz w:val="28"/>
          <w:szCs w:val="28"/>
        </w:rPr>
        <w:t>万元，主要用于人员经费,项目支出</w:t>
      </w:r>
      <w:r>
        <w:rPr>
          <w:rFonts w:hint="eastAsia" w:eastAsiaTheme="minorEastAsia"/>
          <w:lang w:val="en-US" w:eastAsia="zh-CN"/>
        </w:rPr>
        <w:t>45</w:t>
      </w:r>
      <w:r>
        <w:rPr>
          <w:rFonts w:hint="eastAsia" w:asciiTheme="minorEastAsia" w:hAnsiTheme="minorEastAsia" w:eastAsiaTheme="minorEastAsia" w:cstheme="minorEastAsia"/>
          <w:sz w:val="28"/>
          <w:szCs w:val="28"/>
        </w:rPr>
        <w:t>万，主要用于业务装备、办案业务费、专用设备购置。</w:t>
      </w:r>
    </w:p>
    <w:p>
      <w:pPr>
        <w:keepNext w:val="0"/>
        <w:keepLines w:val="0"/>
        <w:pageBreakBefore w:val="0"/>
        <w:widowControl/>
        <w:kinsoku/>
        <w:wordWrap/>
        <w:overflowPunct/>
        <w:topLinePunct w:val="0"/>
        <w:autoSpaceDE/>
        <w:autoSpaceDN/>
        <w:bidi w:val="0"/>
        <w:adjustRightInd/>
        <w:snapToGrid/>
        <w:spacing w:line="360" w:lineRule="auto"/>
        <w:ind w:firstLine="570"/>
        <w:textAlignment w:val="auto"/>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rPr>
        <w:t>3、比上年增减变化情况</w:t>
      </w:r>
    </w:p>
    <w:p>
      <w:pPr>
        <w:keepNext w:val="0"/>
        <w:keepLines w:val="0"/>
        <w:pageBreakBefore w:val="0"/>
        <w:widowControl/>
        <w:kinsoku/>
        <w:wordWrap/>
        <w:overflowPunct/>
        <w:topLinePunct w:val="0"/>
        <w:autoSpaceDE/>
        <w:autoSpaceDN/>
        <w:bidi w:val="0"/>
        <w:adjustRightInd/>
        <w:snapToGrid/>
        <w:spacing w:line="360" w:lineRule="auto"/>
        <w:ind w:firstLine="570"/>
        <w:textAlignment w:val="auto"/>
        <w:rPr>
          <w:rFonts w:eastAsia="方正仿宋_GBK"/>
          <w:color w:val="000000"/>
          <w:sz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年预算收支安排</w:t>
      </w:r>
      <w:r>
        <w:rPr>
          <w:rFonts w:hint="eastAsia" w:eastAsiaTheme="minorEastAsia"/>
          <w:lang w:val="en-US" w:eastAsia="zh-CN"/>
        </w:rPr>
        <w:t>417.72</w:t>
      </w:r>
      <w:r>
        <w:rPr>
          <w:rFonts w:hint="eastAsia" w:asciiTheme="minorEastAsia" w:hAnsiTheme="minorEastAsia" w:eastAsiaTheme="minorEastAsia" w:cstheme="minorEastAsia"/>
          <w:sz w:val="28"/>
          <w:szCs w:val="28"/>
        </w:rPr>
        <w:t>万元，较202</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年预算</w:t>
      </w:r>
      <w:r>
        <w:rPr>
          <w:rFonts w:hint="eastAsia" w:asciiTheme="minorEastAsia" w:hAnsiTheme="minorEastAsia" w:eastAsiaTheme="minorEastAsia" w:cstheme="minorEastAsia"/>
          <w:sz w:val="28"/>
          <w:szCs w:val="28"/>
          <w:lang w:val="en-US" w:eastAsia="zh-CN"/>
        </w:rPr>
        <w:t>减少14.55</w:t>
      </w:r>
      <w:r>
        <w:rPr>
          <w:rFonts w:hint="eastAsia" w:asciiTheme="minorEastAsia" w:hAnsiTheme="minorEastAsia" w:eastAsiaTheme="minorEastAsia" w:cstheme="minorEastAsia"/>
          <w:sz w:val="28"/>
          <w:szCs w:val="28"/>
        </w:rPr>
        <w:t>万元，其中：支出</w:t>
      </w:r>
      <w:r>
        <w:rPr>
          <w:rFonts w:hint="eastAsia" w:asciiTheme="minorEastAsia" w:hAnsiTheme="minorEastAsia" w:eastAsiaTheme="minorEastAsia" w:cstheme="minorEastAsia"/>
          <w:sz w:val="28"/>
          <w:szCs w:val="28"/>
          <w:lang w:val="en-US" w:eastAsia="zh-CN"/>
        </w:rPr>
        <w:t>减少14.55</w:t>
      </w:r>
      <w:r>
        <w:rPr>
          <w:rFonts w:hint="eastAsia" w:asciiTheme="minorEastAsia" w:hAnsiTheme="minorEastAsia" w:eastAsiaTheme="minorEastAsia" w:cstheme="minorEastAsia"/>
          <w:sz w:val="28"/>
          <w:szCs w:val="28"/>
        </w:rPr>
        <w:t>万元，主要</w:t>
      </w:r>
      <w:r>
        <w:rPr>
          <w:rFonts w:hint="eastAsia" w:asciiTheme="minorEastAsia" w:hAnsiTheme="minorEastAsia" w:eastAsiaTheme="minorEastAsia" w:cstheme="minorEastAsia"/>
          <w:sz w:val="28"/>
          <w:szCs w:val="28"/>
          <w:lang w:eastAsia="zh-CN"/>
        </w:rPr>
        <w:t>原因是</w:t>
      </w:r>
      <w:r>
        <w:rPr>
          <w:rFonts w:hint="eastAsia" w:asciiTheme="minorEastAsia" w:hAnsiTheme="minorEastAsia" w:eastAsiaTheme="minorEastAsia" w:cstheme="minorEastAsia"/>
          <w:sz w:val="28"/>
          <w:szCs w:val="28"/>
          <w:lang w:val="en-US" w:eastAsia="zh-CN"/>
        </w:rPr>
        <w:t>厉行节约，</w:t>
      </w:r>
      <w:r>
        <w:rPr>
          <w:rFonts w:hint="eastAsia" w:ascii="宋体" w:hAnsi="宋体" w:eastAsia="宋体" w:cs="宋体"/>
          <w:sz w:val="28"/>
          <w:szCs w:val="28"/>
          <w:lang w:eastAsia="zh-CN"/>
        </w:rPr>
        <w:t>支出减少</w:t>
      </w:r>
      <w:r>
        <w:rPr>
          <w:rFonts w:hint="eastAsia" w:asciiTheme="minorEastAsia" w:hAnsiTheme="minorEastAsia" w:eastAsiaTheme="minorEastAsia" w:cs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640"/>
        <w:textAlignment w:val="auto"/>
        <w:outlineLvl w:val="5"/>
      </w:pPr>
      <w:r>
        <w:rPr>
          <w:rFonts w:ascii="黑体" w:hAnsi="黑体" w:eastAsia="黑体" w:cs="黑体"/>
          <w:color w:val="000000"/>
          <w:sz w:val="32"/>
        </w:rPr>
        <w:t>三、机关运行经费安排情况</w:t>
      </w:r>
    </w:p>
    <w:p>
      <w:pPr>
        <w:pStyle w:val="21"/>
        <w:keepNext w:val="0"/>
        <w:keepLines w:val="0"/>
        <w:pageBreakBefore w:val="0"/>
        <w:widowControl/>
        <w:kinsoku/>
        <w:wordWrap/>
        <w:overflowPunct/>
        <w:topLinePunct w:val="0"/>
        <w:autoSpaceDE/>
        <w:autoSpaceDN/>
        <w:bidi w:val="0"/>
        <w:adjustRightInd/>
        <w:snapToGrid/>
        <w:spacing w:line="360" w:lineRule="auto"/>
        <w:textAlignment w:val="auto"/>
      </w:pPr>
      <w:r>
        <w:rPr>
          <w:rFonts w:hint="eastAsia" w:ascii="方正仿宋_GBK" w:hAnsi="仿宋" w:eastAsia="方正仿宋_GBK" w:cs="仿宋"/>
          <w:sz w:val="28"/>
          <w:szCs w:val="28"/>
        </w:rPr>
        <w:t>日常公用经费安排0万元。</w:t>
      </w:r>
      <w:r>
        <w:rPr>
          <w:rFonts w:eastAsia="方正仿宋_GBK"/>
          <w:color w:val="000000"/>
          <w:sz w:val="28"/>
        </w:rPr>
        <w:t>邯郸市公安局交通巡逻警察支队成安县大队</w:t>
      </w:r>
      <w:r>
        <w:rPr>
          <w:rFonts w:hint="eastAsia" w:eastAsia="方正仿宋_GBK"/>
          <w:color w:val="000000"/>
          <w:sz w:val="28"/>
          <w:lang w:eastAsia="zh-CN"/>
        </w:rPr>
        <w:t>日常公用</w:t>
      </w:r>
      <w:r>
        <w:rPr>
          <w:rFonts w:hint="eastAsia" w:ascii="方正仿宋_GBK" w:hAnsi="仿宋" w:eastAsia="方正仿宋_GBK" w:cs="仿宋"/>
          <w:sz w:val="28"/>
          <w:szCs w:val="28"/>
        </w:rPr>
        <w:t>经费由</w:t>
      </w:r>
      <w:r>
        <w:rPr>
          <w:rFonts w:eastAsia="方正仿宋_GBK"/>
          <w:color w:val="000000"/>
          <w:sz w:val="28"/>
        </w:rPr>
        <w:t>邯郸市公安局交通巡逻警察支队</w:t>
      </w:r>
      <w:r>
        <w:rPr>
          <w:rFonts w:hint="eastAsia" w:ascii="方正仿宋_GBK" w:hAnsi="仿宋" w:eastAsia="方正仿宋_GBK" w:cs="仿宋"/>
          <w:sz w:val="28"/>
          <w:szCs w:val="28"/>
        </w:rPr>
        <w:t>拨付。</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line="360" w:lineRule="auto"/>
        <w:ind w:firstLine="640"/>
        <w:outlineLvl w:val="2"/>
      </w:pP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年</w:t>
      </w:r>
      <w:r>
        <w:rPr>
          <w:rFonts w:hint="eastAsia" w:ascii="宋体" w:hAnsi="宋体" w:eastAsia="宋体" w:cs="宋体"/>
          <w:color w:val="000000"/>
          <w:sz w:val="28"/>
          <w:szCs w:val="28"/>
          <w:lang w:eastAsia="zh-CN"/>
        </w:rPr>
        <w:t>度</w:t>
      </w:r>
      <w:r>
        <w:rPr>
          <w:rFonts w:hint="eastAsia" w:ascii="宋体" w:hAnsi="宋体" w:eastAsia="宋体" w:cs="宋体"/>
          <w:color w:val="000000"/>
          <w:sz w:val="28"/>
          <w:szCs w:val="28"/>
        </w:rPr>
        <w:t>“三公”经费预算安排</w:t>
      </w:r>
      <w:r>
        <w:rPr>
          <w:rFonts w:hint="eastAsia" w:ascii="宋体" w:hAnsi="宋体" w:eastAsia="宋体" w:cs="宋体"/>
          <w:color w:val="000000"/>
          <w:sz w:val="28"/>
          <w:szCs w:val="28"/>
          <w:lang w:val="en-US" w:eastAsia="zh-CN"/>
        </w:rPr>
        <w:t>9万</w:t>
      </w:r>
      <w:r>
        <w:rPr>
          <w:rFonts w:hint="eastAsia" w:ascii="宋体" w:hAnsi="宋体" w:eastAsia="宋体" w:cs="宋体"/>
          <w:color w:val="000000"/>
          <w:sz w:val="28"/>
          <w:szCs w:val="28"/>
        </w:rPr>
        <w:t>元，其中因公出国（境）费0万元；公务用车购置及运维费</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万元（其中：公务用车购置费为0万元，公务用车运行费</w:t>
      </w:r>
      <w:r>
        <w:rPr>
          <w:rFonts w:hint="eastAsia" w:ascii="宋体" w:hAnsi="宋体" w:eastAsia="宋体" w:cs="宋体"/>
          <w:color w:val="000000"/>
          <w:sz w:val="28"/>
          <w:szCs w:val="28"/>
          <w:lang w:val="en-US" w:eastAsia="zh-CN"/>
        </w:rPr>
        <w:t>0</w:t>
      </w:r>
      <w:r>
        <w:rPr>
          <w:rFonts w:hint="eastAsia" w:ascii="宋体" w:hAnsi="宋体" w:eastAsia="宋体" w:cs="宋体"/>
          <w:color w:val="000000"/>
          <w:sz w:val="28"/>
          <w:szCs w:val="28"/>
        </w:rPr>
        <w:t>万元)；公务接待费0万元。与202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年相比，</w:t>
      </w:r>
      <w:r>
        <w:rPr>
          <w:rFonts w:hint="eastAsia" w:ascii="宋体" w:hAnsi="宋体" w:eastAsia="宋体" w:cs="宋体"/>
          <w:color w:val="000000"/>
          <w:sz w:val="28"/>
          <w:szCs w:val="28"/>
          <w:lang w:eastAsia="zh-CN"/>
        </w:rPr>
        <w:t>减少</w:t>
      </w:r>
      <w:r>
        <w:rPr>
          <w:rFonts w:hint="eastAsia" w:ascii="宋体" w:hAnsi="宋体" w:eastAsia="宋体" w:cs="宋体"/>
          <w:color w:val="000000"/>
          <w:sz w:val="28"/>
          <w:szCs w:val="28"/>
          <w:lang w:val="en-US" w:eastAsia="zh-CN"/>
        </w:rPr>
        <w:t>2.22</w:t>
      </w:r>
      <w:r>
        <w:rPr>
          <w:rFonts w:hint="eastAsia" w:ascii="宋体" w:hAnsi="宋体" w:eastAsia="宋体" w:cs="宋体"/>
          <w:color w:val="000000"/>
          <w:sz w:val="28"/>
          <w:szCs w:val="28"/>
        </w:rPr>
        <w:t>%，主要原因</w:t>
      </w:r>
      <w:r>
        <w:rPr>
          <w:rFonts w:hint="eastAsia" w:ascii="宋体" w:hAnsi="宋体" w:eastAsia="宋体" w:cs="宋体"/>
          <w:sz w:val="28"/>
          <w:szCs w:val="28"/>
          <w:lang w:eastAsia="zh-CN"/>
        </w:rPr>
        <w:t>厉行节约，支出减少</w:t>
      </w:r>
      <w:r>
        <w:rPr>
          <w:rFonts w:hint="eastAsia" w:ascii="宋体" w:hAnsi="宋体" w:eastAsia="宋体" w:cs="宋体"/>
          <w:color w:val="000000"/>
          <w:sz w:val="28"/>
          <w:szCs w:val="28"/>
        </w:rPr>
        <w:t>。</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rPr>
          <w:rFonts w:ascii="黑体" w:hAnsi="黑体" w:eastAsia="黑体" w:cs="黑体"/>
          <w:color w:val="000000"/>
          <w:sz w:val="32"/>
        </w:rPr>
      </w:pPr>
    </w:p>
    <w:p>
      <w:pPr>
        <w:ind w:firstLine="640"/>
      </w:pPr>
      <w:r>
        <w:rPr>
          <w:rFonts w:ascii="方正楷体_GBK" w:hAnsi="方正楷体_GBK" w:eastAsia="方正楷体_GBK" w:cs="方正楷体_GBK"/>
          <w:b/>
          <w:color w:val="000000"/>
          <w:sz w:val="32"/>
        </w:rPr>
        <w:t>第一部分</w:t>
      </w:r>
      <w:r>
        <w:rPr>
          <w:rFonts w:hint="eastAsia" w:ascii="方正楷体_GBK" w:hAnsi="方正楷体_GBK" w:eastAsia="方正楷体_GBK" w:cs="方正楷体_GBK"/>
          <w:b/>
          <w:color w:val="000000"/>
          <w:sz w:val="32"/>
          <w:lang w:eastAsia="zh-CN"/>
        </w:rPr>
        <w:t xml:space="preserve">  单位</w:t>
      </w:r>
      <w:r>
        <w:rPr>
          <w:rFonts w:ascii="方正楷体_GBK" w:hAnsi="方正楷体_GBK" w:eastAsia="方正楷体_GBK" w:cs="方正楷体_GBK"/>
          <w:b/>
          <w:color w:val="000000"/>
          <w:sz w:val="32"/>
        </w:rPr>
        <w:t>整体绩效目标</w:t>
      </w:r>
    </w:p>
    <w:p>
      <w:pPr>
        <w:spacing w:line="500" w:lineRule="exact"/>
        <w:ind w:firstLine="560"/>
        <w:rPr>
          <w:rFonts w:eastAsia="方正仿宋_GBK"/>
          <w:color w:val="000000"/>
          <w:sz w:val="28"/>
          <w:lang w:eastAsia="zh-CN"/>
        </w:rPr>
      </w:pPr>
      <w:r>
        <w:rPr>
          <w:rFonts w:eastAsia="方正仿宋_GBK"/>
          <w:color w:val="000000"/>
          <w:sz w:val="28"/>
        </w:rPr>
        <w:t>（一）总体绩效目标</w:t>
      </w:r>
    </w:p>
    <w:p>
      <w:pPr>
        <w:pStyle w:val="28"/>
      </w:pPr>
      <w:r>
        <w:t>以习近平新时代中国特色社会主义思想为指导，深入学习贯彻落实</w:t>
      </w:r>
      <w:r>
        <w:rPr>
          <w:rFonts w:hint="eastAsia"/>
          <w:lang w:eastAsia="zh-CN"/>
        </w:rPr>
        <w:t>县</w:t>
      </w:r>
      <w:r>
        <w:t>委、</w:t>
      </w:r>
      <w:r>
        <w:rPr>
          <w:rFonts w:hint="eastAsia"/>
          <w:lang w:eastAsia="zh-CN"/>
        </w:rPr>
        <w:t>县</w:t>
      </w:r>
      <w:r>
        <w:t>政府决策部署，</w:t>
      </w:r>
      <w:r>
        <w:rPr>
          <w:rFonts w:hint="eastAsia"/>
          <w:lang w:eastAsia="zh-CN"/>
        </w:rPr>
        <w:t>增强“四个意识”、坚定“四个自信”、做到“两个维护”</w:t>
      </w:r>
      <w:r>
        <w:t>，服务构建新发展格局、推动高质量发展，以交通事故预防“减量控大”为牵引，以锻造“四个铁一般”的公安交警铁军为保证，以队伍建设为根本，以提高道路管控能力和安全水平为核心，以科技信息化建设应用和完善制度机制为保障。全力维护2024年道路交通安全形势持续稳定，努力为建设经济强</w:t>
      </w:r>
      <w:r>
        <w:rPr>
          <w:rFonts w:hint="eastAsia"/>
          <w:lang w:eastAsia="zh-CN"/>
        </w:rPr>
        <w:t>县</w:t>
      </w:r>
      <w:r>
        <w:t>美丽</w:t>
      </w:r>
      <w:r>
        <w:rPr>
          <w:rFonts w:hint="eastAsia"/>
          <w:lang w:eastAsia="zh-CN"/>
        </w:rPr>
        <w:t>成安</w:t>
      </w:r>
      <w:r>
        <w:t>创造良好的交通秩序和安全环境。</w:t>
      </w:r>
    </w:p>
    <w:p>
      <w:pPr>
        <w:spacing w:line="500" w:lineRule="exact"/>
        <w:ind w:firstLine="560"/>
      </w:pPr>
      <w:r>
        <w:rPr>
          <w:rFonts w:eastAsia="方正仿宋_GBK"/>
          <w:color w:val="000000"/>
          <w:sz w:val="28"/>
        </w:rPr>
        <w:t>（二）分项绩效目标</w:t>
      </w:r>
    </w:p>
    <w:p>
      <w:pPr>
        <w:pStyle w:val="29"/>
      </w:pPr>
      <w:r>
        <w:rPr>
          <w:rFonts w:hint="eastAsia"/>
          <w:lang w:eastAsia="zh-CN"/>
        </w:rPr>
        <w:t>1、</w:t>
      </w:r>
      <w:r>
        <w:t>全</w:t>
      </w:r>
      <w:r>
        <w:rPr>
          <w:rFonts w:hint="eastAsia"/>
          <w:lang w:eastAsia="zh-CN"/>
        </w:rPr>
        <w:t>县</w:t>
      </w:r>
      <w:r>
        <w:t>道路交通秩序管理工作稳步推进</w:t>
      </w:r>
    </w:p>
    <w:p>
      <w:pPr>
        <w:pStyle w:val="29"/>
      </w:pPr>
      <w:r>
        <w:t>推动交通治理科学化、精细化、规范化建设，标志标线、信号灯设置进一步规范，交通组织进一步优化，治乱疏堵能力进一步提升，道路通行秩序和效率不断改善，交通秩序整治工作持续开展，民警现场执法率稳步提高，各类严重交通违法行为同比下降，各类重大交通安保工作任务圆满高效，全</w:t>
      </w:r>
      <w:r>
        <w:rPr>
          <w:rFonts w:hint="eastAsia"/>
          <w:lang w:eastAsia="zh-CN"/>
        </w:rPr>
        <w:t>县</w:t>
      </w:r>
      <w:r>
        <w:t>道路交通安全形势持续稳定，广大群众</w:t>
      </w:r>
      <w:r>
        <w:rPr>
          <w:rFonts w:hint="eastAsia"/>
          <w:lang w:eastAsia="zh-CN"/>
        </w:rPr>
        <w:t>遵</w:t>
      </w:r>
      <w:r>
        <w:t>法守法意识稳步提升。</w:t>
      </w:r>
    </w:p>
    <w:p>
      <w:pPr>
        <w:pStyle w:val="29"/>
      </w:pPr>
      <w:r>
        <w:rPr>
          <w:rFonts w:hint="eastAsia"/>
          <w:lang w:eastAsia="zh-CN"/>
        </w:rPr>
        <w:t>2、</w:t>
      </w:r>
      <w:r>
        <w:t>事故处理及预防能力整体提升</w:t>
      </w:r>
    </w:p>
    <w:p>
      <w:pPr>
        <w:pStyle w:val="29"/>
      </w:pPr>
      <w:r>
        <w:t>简易交通事故处理效率进一步提高，交通事故处理执法进一步规范，当事人涉警投诉进一步减少，交通事故分析预防能力不断提升，道路交通安全隐患治理排查和治理工作机制进一步完善。</w:t>
      </w:r>
    </w:p>
    <w:p>
      <w:pPr>
        <w:pStyle w:val="29"/>
      </w:pPr>
      <w:r>
        <w:rPr>
          <w:rFonts w:hint="eastAsia"/>
          <w:lang w:eastAsia="zh-CN"/>
        </w:rPr>
        <w:t>3、</w:t>
      </w:r>
      <w:r>
        <w:t>交通安全源头隐患治理高效</w:t>
      </w:r>
    </w:p>
    <w:p>
      <w:pPr>
        <w:pStyle w:val="29"/>
      </w:pPr>
      <w:r>
        <w:t>生产经营单位交通安全源头隐患逐渐消除，监管手段和监管效能不断提升，生产经营单位落实道路交通安全主体责任不断增强，重大交通事故风险防控率逐步提升，对重点车辆和驾驶人的管理全面加强，“两客一危”重点车辆违法和事故率得到有效控制，企业道路交通安全隐患排查治理力度不断加强。</w:t>
      </w:r>
    </w:p>
    <w:p>
      <w:pPr>
        <w:pStyle w:val="29"/>
      </w:pPr>
      <w:r>
        <w:rPr>
          <w:rFonts w:hint="eastAsia"/>
          <w:lang w:eastAsia="zh-CN"/>
        </w:rPr>
        <w:t>4、</w:t>
      </w:r>
      <w:r>
        <w:t>机动车及驾驶人管理规范有序</w:t>
      </w:r>
    </w:p>
    <w:p>
      <w:pPr>
        <w:pStyle w:val="29"/>
      </w:pPr>
      <w:r>
        <w:t>全</w:t>
      </w:r>
      <w:r>
        <w:rPr>
          <w:rFonts w:hint="eastAsia"/>
          <w:lang w:eastAsia="zh-CN"/>
        </w:rPr>
        <w:t>县</w:t>
      </w:r>
      <w:r>
        <w:t>车辆核发、补换领号牌业务更加规范，便民利民力度不断增强，业务办理延伸网点大幅增加，异地检车业务全面推广，驾驶人异地考试工作日趋完善，“放管服”工作得到深入贯彻落实。</w:t>
      </w:r>
    </w:p>
    <w:p>
      <w:pPr>
        <w:pStyle w:val="29"/>
      </w:pPr>
      <w:r>
        <w:rPr>
          <w:rFonts w:hint="eastAsia"/>
          <w:lang w:eastAsia="zh-CN"/>
        </w:rPr>
        <w:t>5、</w:t>
      </w:r>
      <w:r>
        <w:t>驾驶考试规范化不断增强</w:t>
      </w:r>
    </w:p>
    <w:p>
      <w:pPr>
        <w:pStyle w:val="29"/>
      </w:pPr>
      <w:r>
        <w:t>考试程序更加规范透明，考试组织更加规范合理，考试平台及监管系统运行更加稳定，违规违纪考试问题大幅下降，广大百姓满意度不断提升。</w:t>
      </w:r>
    </w:p>
    <w:p>
      <w:pPr>
        <w:pStyle w:val="29"/>
      </w:pPr>
      <w:r>
        <w:rPr>
          <w:rFonts w:hint="eastAsia"/>
          <w:lang w:eastAsia="zh-CN"/>
        </w:rPr>
        <w:t>6、</w:t>
      </w:r>
      <w:r>
        <w:t>交通指挥调度能力整体提升</w:t>
      </w:r>
    </w:p>
    <w:p>
      <w:pPr>
        <w:pStyle w:val="29"/>
      </w:pPr>
      <w:r>
        <w:t>指挥调度精细化、规范化、智能化水平明显提升，交通组织优化、全息预警、分析研判和一体化指挥调度更加精准，全</w:t>
      </w:r>
      <w:r>
        <w:rPr>
          <w:rFonts w:hint="eastAsia"/>
          <w:lang w:eastAsia="zh-CN"/>
        </w:rPr>
        <w:t>县</w:t>
      </w:r>
      <w:r>
        <w:t>道路拥堵有效缓解，道路通行效率、群众出行安全逐步改善。</w:t>
      </w:r>
    </w:p>
    <w:p>
      <w:pPr>
        <w:pStyle w:val="29"/>
      </w:pPr>
      <w:r>
        <w:rPr>
          <w:rFonts w:hint="eastAsia"/>
          <w:lang w:eastAsia="zh-CN"/>
        </w:rPr>
        <w:t>7、</w:t>
      </w:r>
      <w:r>
        <w:t>科技信息化支撑能力进一步增加</w:t>
      </w:r>
    </w:p>
    <w:p>
      <w:pPr>
        <w:pStyle w:val="29"/>
      </w:pPr>
      <w:r>
        <w:t>运维管理制度更加科学有效，系统安全性、稳定性不断提高，利用信息化手段提升系统自动检测和预警提示能力不断加强；顶层设计，统筹谋划能力更加突出，交管数据来源和覆盖面不断拓宽，科技手段运用和以信息化建设更加精准、有效。</w:t>
      </w:r>
    </w:p>
    <w:p>
      <w:pPr>
        <w:pStyle w:val="29"/>
      </w:pPr>
      <w:r>
        <w:rPr>
          <w:rFonts w:hint="eastAsia"/>
          <w:lang w:eastAsia="zh-CN"/>
        </w:rPr>
        <w:t>8、</w:t>
      </w:r>
      <w:r>
        <w:t>交通安全宣传教育水平全面提升</w:t>
      </w:r>
    </w:p>
    <w:p>
      <w:pPr>
        <w:pStyle w:val="29"/>
      </w:pPr>
      <w:r>
        <w:t>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充分融合新理念、新技术，探索打造“智慧宣传”新机制、新流程、新模式，不断推动各类信息系统与宣传教育工作融合升级。</w:t>
      </w:r>
    </w:p>
    <w:p>
      <w:pPr>
        <w:pStyle w:val="29"/>
      </w:pPr>
      <w:r>
        <w:rPr>
          <w:rFonts w:hint="eastAsia"/>
          <w:lang w:eastAsia="zh-CN"/>
        </w:rPr>
        <w:t>9、</w:t>
      </w:r>
      <w:r>
        <w:t>队伍建设与管理水平不断提高</w:t>
      </w:r>
    </w:p>
    <w:p>
      <w:pPr>
        <w:pStyle w:val="29"/>
      </w:pPr>
      <w:r>
        <w:t>民</w:t>
      </w:r>
      <w:r>
        <w:rPr>
          <w:rFonts w:hint="eastAsia"/>
          <w:lang w:eastAsia="zh-CN"/>
        </w:rPr>
        <w:t>辅</w:t>
      </w:r>
      <w:r>
        <w:t>警的政策理论水平明显提高，分级分层及骨干业务培训覆盖率不断扩大，保障水平进一步提升，交通管理执法办案、交通安全风险防控、交通应急事件处置和群众工作、科技应用、舆情引导等能力水平进一步提高，民</w:t>
      </w:r>
      <w:r>
        <w:rPr>
          <w:rFonts w:hint="eastAsia"/>
          <w:lang w:eastAsia="zh-CN"/>
        </w:rPr>
        <w:t>辅</w:t>
      </w:r>
      <w:r>
        <w:t>警政治觉悟政治定力不断增强。</w:t>
      </w:r>
    </w:p>
    <w:p>
      <w:pPr>
        <w:spacing w:line="500" w:lineRule="exact"/>
        <w:ind w:firstLine="560"/>
      </w:pPr>
      <w:r>
        <w:rPr>
          <w:rFonts w:eastAsia="方正仿宋_GBK"/>
          <w:color w:val="000000"/>
          <w:sz w:val="28"/>
        </w:rPr>
        <w:t>（三）工作保障措施</w:t>
      </w:r>
    </w:p>
    <w:p>
      <w:pPr>
        <w:pStyle w:val="30"/>
      </w:pPr>
      <w:r>
        <w:rPr>
          <w:rFonts w:hint="eastAsia"/>
          <w:lang w:eastAsia="zh-CN"/>
        </w:rPr>
        <w:t>1、</w:t>
      </w:r>
      <w:r>
        <w:t>加强组织领导。为全面推进预算绩效管理工作，</w:t>
      </w:r>
      <w:r>
        <w:rPr>
          <w:rFonts w:hint="eastAsia"/>
          <w:lang w:eastAsia="zh-CN"/>
        </w:rPr>
        <w:t>大</w:t>
      </w:r>
      <w:r>
        <w:t>队成立由</w:t>
      </w:r>
      <w:r>
        <w:rPr>
          <w:rFonts w:hint="eastAsia"/>
          <w:lang w:eastAsia="zh-CN"/>
        </w:rPr>
        <w:t>大</w:t>
      </w:r>
      <w:r>
        <w:t>队主要领导任组长的预算绩效工作领导小组，明确责任主体和内部绩效目标设置、监控、评价和审核的责任分工，细化工作方案，形成“一把手”亲自抓，分管副职具体抓的工作格局，全面落实各项绩效管改革举措，将事前评估、目标管理、运行监控、绩效评价、结果应用有效融入预算管理的全过程。机关各部门围绕年度总体绩效目标和分类绩效目标，分工协作、密切配合，确保各项工作按期完成。</w:t>
      </w:r>
    </w:p>
    <w:p>
      <w:pPr>
        <w:pStyle w:val="30"/>
      </w:pPr>
      <w:r>
        <w:rPr>
          <w:rFonts w:hint="eastAsia"/>
          <w:lang w:eastAsia="zh-CN"/>
        </w:rPr>
        <w:t>2、</w:t>
      </w:r>
      <w:r>
        <w:t>完善制度建设。集中组织机关各处室开展对</w:t>
      </w:r>
      <w:r>
        <w:rPr>
          <w:rFonts w:hint="eastAsia"/>
          <w:lang w:eastAsia="zh-CN"/>
        </w:rPr>
        <w:t>县</w:t>
      </w:r>
      <w:r>
        <w:t>委</w:t>
      </w:r>
      <w:r>
        <w:rPr>
          <w:rFonts w:hint="eastAsia"/>
          <w:lang w:eastAsia="zh-CN"/>
        </w:rPr>
        <w:t>县</w:t>
      </w:r>
      <w:r>
        <w:t>政府《关于全面实施预算绩效管的实施意见》以及</w:t>
      </w:r>
      <w:r>
        <w:rPr>
          <w:rFonts w:hint="eastAsia"/>
          <w:lang w:eastAsia="zh-CN"/>
        </w:rPr>
        <w:t>县</w:t>
      </w:r>
      <w:r>
        <w:t>财政</w:t>
      </w:r>
      <w:r>
        <w:rPr>
          <w:rFonts w:hint="eastAsia"/>
          <w:lang w:eastAsia="zh-CN"/>
        </w:rPr>
        <w:t>局</w:t>
      </w:r>
      <w:r>
        <w:t>关于预算绩效管理相关文件的系统学习，确保领会精神实质，严格审批程序，加强单位的固定资产登记、使用和报废处置管理，做到支出合理，物尽其用，为全年预算绩效目标的实现奠定制度基础。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0"/>
      </w:pPr>
      <w:r>
        <w:rPr>
          <w:rFonts w:hint="eastAsia"/>
          <w:lang w:eastAsia="zh-CN"/>
        </w:rPr>
        <w:t>3、</w:t>
      </w:r>
      <w:r>
        <w:t>狠抓任务落实。按照“谁花钱、谁负责，谁牵头、谁主责”的原则，明确</w:t>
      </w:r>
      <w:r>
        <w:rPr>
          <w:rFonts w:hint="eastAsia"/>
          <w:lang w:eastAsia="zh-CN"/>
        </w:rPr>
        <w:t>大</w:t>
      </w:r>
      <w:r>
        <w:t>队机关各业务处室的预算绩效管理职责。充分调动各项目</w:t>
      </w:r>
      <w:r>
        <w:rPr>
          <w:rFonts w:hint="eastAsia"/>
          <w:lang w:eastAsia="zh-CN"/>
        </w:rPr>
        <w:t>科室</w:t>
      </w:r>
      <w:r>
        <w:t>的积极性和主动性，由项目</w:t>
      </w:r>
      <w:r>
        <w:rPr>
          <w:rFonts w:hint="eastAsia"/>
          <w:lang w:eastAsia="zh-CN"/>
        </w:rPr>
        <w:t>科室</w:t>
      </w:r>
      <w:r>
        <w:t>负责制定分管项目的内容、绩效目标和评价指标等参数，动态收集评估数据信息，开展预算绩效中期评估、后期评价以及整改落实等措施。形成财务部门牵头、资金使用单位具体实施、审计纪检部门参与监督，齐抓共管、多方联动的良好工作局面，使财务工作与业务工作紧密衔接，推动预算绩效管理常态化、制度化、规范化。</w:t>
      </w:r>
    </w:p>
    <w:p>
      <w:pPr>
        <w:pStyle w:val="30"/>
      </w:pPr>
      <w:r>
        <w:rPr>
          <w:rFonts w:hint="eastAsia"/>
          <w:lang w:eastAsia="zh-CN"/>
        </w:rPr>
        <w:t>4、</w:t>
      </w:r>
      <w:r>
        <w:t>强化预算执行。强化财政预算执行的刚性约束，不断优化部门预算支出结构、合理编报用款计划、合理改进支出方式、简化支付审批流程，确保按照财政规定时间节点完成进度要求，更好发挥财政资金的使用效益。</w:t>
      </w:r>
    </w:p>
    <w:p>
      <w:pPr>
        <w:pStyle w:val="30"/>
      </w:pPr>
      <w:r>
        <w:rPr>
          <w:rFonts w:hint="eastAsia"/>
          <w:lang w:eastAsia="zh-CN"/>
        </w:rPr>
        <w:t>5、</w:t>
      </w:r>
      <w:r>
        <w:t>完善评价机制。按要求开展绩效运行监控，成立专门的绩效评价工作小组，制定科学有效的评价方法，对所有专项资金的经济性、效率性以及绩效目标的实现程度进行全方位全过程评价，发现问题及时采取措施，确保绩效目标如期保质实现。项目实施完毕后，要组织开展对上年度所有的预算项目开展绩效自评和重点项目的重点评价，评价中要运用法律、行政和经济手段进行规范、管理、保障评价工作的有序推进，确保评价结果真实可信，并直接奖评价结果与下年度预算安排挂钩，全面提高财政资金的使用效益。</w:t>
      </w:r>
    </w:p>
    <w:p>
      <w:pPr>
        <w:pStyle w:val="30"/>
        <w:rPr>
          <w:lang w:eastAsia="zh-CN"/>
        </w:rPr>
      </w:pPr>
      <w:r>
        <w:rPr>
          <w:rFonts w:hint="eastAsia"/>
          <w:lang w:eastAsia="zh-CN"/>
        </w:rPr>
        <w:t>6、</w:t>
      </w:r>
      <w:r>
        <w:t>加强政策宣传。坚持正确的舆论导向，紧紧围绕全面实施预算绩效管理的重大意义、目标任务、工作举措和进展成效，组织开展多层次、多角度的业务培训，总结宣传先进典型，使所有民</w:t>
      </w:r>
      <w:r>
        <w:rPr>
          <w:rFonts w:hint="eastAsia"/>
          <w:lang w:eastAsia="zh-CN"/>
        </w:rPr>
        <w:t>辅</w:t>
      </w:r>
      <w:r>
        <w:t>警牢固树立绩效理念，熟悉管理流程，掌握工作方法，提升业务素质和管理能力；不断提高政策知晓率、参与度，形成全社会关心、支持、参与、监督预算绩效管理的良好氛围，全面提升预算绩效管理科学水平。</w:t>
      </w:r>
    </w:p>
    <w:p>
      <w:pPr>
        <w:ind w:firstLine="640"/>
        <w:rPr>
          <w:lang w:eastAsia="zh-CN"/>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281" w:firstLineChars="100"/>
      </w:pPr>
      <w:r>
        <w:rPr>
          <w:rFonts w:ascii="方正仿宋_GBK" w:hAnsi="方正仿宋_GBK" w:eastAsia="方正仿宋_GBK" w:cs="方正仿宋_GBK"/>
          <w:b/>
          <w:color w:val="000000"/>
          <w:sz w:val="28"/>
        </w:rPr>
        <w:t>1、冀财政法[2023]49号文提前下达2024年中央政法纪检监察转移支付资金绩效目标表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13042424P00J72C10109J</w:t>
            </w:r>
          </w:p>
        </w:tc>
        <w:tc>
          <w:tcPr>
            <w:tcW w:w="2835" w:type="dxa"/>
            <w:vAlign w:val="center"/>
          </w:tcPr>
          <w:p>
            <w:pPr>
              <w:pStyle w:val="12"/>
            </w:pPr>
            <w:r>
              <w:t>项目名称</w:t>
            </w:r>
          </w:p>
        </w:tc>
        <w:tc>
          <w:tcPr>
            <w:tcW w:w="6094" w:type="dxa"/>
            <w:gridSpan w:val="3"/>
            <w:vAlign w:val="center"/>
          </w:tcPr>
          <w:p>
            <w:pPr>
              <w:pStyle w:val="14"/>
            </w:pPr>
            <w:r>
              <w:t>冀财政法[2023]49号文提前下达2024年中央政法纪检监察转移支付资金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45.00</w:t>
            </w:r>
          </w:p>
        </w:tc>
        <w:tc>
          <w:tcPr>
            <w:tcW w:w="2835" w:type="dxa"/>
            <w:vAlign w:val="center"/>
          </w:tcPr>
          <w:p>
            <w:pPr>
              <w:pStyle w:val="12"/>
            </w:pPr>
            <w:r>
              <w:t>其中：财政    资金</w:t>
            </w:r>
          </w:p>
        </w:tc>
        <w:tc>
          <w:tcPr>
            <w:tcW w:w="2551" w:type="dxa"/>
            <w:vAlign w:val="center"/>
          </w:tcPr>
          <w:p>
            <w:pPr>
              <w:pStyle w:val="14"/>
            </w:pPr>
            <w:r>
              <w:t>45.00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用于办案业务和业务装备支出。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10.00</w:t>
            </w:r>
          </w:p>
        </w:tc>
        <w:tc>
          <w:tcPr>
            <w:tcW w:w="2835" w:type="dxa"/>
            <w:vAlign w:val="center"/>
          </w:tcPr>
          <w:p>
            <w:pPr>
              <w:pStyle w:val="15"/>
            </w:pPr>
            <w:r>
              <w:t>25.00</w:t>
            </w:r>
          </w:p>
        </w:tc>
        <w:tc>
          <w:tcPr>
            <w:tcW w:w="2551" w:type="dxa"/>
            <w:vAlign w:val="center"/>
          </w:tcPr>
          <w:p>
            <w:pPr>
              <w:pStyle w:val="15"/>
            </w:pPr>
            <w:r>
              <w:t>40.00</w:t>
            </w:r>
          </w:p>
        </w:tc>
        <w:tc>
          <w:tcPr>
            <w:tcW w:w="3543" w:type="dxa"/>
            <w:gridSpan w:val="2"/>
            <w:vAlign w:val="center"/>
          </w:tcPr>
          <w:p>
            <w:pPr>
              <w:pStyle w:val="15"/>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1.通过办案业务经费和业务装备经费的支出，保障公安交警办案业务顺利开展。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购置警用车辆数量</w:t>
            </w:r>
          </w:p>
        </w:tc>
        <w:tc>
          <w:tcPr>
            <w:tcW w:w="5386" w:type="dxa"/>
            <w:vAlign w:val="center"/>
          </w:tcPr>
          <w:p>
            <w:pPr>
              <w:pStyle w:val="14"/>
            </w:pPr>
            <w:r>
              <w:t>购置警用车辆数量</w:t>
            </w:r>
          </w:p>
        </w:tc>
        <w:tc>
          <w:tcPr>
            <w:tcW w:w="2268" w:type="dxa"/>
            <w:vAlign w:val="center"/>
          </w:tcPr>
          <w:p>
            <w:pPr>
              <w:pStyle w:val="14"/>
            </w:pPr>
            <w:r>
              <w:t>1辆</w:t>
            </w:r>
          </w:p>
        </w:tc>
        <w:tc>
          <w:tcPr>
            <w:tcW w:w="1276" w:type="dxa"/>
            <w:vAlign w:val="center"/>
          </w:tcPr>
          <w:p>
            <w:pPr>
              <w:pStyle w:val="14"/>
            </w:pPr>
            <w:r>
              <w:t>成安县大队2024年工作谋划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购置台式电脑数量</w:t>
            </w:r>
          </w:p>
        </w:tc>
        <w:tc>
          <w:tcPr>
            <w:tcW w:w="5386" w:type="dxa"/>
            <w:vAlign w:val="center"/>
          </w:tcPr>
          <w:p>
            <w:pPr>
              <w:pStyle w:val="14"/>
            </w:pPr>
            <w:r>
              <w:t>购置台式电脑数量</w:t>
            </w:r>
          </w:p>
        </w:tc>
        <w:tc>
          <w:tcPr>
            <w:tcW w:w="2268" w:type="dxa"/>
            <w:vAlign w:val="center"/>
          </w:tcPr>
          <w:p>
            <w:pPr>
              <w:pStyle w:val="14"/>
            </w:pPr>
            <w:r>
              <w:t>≥5台</w:t>
            </w:r>
          </w:p>
        </w:tc>
        <w:tc>
          <w:tcPr>
            <w:tcW w:w="1276" w:type="dxa"/>
            <w:vAlign w:val="center"/>
          </w:tcPr>
          <w:p>
            <w:pPr>
              <w:pStyle w:val="14"/>
            </w:pPr>
            <w:r>
              <w:t>成安县大队2024年工作谋划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质量验收合格率</w:t>
            </w:r>
          </w:p>
        </w:tc>
        <w:tc>
          <w:tcPr>
            <w:tcW w:w="5386" w:type="dxa"/>
            <w:vAlign w:val="center"/>
          </w:tcPr>
          <w:p>
            <w:pPr>
              <w:pStyle w:val="14"/>
            </w:pPr>
            <w:r>
              <w:t>质量验收合格率</w:t>
            </w:r>
          </w:p>
        </w:tc>
        <w:tc>
          <w:tcPr>
            <w:tcW w:w="2268" w:type="dxa"/>
            <w:vAlign w:val="center"/>
          </w:tcPr>
          <w:p>
            <w:pPr>
              <w:pStyle w:val="14"/>
            </w:pPr>
            <w:r>
              <w:t>100%</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采购完成时间</w:t>
            </w:r>
          </w:p>
        </w:tc>
        <w:tc>
          <w:tcPr>
            <w:tcW w:w="5386" w:type="dxa"/>
            <w:vAlign w:val="center"/>
          </w:tcPr>
          <w:p>
            <w:pPr>
              <w:pStyle w:val="14"/>
            </w:pPr>
            <w:r>
              <w:t>采购完成时间</w:t>
            </w:r>
          </w:p>
        </w:tc>
        <w:tc>
          <w:tcPr>
            <w:tcW w:w="2268" w:type="dxa"/>
            <w:vAlign w:val="center"/>
          </w:tcPr>
          <w:p>
            <w:pPr>
              <w:pStyle w:val="14"/>
            </w:pPr>
            <w:r>
              <w:t>2024年12月底前</w:t>
            </w:r>
          </w:p>
        </w:tc>
        <w:tc>
          <w:tcPr>
            <w:tcW w:w="1276" w:type="dxa"/>
            <w:vAlign w:val="center"/>
          </w:tcPr>
          <w:p>
            <w:pPr>
              <w:pStyle w:val="14"/>
            </w:pPr>
            <w:r>
              <w:t>成安县大队2024年工作谋划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台式电脑购置成本</w:t>
            </w:r>
          </w:p>
        </w:tc>
        <w:tc>
          <w:tcPr>
            <w:tcW w:w="5386" w:type="dxa"/>
            <w:vAlign w:val="center"/>
          </w:tcPr>
          <w:p>
            <w:pPr>
              <w:pStyle w:val="14"/>
            </w:pPr>
            <w:r>
              <w:t>每台电脑购置成本</w:t>
            </w:r>
          </w:p>
        </w:tc>
        <w:tc>
          <w:tcPr>
            <w:tcW w:w="2268" w:type="dxa"/>
            <w:vAlign w:val="center"/>
          </w:tcPr>
          <w:p>
            <w:pPr>
              <w:pStyle w:val="14"/>
            </w:pPr>
            <w:r>
              <w:t>≤4300元</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警用车辆购置成本</w:t>
            </w:r>
          </w:p>
        </w:tc>
        <w:tc>
          <w:tcPr>
            <w:tcW w:w="5386" w:type="dxa"/>
            <w:vAlign w:val="center"/>
          </w:tcPr>
          <w:p>
            <w:pPr>
              <w:pStyle w:val="14"/>
            </w:pPr>
            <w:r>
              <w:t>每辆警用车辆购置成本</w:t>
            </w:r>
          </w:p>
        </w:tc>
        <w:tc>
          <w:tcPr>
            <w:tcW w:w="2268" w:type="dxa"/>
            <w:vAlign w:val="center"/>
          </w:tcPr>
          <w:p>
            <w:pPr>
              <w:pStyle w:val="14"/>
            </w:pPr>
            <w:r>
              <w:t>≤11万元</w:t>
            </w:r>
          </w:p>
        </w:tc>
        <w:tc>
          <w:tcPr>
            <w:tcW w:w="1276"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持续提高基层办案民警执法办案质量</w:t>
            </w:r>
          </w:p>
        </w:tc>
        <w:tc>
          <w:tcPr>
            <w:tcW w:w="5386" w:type="dxa"/>
            <w:vAlign w:val="center"/>
          </w:tcPr>
          <w:p>
            <w:pPr>
              <w:pStyle w:val="14"/>
            </w:pPr>
            <w:r>
              <w:t>持续提高基层办案民警执法办案质量</w:t>
            </w:r>
          </w:p>
        </w:tc>
        <w:tc>
          <w:tcPr>
            <w:tcW w:w="2268" w:type="dxa"/>
            <w:vAlign w:val="center"/>
          </w:tcPr>
          <w:p>
            <w:pPr>
              <w:pStyle w:val="14"/>
            </w:pPr>
            <w:r>
              <w:t>执法办案质量较上年大幅提升</w:t>
            </w:r>
          </w:p>
        </w:tc>
        <w:tc>
          <w:tcPr>
            <w:tcW w:w="1276" w:type="dxa"/>
            <w:vAlign w:val="center"/>
          </w:tcPr>
          <w:p>
            <w:pPr>
              <w:pStyle w:val="14"/>
            </w:pPr>
            <w:r>
              <w:t>成安县大队2024年工作谋划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调查中使用人员满意和较满意的人数占调查总人数的比率</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7710"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3.22</w:t>
            </w:r>
          </w:p>
        </w:tc>
        <w:tc>
          <w:tcPr>
            <w:tcW w:w="964" w:type="dxa"/>
            <w:vAlign w:val="center"/>
          </w:tcPr>
          <w:p>
            <w:pPr>
              <w:pStyle w:val="17"/>
            </w:pPr>
            <w:r>
              <w:t>3.22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邯郸市公安局交通巡逻警察支队成安县大队本级小计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3.22</w:t>
            </w:r>
          </w:p>
        </w:tc>
        <w:tc>
          <w:tcPr>
            <w:tcW w:w="964" w:type="dxa"/>
            <w:vAlign w:val="center"/>
          </w:tcPr>
          <w:p>
            <w:pPr>
              <w:pStyle w:val="17"/>
            </w:pPr>
            <w:r>
              <w:t>3.22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冀财政法[2023]49号文提前下达2024年中央政法纪检监察转移支付资金</w:t>
            </w:r>
          </w:p>
        </w:tc>
        <w:tc>
          <w:tcPr>
            <w:tcW w:w="964" w:type="dxa"/>
            <w:vAlign w:val="center"/>
          </w:tcPr>
          <w:p>
            <w:pPr>
              <w:pStyle w:val="13"/>
            </w:pPr>
            <w:r>
              <w:t>45.00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0.43</w:t>
            </w:r>
          </w:p>
        </w:tc>
        <w:tc>
          <w:tcPr>
            <w:tcW w:w="964" w:type="dxa"/>
            <w:vAlign w:val="center"/>
          </w:tcPr>
          <w:p>
            <w:pPr>
              <w:pStyle w:val="13"/>
            </w:pPr>
            <w:r>
              <w:t>2.15</w:t>
            </w:r>
          </w:p>
        </w:tc>
        <w:tc>
          <w:tcPr>
            <w:tcW w:w="964" w:type="dxa"/>
            <w:vAlign w:val="center"/>
          </w:tcPr>
          <w:p>
            <w:pPr>
              <w:pStyle w:val="13"/>
            </w:pPr>
            <w:r>
              <w:t>2.15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冀财政法[2023]49号文提前下达2024年中央政法纪检监察转移支付资金</w:t>
            </w:r>
          </w:p>
        </w:tc>
        <w:tc>
          <w:tcPr>
            <w:tcW w:w="964" w:type="dxa"/>
            <w:vAlign w:val="center"/>
          </w:tcPr>
          <w:p>
            <w:pPr>
              <w:pStyle w:val="13"/>
            </w:pPr>
            <w:r>
              <w:t>45.00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0.15</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冀财政法[2023]49号文提前下达2024年中央政法纪检监察转移支付资金</w:t>
            </w:r>
          </w:p>
        </w:tc>
        <w:tc>
          <w:tcPr>
            <w:tcW w:w="964" w:type="dxa"/>
            <w:vAlign w:val="center"/>
          </w:tcPr>
          <w:p>
            <w:pPr>
              <w:pStyle w:val="13"/>
            </w:pPr>
            <w:r>
              <w:t>45.00</w:t>
            </w:r>
          </w:p>
        </w:tc>
        <w:tc>
          <w:tcPr>
            <w:tcW w:w="1134" w:type="dxa"/>
            <w:vAlign w:val="center"/>
          </w:tcPr>
          <w:p>
            <w:pPr>
              <w:pStyle w:val="14"/>
            </w:pPr>
            <w:r>
              <w:t>电冰箱</w:t>
            </w:r>
          </w:p>
        </w:tc>
        <w:tc>
          <w:tcPr>
            <w:tcW w:w="1134" w:type="dxa"/>
            <w:vAlign w:val="center"/>
          </w:tcPr>
          <w:p>
            <w:pPr>
              <w:pStyle w:val="14"/>
            </w:pPr>
            <w:r>
              <w:t>A02061801</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0.16</w:t>
            </w:r>
          </w:p>
        </w:tc>
        <w:tc>
          <w:tcPr>
            <w:tcW w:w="964" w:type="dxa"/>
            <w:vAlign w:val="center"/>
          </w:tcPr>
          <w:p>
            <w:pPr>
              <w:pStyle w:val="13"/>
            </w:pPr>
            <w:r>
              <w:t>0.32</w:t>
            </w:r>
          </w:p>
        </w:tc>
        <w:tc>
          <w:tcPr>
            <w:tcW w:w="964" w:type="dxa"/>
            <w:vAlign w:val="center"/>
          </w:tcPr>
          <w:p>
            <w:pPr>
              <w:pStyle w:val="13"/>
            </w:pPr>
            <w:r>
              <w:t>0.32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邯郸市公安局交通巡逻警察支队成安县大队本级上年末固定资产金额为</w:t>
      </w:r>
      <w:r>
        <w:rPr>
          <w:rFonts w:hint="eastAsia" w:ascii="方正仿宋_GBK" w:hAnsi="Tahoma" w:eastAsia="方正仿宋_GBK" w:cs="Tahoma"/>
          <w:color w:val="333333"/>
          <w:sz w:val="28"/>
          <w:szCs w:val="28"/>
          <w:shd w:val="clear" w:color="auto" w:fill="FFFFFF"/>
          <w:lang w:val="en-US" w:eastAsia="zh-CN"/>
        </w:rPr>
        <w:t>3109.88</w:t>
      </w:r>
      <w:r>
        <w:rPr>
          <w:rFonts w:eastAsia="方正仿宋_GBK"/>
          <w:color w:val="000000"/>
          <w:sz w:val="28"/>
        </w:rPr>
        <w:t>万元（详见下表）。本年度拟购置固定资产总额为</w:t>
      </w:r>
      <w:r>
        <w:rPr>
          <w:rFonts w:hint="eastAsia" w:ascii="仿宋" w:hAnsi="仿宋" w:eastAsia="仿宋" w:cs="仿宋"/>
          <w:sz w:val="28"/>
          <w:szCs w:val="28"/>
        </w:rPr>
        <w:t>3.22</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451001邯郸市公安局交通巡逻警察支队成安县大队本级</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lang w:eastAsia="zh-CN"/>
              </w:rPr>
            </w:pPr>
            <w:r>
              <w:rPr>
                <w:rFonts w:hint="eastAsia" w:ascii="仿宋" w:hAnsi="仿宋" w:eastAsia="仿宋" w:cs="仿宋"/>
                <w:lang w:eastAsia="zh-CN"/>
              </w:rPr>
              <w:t>资产总额</w:t>
            </w:r>
          </w:p>
        </w:tc>
        <w:tc>
          <w:tcPr>
            <w:tcW w:w="2835" w:type="dxa"/>
            <w:vAlign w:val="center"/>
          </w:tcPr>
          <w:p>
            <w:pPr>
              <w:jc w:val="center"/>
              <w:rPr>
                <w:rFonts w:ascii="仿宋" w:hAnsi="仿宋" w:eastAsia="仿宋" w:cs="仿宋"/>
              </w:rPr>
            </w:pP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3109.88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1、房屋（平方米）</w:t>
            </w:r>
          </w:p>
        </w:tc>
        <w:tc>
          <w:tcPr>
            <w:tcW w:w="2835" w:type="dxa"/>
            <w:vAlign w:val="center"/>
          </w:tcPr>
          <w:p>
            <w:pPr>
              <w:jc w:val="center"/>
              <w:rPr>
                <w:rFonts w:ascii="仿宋" w:hAnsi="仿宋" w:eastAsia="仿宋" w:cs="仿宋"/>
              </w:rPr>
            </w:pPr>
            <w:r>
              <w:rPr>
                <w:rFonts w:hint="eastAsia" w:ascii="仿宋" w:hAnsi="仿宋" w:eastAsia="仿宋" w:cs="仿宋"/>
              </w:rPr>
              <w:t>2800</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rPr>
              <w:t>442.</w:t>
            </w:r>
            <w:r>
              <w:rPr>
                <w:rFonts w:hint="eastAsia" w:ascii="仿宋" w:hAnsi="仿宋" w:eastAsia="仿宋" w:cs="仿宋"/>
                <w:lang w:val="en-US" w:eastAsia="zh-CN"/>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 xml:space="preserve">   其中：办公用房（平方米）</w:t>
            </w:r>
          </w:p>
        </w:tc>
        <w:tc>
          <w:tcPr>
            <w:tcW w:w="2835" w:type="dxa"/>
            <w:vAlign w:val="center"/>
          </w:tcPr>
          <w:p>
            <w:pPr>
              <w:jc w:val="center"/>
              <w:rPr>
                <w:rFonts w:ascii="仿宋" w:hAnsi="仿宋" w:eastAsia="仿宋" w:cs="仿宋"/>
                <w:lang w:eastAsia="zh-CN"/>
              </w:rPr>
            </w:pPr>
            <w:r>
              <w:rPr>
                <w:rFonts w:hint="eastAsia" w:ascii="仿宋" w:hAnsi="仿宋" w:eastAsia="仿宋" w:cs="仿宋"/>
                <w:lang w:eastAsia="zh-CN"/>
              </w:rPr>
              <w:t>2200</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399.95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7370" w:type="dxa"/>
            <w:vAlign w:val="center"/>
          </w:tcPr>
          <w:p>
            <w:pPr>
              <w:rPr>
                <w:rFonts w:ascii="仿宋" w:hAnsi="仿宋" w:eastAsia="仿宋" w:cs="仿宋"/>
              </w:rPr>
            </w:pPr>
            <w:r>
              <w:rPr>
                <w:rFonts w:hint="eastAsia" w:ascii="仿宋" w:hAnsi="仿宋" w:eastAsia="仿宋" w:cs="仿宋"/>
              </w:rPr>
              <w:t>2、车辆（台、辆）</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40</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418.71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rPr>
            </w:pPr>
            <w:r>
              <w:rPr>
                <w:rFonts w:hint="eastAsia" w:ascii="仿宋" w:hAnsi="仿宋" w:eastAsia="仿宋" w:cs="仿宋"/>
              </w:rPr>
              <w:t>3、单价在50万元以上的设备</w:t>
            </w:r>
          </w:p>
        </w:tc>
        <w:tc>
          <w:tcPr>
            <w:tcW w:w="2835" w:type="dxa"/>
            <w:vAlign w:val="center"/>
          </w:tcPr>
          <w:p>
            <w:pPr>
              <w:jc w:val="center"/>
              <w:rPr>
                <w:rFonts w:ascii="仿宋" w:hAnsi="仿宋" w:eastAsia="仿宋" w:cs="仿宋"/>
              </w:rPr>
            </w:pPr>
          </w:p>
        </w:tc>
        <w:tc>
          <w:tcPr>
            <w:tcW w:w="2835" w:type="dxa"/>
            <w:vAlign w:val="center"/>
          </w:tcPr>
          <w:p>
            <w:pPr>
              <w:jc w:val="center"/>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rPr>
                <w:rFonts w:ascii="仿宋" w:hAnsi="仿宋" w:eastAsia="仿宋" w:cs="仿宋"/>
              </w:rPr>
            </w:pPr>
            <w:r>
              <w:rPr>
                <w:rFonts w:hint="eastAsia" w:ascii="仿宋" w:hAnsi="仿宋" w:eastAsia="仿宋" w:cs="仿宋"/>
              </w:rPr>
              <w:t>4、其他固定资产</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2477</w:t>
            </w:r>
          </w:p>
        </w:tc>
        <w:tc>
          <w:tcPr>
            <w:tcW w:w="2835" w:type="dxa"/>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2248.92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5DCC1"/>
    <w:multiLevelType w:val="singleLevel"/>
    <w:tmpl w:val="A2E5DC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M5ZTRkMjk0NGE3MjdhMWE2NTJmODBhODQxOTY3ZGUifQ=="/>
  </w:docVars>
  <w:rsids>
    <w:rsidRoot w:val="007C090F"/>
    <w:rsid w:val="00067248"/>
    <w:rsid w:val="007C090F"/>
    <w:rsid w:val="00B310F6"/>
    <w:rsid w:val="01590320"/>
    <w:rsid w:val="05DB04A3"/>
    <w:rsid w:val="05E355AA"/>
    <w:rsid w:val="0834033F"/>
    <w:rsid w:val="0B070A5E"/>
    <w:rsid w:val="0B4D1E43"/>
    <w:rsid w:val="0B7A250D"/>
    <w:rsid w:val="0F692A90"/>
    <w:rsid w:val="0FAB538A"/>
    <w:rsid w:val="119A7465"/>
    <w:rsid w:val="12892F0A"/>
    <w:rsid w:val="16BC1C2B"/>
    <w:rsid w:val="1AFA5418"/>
    <w:rsid w:val="21F7445F"/>
    <w:rsid w:val="25954429"/>
    <w:rsid w:val="275B723E"/>
    <w:rsid w:val="2C0B42F6"/>
    <w:rsid w:val="2C6B50B6"/>
    <w:rsid w:val="310E70CF"/>
    <w:rsid w:val="31796C3F"/>
    <w:rsid w:val="32AC6BA0"/>
    <w:rsid w:val="32EB3B6C"/>
    <w:rsid w:val="366B4B25"/>
    <w:rsid w:val="410230A2"/>
    <w:rsid w:val="41F8595E"/>
    <w:rsid w:val="42F02AD9"/>
    <w:rsid w:val="45576E3F"/>
    <w:rsid w:val="45AD2F03"/>
    <w:rsid w:val="47020E22"/>
    <w:rsid w:val="47633879"/>
    <w:rsid w:val="48221986"/>
    <w:rsid w:val="49A53A03"/>
    <w:rsid w:val="4ED32F5A"/>
    <w:rsid w:val="549459BA"/>
    <w:rsid w:val="59CF4D9E"/>
    <w:rsid w:val="5F3B66F6"/>
    <w:rsid w:val="62F66CAD"/>
    <w:rsid w:val="634B501D"/>
    <w:rsid w:val="66EA3218"/>
    <w:rsid w:val="67BD42B6"/>
    <w:rsid w:val="69256789"/>
    <w:rsid w:val="699851AD"/>
    <w:rsid w:val="6A097E59"/>
    <w:rsid w:val="6B5141A5"/>
    <w:rsid w:val="6C53185F"/>
    <w:rsid w:val="735650D5"/>
    <w:rsid w:val="784F737E"/>
    <w:rsid w:val="7BC6204D"/>
    <w:rsid w:val="7DA82E14"/>
    <w:rsid w:val="7E851D4C"/>
    <w:rsid w:val="7F052E8D"/>
    <w:rsid w:val="7F2F58DD"/>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27"/>
    <w:semiHidden/>
    <w:unhideWhenUsed/>
    <w:qFormat/>
    <w:uiPriority w:val="99"/>
    <w:pPr>
      <w:tabs>
        <w:tab w:val="center" w:pos="4153"/>
        <w:tab w:val="right" w:pos="8306"/>
      </w:tabs>
      <w:snapToGrid w:val="0"/>
    </w:pPr>
    <w:rPr>
      <w:sz w:val="18"/>
      <w:szCs w:val="18"/>
    </w:rPr>
  </w:style>
  <w:style w:type="paragraph" w:styleId="4">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ind w:firstLine="420" w:firstLineChars="1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单位职责文件"/>
    <w:basedOn w:val="1"/>
    <w:qFormat/>
    <w:uiPriority w:val="0"/>
    <w:pPr>
      <w:spacing w:line="500" w:lineRule="exact"/>
      <w:ind w:firstLine="560"/>
    </w:pPr>
    <w:rPr>
      <w:rFonts w:eastAsia="方正仿宋_GBK"/>
      <w:sz w:val="28"/>
    </w:rPr>
  </w:style>
  <w:style w:type="paragraph" w:customStyle="1" w:styleId="2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TOC 4"/>
    <w:basedOn w:val="1"/>
    <w:qFormat/>
    <w:uiPriority w:val="0"/>
    <w:pPr>
      <w:ind w:left="720"/>
    </w:pPr>
  </w:style>
  <w:style w:type="paragraph" w:customStyle="1" w:styleId="25">
    <w:name w:val="TOC 1"/>
    <w:basedOn w:val="1"/>
    <w:qFormat/>
    <w:uiPriority w:val="0"/>
    <w:pPr>
      <w:spacing w:before="120"/>
      <w:ind w:firstLine="560"/>
    </w:pPr>
    <w:rPr>
      <w:rFonts w:eastAsia="方正仿宋_GBK"/>
      <w:color w:val="000000"/>
      <w:sz w:val="28"/>
    </w:rPr>
  </w:style>
  <w:style w:type="character" w:customStyle="1" w:styleId="26">
    <w:name w:val="页眉 Char"/>
    <w:basedOn w:val="8"/>
    <w:link w:val="4"/>
    <w:semiHidden/>
    <w:qFormat/>
    <w:uiPriority w:val="99"/>
    <w:rPr>
      <w:rFonts w:eastAsia="Times New Roman"/>
      <w:sz w:val="18"/>
      <w:szCs w:val="18"/>
      <w:lang w:eastAsia="uk-UA"/>
    </w:rPr>
  </w:style>
  <w:style w:type="character" w:customStyle="1" w:styleId="27">
    <w:name w:val="页脚 Char"/>
    <w:basedOn w:val="8"/>
    <w:link w:val="3"/>
    <w:semiHidden/>
    <w:qFormat/>
    <w:uiPriority w:val="99"/>
    <w:rPr>
      <w:rFonts w:eastAsia="Times New Roman"/>
      <w:sz w:val="18"/>
      <w:szCs w:val="18"/>
      <w:lang w:eastAsia="uk-UA"/>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2024-02-26T10:09:57Z</dcterms:created>
  <dcterms:modified xsi:type="dcterms:W3CDTF">2024-02-26T02:09:57Z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2024-02-26T10:09:20Z</dcterms:created>
  <dcterms:modified xsi:type="dcterms:W3CDTF">2024-02-26T02:09:20Z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2024-02-26T10:09:58Z</dcterms:created>
  <dcterms:modified xsi:type="dcterms:W3CDTF">2024-02-26T02:09:58Z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2024-02-26T10:09:35Z</dcterms:created>
  <dcterms:modified xsi:type="dcterms:W3CDTF">2024-02-26T02:09:35Z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B59F7F6-51BE-4C1A-B430-5609AC836BCD}">
  <ds:schemaRefs/>
</ds:datastoreItem>
</file>

<file path=customXml/itemProps2.xml><?xml version="1.0" encoding="utf-8"?>
<ds:datastoreItem xmlns:ds="http://schemas.openxmlformats.org/officeDocument/2006/customXml" ds:itemID="{4234FA2D-D694-40E2-BB67-0722C5305F4E}">
  <ds:schemaRefs/>
</ds:datastoreItem>
</file>

<file path=customXml/itemProps3.xml><?xml version="1.0" encoding="utf-8"?>
<ds:datastoreItem xmlns:ds="http://schemas.openxmlformats.org/officeDocument/2006/customXml" ds:itemID="{DFED4F97-6E59-42F8-9640-C28DB6616759}">
  <ds:schemaRefs/>
</ds:datastoreItem>
</file>

<file path=customXml/itemProps4.xml><?xml version="1.0" encoding="utf-8"?>
<ds:datastoreItem xmlns:ds="http://schemas.openxmlformats.org/officeDocument/2006/customXml" ds:itemID="{64D9F759-6034-4D74-8238-9BEB16A66606}">
  <ds:schemaRefs/>
</ds:datastoreItem>
</file>

<file path=customXml/itemProps5.xml><?xml version="1.0" encoding="utf-8"?>
<ds:datastoreItem xmlns:ds="http://schemas.openxmlformats.org/officeDocument/2006/customXml" ds:itemID="{DBD953A7-96B4-4800-BB23-4EF1195E7F9D}">
  <ds:schemaRefs/>
</ds:datastoreItem>
</file>

<file path=customXml/itemProps6.xml><?xml version="1.0" encoding="utf-8"?>
<ds:datastoreItem xmlns:ds="http://schemas.openxmlformats.org/officeDocument/2006/customXml" ds:itemID="{53572A56-283C-4574-B700-118967E6C238}">
  <ds:schemaRefs/>
</ds:datastoreItem>
</file>

<file path=customXml/itemProps7.xml><?xml version="1.0" encoding="utf-8"?>
<ds:datastoreItem xmlns:ds="http://schemas.openxmlformats.org/officeDocument/2006/customXml" ds:itemID="{1D0C7E17-8A40-420D-96AD-C6E62DC81723}">
  <ds:schemaRefs/>
</ds:datastoreItem>
</file>

<file path=customXml/itemProps8.xml><?xml version="1.0" encoding="utf-8"?>
<ds:datastoreItem xmlns:ds="http://schemas.openxmlformats.org/officeDocument/2006/customXml" ds:itemID="{C290D8BD-F757-45AD-847F-099A6ABBA2DA}">
  <ds:schemaRefs/>
</ds:datastoreItem>
</file>

<file path=docProps/app.xml><?xml version="1.0" encoding="utf-8"?>
<Properties xmlns="http://schemas.openxmlformats.org/officeDocument/2006/extended-properties" xmlns:vt="http://schemas.openxmlformats.org/officeDocument/2006/docPropsVTypes">
  <Template>Normal</Template>
  <Pages>20</Pages>
  <Words>1136</Words>
  <Characters>6476</Characters>
  <Lines>53</Lines>
  <Paragraphs>15</Paragraphs>
  <TotalTime>10</TotalTime>
  <ScaleCrop>false</ScaleCrop>
  <LinksUpToDate>false</LinksUpToDate>
  <CharactersWithSpaces>7597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2024-02-26T02:13:00Z</dcterms:created>
  <dc:creator>Administrator</dc:creator>
  <cp:lastModifiedBy>Administrator</cp:lastModifiedBy>
  <dcterms:modified xsi:type="dcterms:W3CDTF">2024-05-11T07:12:30Z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09FC411D4DCD45E0BC5DA82C8F0DBD4D_12</vt:lpwstr>
  </property>
</Properties>
</file>