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1</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4</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9</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1</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1</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2</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rPr>
          <w:rFonts w:hint="eastAsia"/>
          <w:lang w:val="en-US" w:eastAsia="zh-CN"/>
        </w:rPr>
        <w:t>2</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2</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2</w:t>
      </w:r>
      <w:r>
        <w:fldChar w:fldCharType="end"/>
      </w:r>
      <w:r>
        <w:rPr>
          <w:rFonts w:hint="eastAsia"/>
          <w:lang w:val="en-US" w:eastAsia="zh-CN"/>
        </w:rPr>
        <w:t>5</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2</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2</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val="en-US" w:eastAsia="zh-CN"/>
        </w:rPr>
        <w:t>单位</w:t>
      </w:r>
      <w:r>
        <w:t>整体绩效目标</w:t>
      </w:r>
      <w:r>
        <w:tab/>
      </w:r>
      <w:r>
        <w:rPr>
          <w:rFonts w:hint="eastAsia"/>
          <w:lang w:val="en-US" w:eastAsia="zh-CN"/>
        </w:rPr>
        <w:t>2</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eastAsia"/>
          <w:lang w:val="en-US" w:eastAsia="zh-CN"/>
        </w:rPr>
        <w:t>3</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3</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eastAsia"/>
          <w:lang w:val="en-US" w:eastAsia="zh-CN"/>
        </w:rPr>
        <w:t>3</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eastAsia"/>
          <w:lang w:val="en-US" w:eastAsia="zh-CN"/>
        </w:rPr>
        <w:t>3</w:t>
      </w:r>
      <w:r>
        <w:fldChar w:fldCharType="end"/>
      </w:r>
      <w:r>
        <w:rPr>
          <w:rFonts w:hint="eastAsia"/>
          <w:lang w:val="en-US" w:eastAsia="zh-CN"/>
        </w:rPr>
        <w:t>9</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2640" w:firstLineChars="600"/>
        <w:jc w:val="both"/>
        <w:outlineLvl w:val="3"/>
      </w:pPr>
      <w:bookmarkStart w:id="0" w:name="_Toc_4_4_0000000001"/>
      <w:r>
        <w:rPr>
          <w:rFonts w:ascii="方正小标宋_GBK" w:hAnsi="方正小标宋_GBK" w:eastAsia="方正小标宋_GBK" w:cs="方正小标宋_GBK"/>
          <w:b w:val="0"/>
          <w:color w:val="000000"/>
          <w:sz w:val="44"/>
        </w:rPr>
        <w:t>一、成安县道东堡乡政府机关本级收支预算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806001成安县道东堡乡政府机关本级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915.18</w:t>
            </w:r>
          </w:p>
        </w:tc>
        <w:tc>
          <w:tcPr>
            <w:tcW w:w="4535" w:type="dxa"/>
            <w:vAlign w:val="center"/>
          </w:tcPr>
          <w:p>
            <w:pPr>
              <w:pStyle w:val="12"/>
            </w:pPr>
            <w:r>
              <w:t>一、一般公共服务支出</w:t>
            </w:r>
          </w:p>
        </w:tc>
        <w:tc>
          <w:tcPr>
            <w:tcW w:w="2126" w:type="dxa"/>
            <w:vAlign w:val="center"/>
          </w:tcPr>
          <w:p>
            <w:pPr>
              <w:pStyle w:val="11"/>
            </w:pPr>
            <w:r>
              <w:t>661.22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915.18</w:t>
            </w:r>
          </w:p>
        </w:tc>
        <w:tc>
          <w:tcPr>
            <w:tcW w:w="4535" w:type="dxa"/>
            <w:vAlign w:val="center"/>
          </w:tcPr>
          <w:p>
            <w:pPr>
              <w:pStyle w:val="14"/>
            </w:pPr>
            <w:r>
              <w:t>本年支出合计</w:t>
            </w:r>
          </w:p>
        </w:tc>
        <w:tc>
          <w:tcPr>
            <w:tcW w:w="2126" w:type="dxa"/>
            <w:vAlign w:val="center"/>
          </w:tcPr>
          <w:p>
            <w:pPr>
              <w:pStyle w:val="15"/>
            </w:pPr>
            <w:r>
              <w:t>915.18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915.18</w:t>
            </w:r>
          </w:p>
        </w:tc>
        <w:tc>
          <w:tcPr>
            <w:tcW w:w="4535" w:type="dxa"/>
            <w:vAlign w:val="center"/>
          </w:tcPr>
          <w:p>
            <w:pPr>
              <w:pStyle w:val="14"/>
            </w:pPr>
            <w:r>
              <w:t>支出总计</w:t>
            </w:r>
          </w:p>
        </w:tc>
        <w:tc>
          <w:tcPr>
            <w:tcW w:w="2126" w:type="dxa"/>
            <w:vAlign w:val="center"/>
          </w:tcPr>
          <w:p>
            <w:pPr>
              <w:pStyle w:val="15"/>
            </w:pPr>
            <w:r>
              <w:t>915.18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806001成安县道东堡乡政府机关本级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915.18</w:t>
            </w:r>
          </w:p>
        </w:tc>
        <w:tc>
          <w:tcPr>
            <w:tcW w:w="1134" w:type="dxa"/>
            <w:vAlign w:val="center"/>
          </w:tcPr>
          <w:p>
            <w:pPr>
              <w:pStyle w:val="15"/>
            </w:pPr>
            <w:r>
              <w:t>915.18</w:t>
            </w:r>
          </w:p>
        </w:tc>
        <w:tc>
          <w:tcPr>
            <w:tcW w:w="1134" w:type="dxa"/>
            <w:vAlign w:val="center"/>
          </w:tcPr>
          <w:p>
            <w:pPr>
              <w:pStyle w:val="15"/>
            </w:pPr>
            <w:r>
              <w:t>915.18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661.22</w:t>
            </w:r>
          </w:p>
        </w:tc>
        <w:tc>
          <w:tcPr>
            <w:tcW w:w="1134" w:type="dxa"/>
            <w:vAlign w:val="center"/>
          </w:tcPr>
          <w:p>
            <w:pPr>
              <w:pStyle w:val="11"/>
            </w:pPr>
            <w:r>
              <w:t>661.22</w:t>
            </w:r>
          </w:p>
        </w:tc>
        <w:tc>
          <w:tcPr>
            <w:tcW w:w="1134" w:type="dxa"/>
            <w:vAlign w:val="center"/>
          </w:tcPr>
          <w:p>
            <w:pPr>
              <w:pStyle w:val="11"/>
            </w:pPr>
            <w:r>
              <w:t>661.22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661.22</w:t>
            </w:r>
          </w:p>
        </w:tc>
        <w:tc>
          <w:tcPr>
            <w:tcW w:w="1134" w:type="dxa"/>
            <w:vAlign w:val="center"/>
          </w:tcPr>
          <w:p>
            <w:pPr>
              <w:pStyle w:val="11"/>
            </w:pPr>
            <w:r>
              <w:t>661.22</w:t>
            </w:r>
          </w:p>
        </w:tc>
        <w:tc>
          <w:tcPr>
            <w:tcW w:w="1134" w:type="dxa"/>
            <w:vAlign w:val="center"/>
          </w:tcPr>
          <w:p>
            <w:pPr>
              <w:pStyle w:val="11"/>
            </w:pPr>
            <w:r>
              <w:t>661.22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661.22</w:t>
            </w:r>
          </w:p>
        </w:tc>
        <w:tc>
          <w:tcPr>
            <w:tcW w:w="1134" w:type="dxa"/>
            <w:vAlign w:val="center"/>
          </w:tcPr>
          <w:p>
            <w:pPr>
              <w:pStyle w:val="11"/>
            </w:pPr>
            <w:r>
              <w:t>661.22</w:t>
            </w:r>
          </w:p>
        </w:tc>
        <w:tc>
          <w:tcPr>
            <w:tcW w:w="1134" w:type="dxa"/>
            <w:vAlign w:val="center"/>
          </w:tcPr>
          <w:p>
            <w:pPr>
              <w:pStyle w:val="11"/>
            </w:pPr>
            <w:r>
              <w:t>661.22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138.87</w:t>
            </w:r>
          </w:p>
        </w:tc>
        <w:tc>
          <w:tcPr>
            <w:tcW w:w="1134" w:type="dxa"/>
            <w:vAlign w:val="center"/>
          </w:tcPr>
          <w:p>
            <w:pPr>
              <w:pStyle w:val="11"/>
            </w:pPr>
            <w:r>
              <w:t>138.87</w:t>
            </w:r>
          </w:p>
        </w:tc>
        <w:tc>
          <w:tcPr>
            <w:tcW w:w="1134" w:type="dxa"/>
            <w:vAlign w:val="center"/>
          </w:tcPr>
          <w:p>
            <w:pPr>
              <w:pStyle w:val="11"/>
            </w:pPr>
            <w:r>
              <w:t>138.87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136.86</w:t>
            </w:r>
          </w:p>
        </w:tc>
        <w:tc>
          <w:tcPr>
            <w:tcW w:w="1134" w:type="dxa"/>
            <w:vAlign w:val="center"/>
          </w:tcPr>
          <w:p>
            <w:pPr>
              <w:pStyle w:val="11"/>
            </w:pPr>
            <w:r>
              <w:t>136.86</w:t>
            </w:r>
          </w:p>
        </w:tc>
        <w:tc>
          <w:tcPr>
            <w:tcW w:w="1134" w:type="dxa"/>
            <w:vAlign w:val="center"/>
          </w:tcPr>
          <w:p>
            <w:pPr>
              <w:pStyle w:val="11"/>
            </w:pPr>
            <w:r>
              <w:t>136.86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24.16</w:t>
            </w:r>
          </w:p>
        </w:tc>
        <w:tc>
          <w:tcPr>
            <w:tcW w:w="1134" w:type="dxa"/>
            <w:vAlign w:val="center"/>
          </w:tcPr>
          <w:p>
            <w:pPr>
              <w:pStyle w:val="11"/>
            </w:pPr>
            <w:r>
              <w:t>24.16</w:t>
            </w:r>
          </w:p>
        </w:tc>
        <w:tc>
          <w:tcPr>
            <w:tcW w:w="1134" w:type="dxa"/>
            <w:vAlign w:val="center"/>
          </w:tcPr>
          <w:p>
            <w:pPr>
              <w:pStyle w:val="11"/>
            </w:pPr>
            <w:r>
              <w:t>24.16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112.69</w:t>
            </w:r>
          </w:p>
        </w:tc>
        <w:tc>
          <w:tcPr>
            <w:tcW w:w="1134" w:type="dxa"/>
            <w:vAlign w:val="center"/>
          </w:tcPr>
          <w:p>
            <w:pPr>
              <w:pStyle w:val="11"/>
            </w:pPr>
            <w:r>
              <w:t>112.69</w:t>
            </w:r>
          </w:p>
        </w:tc>
        <w:tc>
          <w:tcPr>
            <w:tcW w:w="1134" w:type="dxa"/>
            <w:vAlign w:val="center"/>
          </w:tcPr>
          <w:p>
            <w:pPr>
              <w:pStyle w:val="11"/>
            </w:pPr>
            <w:r>
              <w:t>112.69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2.02</w:t>
            </w:r>
          </w:p>
        </w:tc>
        <w:tc>
          <w:tcPr>
            <w:tcW w:w="1134" w:type="dxa"/>
            <w:vAlign w:val="center"/>
          </w:tcPr>
          <w:p>
            <w:pPr>
              <w:pStyle w:val="11"/>
            </w:pPr>
            <w:r>
              <w:t>2.02</w:t>
            </w:r>
          </w:p>
        </w:tc>
        <w:tc>
          <w:tcPr>
            <w:tcW w:w="1134" w:type="dxa"/>
            <w:vAlign w:val="center"/>
          </w:tcPr>
          <w:p>
            <w:pPr>
              <w:pStyle w:val="11"/>
            </w:pPr>
            <w:r>
              <w:t>2.02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2.02</w:t>
            </w:r>
          </w:p>
        </w:tc>
        <w:tc>
          <w:tcPr>
            <w:tcW w:w="1134" w:type="dxa"/>
            <w:vAlign w:val="center"/>
          </w:tcPr>
          <w:p>
            <w:pPr>
              <w:pStyle w:val="11"/>
            </w:pPr>
            <w:r>
              <w:t>2.02</w:t>
            </w:r>
          </w:p>
        </w:tc>
        <w:tc>
          <w:tcPr>
            <w:tcW w:w="1134" w:type="dxa"/>
            <w:vAlign w:val="center"/>
          </w:tcPr>
          <w:p>
            <w:pPr>
              <w:pStyle w:val="11"/>
            </w:pPr>
            <w:r>
              <w:t>2.02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25.74</w:t>
            </w:r>
          </w:p>
        </w:tc>
        <w:tc>
          <w:tcPr>
            <w:tcW w:w="1134" w:type="dxa"/>
            <w:vAlign w:val="center"/>
          </w:tcPr>
          <w:p>
            <w:pPr>
              <w:pStyle w:val="11"/>
            </w:pPr>
            <w:r>
              <w:t>25.74</w:t>
            </w:r>
          </w:p>
        </w:tc>
        <w:tc>
          <w:tcPr>
            <w:tcW w:w="1134" w:type="dxa"/>
            <w:vAlign w:val="center"/>
          </w:tcPr>
          <w:p>
            <w:pPr>
              <w:pStyle w:val="11"/>
            </w:pPr>
            <w:r>
              <w:t>25.74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25.74</w:t>
            </w:r>
          </w:p>
        </w:tc>
        <w:tc>
          <w:tcPr>
            <w:tcW w:w="1134" w:type="dxa"/>
            <w:vAlign w:val="center"/>
          </w:tcPr>
          <w:p>
            <w:pPr>
              <w:pStyle w:val="11"/>
            </w:pPr>
            <w:r>
              <w:t>25.74</w:t>
            </w:r>
          </w:p>
        </w:tc>
        <w:tc>
          <w:tcPr>
            <w:tcW w:w="1134" w:type="dxa"/>
            <w:vAlign w:val="center"/>
          </w:tcPr>
          <w:p>
            <w:pPr>
              <w:pStyle w:val="11"/>
            </w:pPr>
            <w:r>
              <w:t>25.74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25.74</w:t>
            </w:r>
          </w:p>
        </w:tc>
        <w:tc>
          <w:tcPr>
            <w:tcW w:w="1134" w:type="dxa"/>
            <w:vAlign w:val="center"/>
          </w:tcPr>
          <w:p>
            <w:pPr>
              <w:pStyle w:val="11"/>
            </w:pPr>
            <w:r>
              <w:t>25.74</w:t>
            </w:r>
          </w:p>
        </w:tc>
        <w:tc>
          <w:tcPr>
            <w:tcW w:w="1134" w:type="dxa"/>
            <w:vAlign w:val="center"/>
          </w:tcPr>
          <w:p>
            <w:pPr>
              <w:pStyle w:val="11"/>
            </w:pPr>
            <w:r>
              <w:t>25.74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56.02</w:t>
            </w:r>
          </w:p>
        </w:tc>
        <w:tc>
          <w:tcPr>
            <w:tcW w:w="1134" w:type="dxa"/>
            <w:vAlign w:val="center"/>
          </w:tcPr>
          <w:p>
            <w:pPr>
              <w:pStyle w:val="11"/>
            </w:pPr>
            <w:r>
              <w:t>56.02</w:t>
            </w:r>
          </w:p>
        </w:tc>
        <w:tc>
          <w:tcPr>
            <w:tcW w:w="1134" w:type="dxa"/>
            <w:vAlign w:val="center"/>
          </w:tcPr>
          <w:p>
            <w:pPr>
              <w:pStyle w:val="11"/>
            </w:pPr>
            <w:r>
              <w:t>56.02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56.02</w:t>
            </w:r>
          </w:p>
        </w:tc>
        <w:tc>
          <w:tcPr>
            <w:tcW w:w="1134" w:type="dxa"/>
            <w:vAlign w:val="center"/>
          </w:tcPr>
          <w:p>
            <w:pPr>
              <w:pStyle w:val="11"/>
            </w:pPr>
            <w:r>
              <w:t>56.02</w:t>
            </w:r>
          </w:p>
        </w:tc>
        <w:tc>
          <w:tcPr>
            <w:tcW w:w="1134" w:type="dxa"/>
            <w:vAlign w:val="center"/>
          </w:tcPr>
          <w:p>
            <w:pPr>
              <w:pStyle w:val="11"/>
            </w:pPr>
            <w:r>
              <w:t>56.02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56.02</w:t>
            </w:r>
          </w:p>
        </w:tc>
        <w:tc>
          <w:tcPr>
            <w:tcW w:w="1134" w:type="dxa"/>
            <w:vAlign w:val="center"/>
          </w:tcPr>
          <w:p>
            <w:pPr>
              <w:pStyle w:val="11"/>
            </w:pPr>
            <w:r>
              <w:t>56.02</w:t>
            </w:r>
          </w:p>
        </w:tc>
        <w:tc>
          <w:tcPr>
            <w:tcW w:w="1134" w:type="dxa"/>
            <w:vAlign w:val="center"/>
          </w:tcPr>
          <w:p>
            <w:pPr>
              <w:pStyle w:val="11"/>
            </w:pPr>
            <w:r>
              <w:t>56.02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33.33</w:t>
            </w:r>
          </w:p>
        </w:tc>
        <w:tc>
          <w:tcPr>
            <w:tcW w:w="1134" w:type="dxa"/>
            <w:vAlign w:val="center"/>
          </w:tcPr>
          <w:p>
            <w:pPr>
              <w:pStyle w:val="11"/>
            </w:pPr>
            <w:r>
              <w:t>33.33</w:t>
            </w:r>
          </w:p>
        </w:tc>
        <w:tc>
          <w:tcPr>
            <w:tcW w:w="1134" w:type="dxa"/>
            <w:vAlign w:val="center"/>
          </w:tcPr>
          <w:p>
            <w:pPr>
              <w:pStyle w:val="11"/>
            </w:pPr>
            <w:r>
              <w:t>33.33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33.33</w:t>
            </w:r>
          </w:p>
        </w:tc>
        <w:tc>
          <w:tcPr>
            <w:tcW w:w="1134" w:type="dxa"/>
            <w:vAlign w:val="center"/>
          </w:tcPr>
          <w:p>
            <w:pPr>
              <w:pStyle w:val="11"/>
            </w:pPr>
            <w:r>
              <w:t>33.33</w:t>
            </w:r>
          </w:p>
        </w:tc>
        <w:tc>
          <w:tcPr>
            <w:tcW w:w="1134" w:type="dxa"/>
            <w:vAlign w:val="center"/>
          </w:tcPr>
          <w:p>
            <w:pPr>
              <w:pStyle w:val="11"/>
            </w:pPr>
            <w:r>
              <w:t>33.33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33.33</w:t>
            </w:r>
          </w:p>
        </w:tc>
        <w:tc>
          <w:tcPr>
            <w:tcW w:w="1134" w:type="dxa"/>
            <w:vAlign w:val="center"/>
          </w:tcPr>
          <w:p>
            <w:pPr>
              <w:pStyle w:val="11"/>
            </w:pPr>
            <w:r>
              <w:t>33.33</w:t>
            </w:r>
          </w:p>
        </w:tc>
        <w:tc>
          <w:tcPr>
            <w:tcW w:w="1134" w:type="dxa"/>
            <w:vAlign w:val="center"/>
          </w:tcPr>
          <w:p>
            <w:pPr>
              <w:pStyle w:val="11"/>
            </w:pPr>
            <w:r>
              <w:t>33.33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806001成安县道东堡乡政府机关本级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915.18</w:t>
            </w:r>
          </w:p>
        </w:tc>
        <w:tc>
          <w:tcPr>
            <w:tcW w:w="1361" w:type="dxa"/>
            <w:vAlign w:val="center"/>
          </w:tcPr>
          <w:p>
            <w:pPr>
              <w:pStyle w:val="15"/>
            </w:pPr>
            <w:r>
              <w:t>638.63</w:t>
            </w:r>
          </w:p>
        </w:tc>
        <w:tc>
          <w:tcPr>
            <w:tcW w:w="1361" w:type="dxa"/>
            <w:vAlign w:val="center"/>
          </w:tcPr>
          <w:p>
            <w:pPr>
              <w:pStyle w:val="15"/>
            </w:pPr>
            <w:r>
              <w:t>276.55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661.22</w:t>
            </w:r>
          </w:p>
        </w:tc>
        <w:tc>
          <w:tcPr>
            <w:tcW w:w="1361" w:type="dxa"/>
            <w:vAlign w:val="center"/>
          </w:tcPr>
          <w:p>
            <w:pPr>
              <w:pStyle w:val="11"/>
            </w:pPr>
            <w:r>
              <w:t>440.69</w:t>
            </w:r>
          </w:p>
        </w:tc>
        <w:tc>
          <w:tcPr>
            <w:tcW w:w="1361" w:type="dxa"/>
            <w:vAlign w:val="center"/>
          </w:tcPr>
          <w:p>
            <w:pPr>
              <w:pStyle w:val="11"/>
            </w:pPr>
            <w:r>
              <w:t>220.53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661.22</w:t>
            </w:r>
          </w:p>
        </w:tc>
        <w:tc>
          <w:tcPr>
            <w:tcW w:w="1361" w:type="dxa"/>
            <w:vAlign w:val="center"/>
          </w:tcPr>
          <w:p>
            <w:pPr>
              <w:pStyle w:val="11"/>
            </w:pPr>
            <w:r>
              <w:t>440.69</w:t>
            </w:r>
          </w:p>
        </w:tc>
        <w:tc>
          <w:tcPr>
            <w:tcW w:w="1361" w:type="dxa"/>
            <w:vAlign w:val="center"/>
          </w:tcPr>
          <w:p>
            <w:pPr>
              <w:pStyle w:val="11"/>
            </w:pPr>
            <w:r>
              <w:t>220.53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661.22</w:t>
            </w:r>
          </w:p>
        </w:tc>
        <w:tc>
          <w:tcPr>
            <w:tcW w:w="1361" w:type="dxa"/>
            <w:vAlign w:val="center"/>
          </w:tcPr>
          <w:p>
            <w:pPr>
              <w:pStyle w:val="11"/>
            </w:pPr>
            <w:r>
              <w:t>440.69</w:t>
            </w:r>
          </w:p>
        </w:tc>
        <w:tc>
          <w:tcPr>
            <w:tcW w:w="1361" w:type="dxa"/>
            <w:vAlign w:val="center"/>
          </w:tcPr>
          <w:p>
            <w:pPr>
              <w:pStyle w:val="11"/>
            </w:pPr>
            <w:r>
              <w:t>220.53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138.87</w:t>
            </w:r>
          </w:p>
        </w:tc>
        <w:tc>
          <w:tcPr>
            <w:tcW w:w="1361" w:type="dxa"/>
            <w:vAlign w:val="center"/>
          </w:tcPr>
          <w:p>
            <w:pPr>
              <w:pStyle w:val="11"/>
            </w:pPr>
            <w:r>
              <w:t>138.87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136.86</w:t>
            </w:r>
          </w:p>
        </w:tc>
        <w:tc>
          <w:tcPr>
            <w:tcW w:w="1361" w:type="dxa"/>
            <w:vAlign w:val="center"/>
          </w:tcPr>
          <w:p>
            <w:pPr>
              <w:pStyle w:val="11"/>
            </w:pPr>
            <w:r>
              <w:t>136.86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24.16</w:t>
            </w:r>
          </w:p>
        </w:tc>
        <w:tc>
          <w:tcPr>
            <w:tcW w:w="1361" w:type="dxa"/>
            <w:vAlign w:val="center"/>
          </w:tcPr>
          <w:p>
            <w:pPr>
              <w:pStyle w:val="11"/>
            </w:pPr>
            <w:r>
              <w:t>24.16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112.69</w:t>
            </w:r>
          </w:p>
        </w:tc>
        <w:tc>
          <w:tcPr>
            <w:tcW w:w="1361" w:type="dxa"/>
            <w:vAlign w:val="center"/>
          </w:tcPr>
          <w:p>
            <w:pPr>
              <w:pStyle w:val="11"/>
            </w:pPr>
            <w:r>
              <w:t>112.69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2.02</w:t>
            </w:r>
          </w:p>
        </w:tc>
        <w:tc>
          <w:tcPr>
            <w:tcW w:w="1361" w:type="dxa"/>
            <w:vAlign w:val="center"/>
          </w:tcPr>
          <w:p>
            <w:pPr>
              <w:pStyle w:val="11"/>
            </w:pPr>
            <w:r>
              <w:t>2.02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2.02</w:t>
            </w:r>
          </w:p>
        </w:tc>
        <w:tc>
          <w:tcPr>
            <w:tcW w:w="1361" w:type="dxa"/>
            <w:vAlign w:val="center"/>
          </w:tcPr>
          <w:p>
            <w:pPr>
              <w:pStyle w:val="11"/>
            </w:pPr>
            <w:r>
              <w:t>2.02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25.74</w:t>
            </w:r>
          </w:p>
        </w:tc>
        <w:tc>
          <w:tcPr>
            <w:tcW w:w="1361" w:type="dxa"/>
            <w:vAlign w:val="center"/>
          </w:tcPr>
          <w:p>
            <w:pPr>
              <w:pStyle w:val="11"/>
            </w:pPr>
            <w:r>
              <w:t>25.74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25.74</w:t>
            </w:r>
          </w:p>
        </w:tc>
        <w:tc>
          <w:tcPr>
            <w:tcW w:w="1361" w:type="dxa"/>
            <w:vAlign w:val="center"/>
          </w:tcPr>
          <w:p>
            <w:pPr>
              <w:pStyle w:val="11"/>
            </w:pPr>
            <w:r>
              <w:t>25.74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25.74</w:t>
            </w:r>
          </w:p>
        </w:tc>
        <w:tc>
          <w:tcPr>
            <w:tcW w:w="1361" w:type="dxa"/>
            <w:vAlign w:val="center"/>
          </w:tcPr>
          <w:p>
            <w:pPr>
              <w:pStyle w:val="11"/>
            </w:pPr>
            <w:r>
              <w:t>25.74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56.02</w:t>
            </w:r>
          </w:p>
        </w:tc>
        <w:tc>
          <w:tcPr>
            <w:tcW w:w="1361" w:type="dxa"/>
            <w:vAlign w:val="center"/>
          </w:tcPr>
          <w:p>
            <w:pPr>
              <w:pStyle w:val="11"/>
            </w:pPr>
          </w:p>
        </w:tc>
        <w:tc>
          <w:tcPr>
            <w:tcW w:w="1361" w:type="dxa"/>
            <w:vAlign w:val="center"/>
          </w:tcPr>
          <w:p>
            <w:pPr>
              <w:pStyle w:val="11"/>
            </w:pPr>
            <w:r>
              <w:t>56.02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56.02</w:t>
            </w:r>
          </w:p>
        </w:tc>
        <w:tc>
          <w:tcPr>
            <w:tcW w:w="1361" w:type="dxa"/>
            <w:vAlign w:val="center"/>
          </w:tcPr>
          <w:p>
            <w:pPr>
              <w:pStyle w:val="11"/>
            </w:pPr>
          </w:p>
        </w:tc>
        <w:tc>
          <w:tcPr>
            <w:tcW w:w="1361" w:type="dxa"/>
            <w:vAlign w:val="center"/>
          </w:tcPr>
          <w:p>
            <w:pPr>
              <w:pStyle w:val="11"/>
            </w:pPr>
            <w:r>
              <w:t>56.02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56.02</w:t>
            </w:r>
          </w:p>
        </w:tc>
        <w:tc>
          <w:tcPr>
            <w:tcW w:w="1361" w:type="dxa"/>
            <w:vAlign w:val="center"/>
          </w:tcPr>
          <w:p>
            <w:pPr>
              <w:pStyle w:val="11"/>
            </w:pPr>
          </w:p>
        </w:tc>
        <w:tc>
          <w:tcPr>
            <w:tcW w:w="1361" w:type="dxa"/>
            <w:vAlign w:val="center"/>
          </w:tcPr>
          <w:p>
            <w:pPr>
              <w:pStyle w:val="11"/>
            </w:pPr>
            <w:r>
              <w:t>56.02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33.33</w:t>
            </w:r>
          </w:p>
        </w:tc>
        <w:tc>
          <w:tcPr>
            <w:tcW w:w="1361" w:type="dxa"/>
            <w:vAlign w:val="center"/>
          </w:tcPr>
          <w:p>
            <w:pPr>
              <w:pStyle w:val="11"/>
            </w:pPr>
            <w:r>
              <w:t>33.33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33.33</w:t>
            </w:r>
          </w:p>
        </w:tc>
        <w:tc>
          <w:tcPr>
            <w:tcW w:w="1361" w:type="dxa"/>
            <w:vAlign w:val="center"/>
          </w:tcPr>
          <w:p>
            <w:pPr>
              <w:pStyle w:val="11"/>
            </w:pPr>
            <w:r>
              <w:t>33.33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33.33</w:t>
            </w:r>
          </w:p>
        </w:tc>
        <w:tc>
          <w:tcPr>
            <w:tcW w:w="1361" w:type="dxa"/>
            <w:vAlign w:val="center"/>
          </w:tcPr>
          <w:p>
            <w:pPr>
              <w:pStyle w:val="11"/>
            </w:pPr>
            <w:r>
              <w:t>33.33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806001成安县道东堡乡政府机关本级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915.18</w:t>
            </w:r>
          </w:p>
        </w:tc>
        <w:tc>
          <w:tcPr>
            <w:tcW w:w="3402" w:type="dxa"/>
            <w:vAlign w:val="center"/>
          </w:tcPr>
          <w:p>
            <w:pPr>
              <w:pStyle w:val="12"/>
            </w:pPr>
            <w:r>
              <w:t>一、一般公共服务支出</w:t>
            </w:r>
          </w:p>
        </w:tc>
        <w:tc>
          <w:tcPr>
            <w:tcW w:w="1474" w:type="dxa"/>
            <w:vAlign w:val="center"/>
          </w:tcPr>
          <w:p>
            <w:pPr>
              <w:pStyle w:val="11"/>
            </w:pPr>
            <w:r>
              <w:t>661.22</w:t>
            </w:r>
          </w:p>
        </w:tc>
        <w:tc>
          <w:tcPr>
            <w:tcW w:w="1474" w:type="dxa"/>
            <w:vAlign w:val="center"/>
          </w:tcPr>
          <w:p>
            <w:pPr>
              <w:pStyle w:val="11"/>
            </w:pPr>
            <w:r>
              <w:t>661.22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138.87</w:t>
            </w:r>
          </w:p>
        </w:tc>
        <w:tc>
          <w:tcPr>
            <w:tcW w:w="1474" w:type="dxa"/>
            <w:vAlign w:val="center"/>
          </w:tcPr>
          <w:p>
            <w:pPr>
              <w:pStyle w:val="11"/>
            </w:pPr>
            <w:r>
              <w:t>138.87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25.74</w:t>
            </w:r>
          </w:p>
        </w:tc>
        <w:tc>
          <w:tcPr>
            <w:tcW w:w="1474" w:type="dxa"/>
            <w:vAlign w:val="center"/>
          </w:tcPr>
          <w:p>
            <w:pPr>
              <w:pStyle w:val="11"/>
            </w:pPr>
            <w:r>
              <w:t>25.74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56.02</w:t>
            </w:r>
          </w:p>
        </w:tc>
        <w:tc>
          <w:tcPr>
            <w:tcW w:w="1474" w:type="dxa"/>
            <w:vAlign w:val="center"/>
          </w:tcPr>
          <w:p>
            <w:pPr>
              <w:pStyle w:val="11"/>
            </w:pPr>
            <w:r>
              <w:t>56.02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33.33</w:t>
            </w:r>
          </w:p>
        </w:tc>
        <w:tc>
          <w:tcPr>
            <w:tcW w:w="1474" w:type="dxa"/>
            <w:vAlign w:val="center"/>
          </w:tcPr>
          <w:p>
            <w:pPr>
              <w:pStyle w:val="11"/>
            </w:pPr>
            <w:r>
              <w:t>33.33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915.18</w:t>
            </w:r>
          </w:p>
        </w:tc>
        <w:tc>
          <w:tcPr>
            <w:tcW w:w="3402" w:type="dxa"/>
            <w:vAlign w:val="center"/>
          </w:tcPr>
          <w:p>
            <w:pPr>
              <w:pStyle w:val="14"/>
            </w:pPr>
            <w:r>
              <w:t>本年支出合计</w:t>
            </w:r>
          </w:p>
        </w:tc>
        <w:tc>
          <w:tcPr>
            <w:tcW w:w="1474" w:type="dxa"/>
            <w:vAlign w:val="center"/>
          </w:tcPr>
          <w:p>
            <w:pPr>
              <w:pStyle w:val="15"/>
            </w:pPr>
            <w:r>
              <w:t>915.18</w:t>
            </w:r>
          </w:p>
        </w:tc>
        <w:tc>
          <w:tcPr>
            <w:tcW w:w="1474" w:type="dxa"/>
            <w:vAlign w:val="center"/>
          </w:tcPr>
          <w:p>
            <w:pPr>
              <w:pStyle w:val="15"/>
            </w:pPr>
            <w:r>
              <w:t>915.18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915.18</w:t>
            </w:r>
          </w:p>
        </w:tc>
        <w:tc>
          <w:tcPr>
            <w:tcW w:w="3402" w:type="dxa"/>
            <w:vAlign w:val="center"/>
          </w:tcPr>
          <w:p>
            <w:pPr>
              <w:pStyle w:val="14"/>
            </w:pPr>
            <w:r>
              <w:t>支出总计</w:t>
            </w:r>
          </w:p>
        </w:tc>
        <w:tc>
          <w:tcPr>
            <w:tcW w:w="1474" w:type="dxa"/>
            <w:vAlign w:val="center"/>
          </w:tcPr>
          <w:p>
            <w:pPr>
              <w:pStyle w:val="15"/>
            </w:pPr>
            <w:r>
              <w:t>915.18</w:t>
            </w:r>
          </w:p>
        </w:tc>
        <w:tc>
          <w:tcPr>
            <w:tcW w:w="1474" w:type="dxa"/>
            <w:vAlign w:val="center"/>
          </w:tcPr>
          <w:p>
            <w:pPr>
              <w:pStyle w:val="15"/>
            </w:pPr>
            <w:r>
              <w:t>915.18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806001成安县道东堡乡政府机关本级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915.18</w:t>
            </w:r>
          </w:p>
        </w:tc>
        <w:tc>
          <w:tcPr>
            <w:tcW w:w="2551" w:type="dxa"/>
            <w:vAlign w:val="center"/>
          </w:tcPr>
          <w:p>
            <w:pPr>
              <w:pStyle w:val="15"/>
            </w:pPr>
            <w:r>
              <w:t>638.63</w:t>
            </w:r>
          </w:p>
        </w:tc>
        <w:tc>
          <w:tcPr>
            <w:tcW w:w="2551" w:type="dxa"/>
            <w:vAlign w:val="center"/>
          </w:tcPr>
          <w:p>
            <w:pPr>
              <w:pStyle w:val="15"/>
            </w:pPr>
            <w:r>
              <w:t>276.55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661.22</w:t>
            </w:r>
          </w:p>
        </w:tc>
        <w:tc>
          <w:tcPr>
            <w:tcW w:w="2551" w:type="dxa"/>
            <w:vAlign w:val="center"/>
          </w:tcPr>
          <w:p>
            <w:pPr>
              <w:pStyle w:val="11"/>
            </w:pPr>
            <w:r>
              <w:t>440.69</w:t>
            </w:r>
          </w:p>
        </w:tc>
        <w:tc>
          <w:tcPr>
            <w:tcW w:w="2551" w:type="dxa"/>
            <w:vAlign w:val="center"/>
          </w:tcPr>
          <w:p>
            <w:pPr>
              <w:pStyle w:val="11"/>
            </w:pPr>
            <w:r>
              <w:t>220.53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661.22</w:t>
            </w:r>
          </w:p>
        </w:tc>
        <w:tc>
          <w:tcPr>
            <w:tcW w:w="2551" w:type="dxa"/>
            <w:vAlign w:val="center"/>
          </w:tcPr>
          <w:p>
            <w:pPr>
              <w:pStyle w:val="11"/>
            </w:pPr>
            <w:r>
              <w:t>440.69</w:t>
            </w:r>
          </w:p>
        </w:tc>
        <w:tc>
          <w:tcPr>
            <w:tcW w:w="2551" w:type="dxa"/>
            <w:vAlign w:val="center"/>
          </w:tcPr>
          <w:p>
            <w:pPr>
              <w:pStyle w:val="11"/>
            </w:pPr>
            <w:r>
              <w:t>220.53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661.22</w:t>
            </w:r>
          </w:p>
        </w:tc>
        <w:tc>
          <w:tcPr>
            <w:tcW w:w="2551" w:type="dxa"/>
            <w:vAlign w:val="center"/>
          </w:tcPr>
          <w:p>
            <w:pPr>
              <w:pStyle w:val="11"/>
            </w:pPr>
            <w:r>
              <w:t>440.69</w:t>
            </w:r>
          </w:p>
        </w:tc>
        <w:tc>
          <w:tcPr>
            <w:tcW w:w="2551" w:type="dxa"/>
            <w:vAlign w:val="center"/>
          </w:tcPr>
          <w:p>
            <w:pPr>
              <w:pStyle w:val="11"/>
            </w:pPr>
            <w:r>
              <w:t>220.53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138.87</w:t>
            </w:r>
          </w:p>
        </w:tc>
        <w:tc>
          <w:tcPr>
            <w:tcW w:w="2551" w:type="dxa"/>
            <w:vAlign w:val="center"/>
          </w:tcPr>
          <w:p>
            <w:pPr>
              <w:pStyle w:val="11"/>
            </w:pPr>
            <w:r>
              <w:t>138.87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136.86</w:t>
            </w:r>
          </w:p>
        </w:tc>
        <w:tc>
          <w:tcPr>
            <w:tcW w:w="2551" w:type="dxa"/>
            <w:vAlign w:val="center"/>
          </w:tcPr>
          <w:p>
            <w:pPr>
              <w:pStyle w:val="11"/>
            </w:pPr>
            <w:r>
              <w:t>136.86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24.16</w:t>
            </w:r>
          </w:p>
        </w:tc>
        <w:tc>
          <w:tcPr>
            <w:tcW w:w="2551" w:type="dxa"/>
            <w:vAlign w:val="center"/>
          </w:tcPr>
          <w:p>
            <w:pPr>
              <w:pStyle w:val="11"/>
            </w:pPr>
            <w:r>
              <w:t>24.16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112.69</w:t>
            </w:r>
          </w:p>
        </w:tc>
        <w:tc>
          <w:tcPr>
            <w:tcW w:w="2551" w:type="dxa"/>
            <w:vAlign w:val="center"/>
          </w:tcPr>
          <w:p>
            <w:pPr>
              <w:pStyle w:val="11"/>
            </w:pPr>
            <w:r>
              <w:t>112.69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2.02</w:t>
            </w:r>
          </w:p>
        </w:tc>
        <w:tc>
          <w:tcPr>
            <w:tcW w:w="2551" w:type="dxa"/>
            <w:vAlign w:val="center"/>
          </w:tcPr>
          <w:p>
            <w:pPr>
              <w:pStyle w:val="11"/>
            </w:pPr>
            <w:r>
              <w:t>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2.02</w:t>
            </w:r>
          </w:p>
        </w:tc>
        <w:tc>
          <w:tcPr>
            <w:tcW w:w="2551" w:type="dxa"/>
            <w:vAlign w:val="center"/>
          </w:tcPr>
          <w:p>
            <w:pPr>
              <w:pStyle w:val="11"/>
            </w:pPr>
            <w:r>
              <w:t>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25.74</w:t>
            </w:r>
          </w:p>
        </w:tc>
        <w:tc>
          <w:tcPr>
            <w:tcW w:w="2551" w:type="dxa"/>
            <w:vAlign w:val="center"/>
          </w:tcPr>
          <w:p>
            <w:pPr>
              <w:pStyle w:val="11"/>
            </w:pPr>
            <w:r>
              <w:t>25.74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25.74</w:t>
            </w:r>
          </w:p>
        </w:tc>
        <w:tc>
          <w:tcPr>
            <w:tcW w:w="2551" w:type="dxa"/>
            <w:vAlign w:val="center"/>
          </w:tcPr>
          <w:p>
            <w:pPr>
              <w:pStyle w:val="11"/>
            </w:pPr>
            <w:r>
              <w:t>25.74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25.74</w:t>
            </w:r>
          </w:p>
        </w:tc>
        <w:tc>
          <w:tcPr>
            <w:tcW w:w="2551" w:type="dxa"/>
            <w:vAlign w:val="center"/>
          </w:tcPr>
          <w:p>
            <w:pPr>
              <w:pStyle w:val="11"/>
            </w:pPr>
            <w:r>
              <w:t>25.74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56.02</w:t>
            </w:r>
          </w:p>
        </w:tc>
        <w:tc>
          <w:tcPr>
            <w:tcW w:w="2551" w:type="dxa"/>
            <w:vAlign w:val="center"/>
          </w:tcPr>
          <w:p>
            <w:pPr>
              <w:pStyle w:val="11"/>
            </w:pPr>
          </w:p>
        </w:tc>
        <w:tc>
          <w:tcPr>
            <w:tcW w:w="2551" w:type="dxa"/>
            <w:vAlign w:val="center"/>
          </w:tcPr>
          <w:p>
            <w:pPr>
              <w:pStyle w:val="11"/>
            </w:pPr>
            <w:r>
              <w:t>56.02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56.02</w:t>
            </w:r>
          </w:p>
        </w:tc>
        <w:tc>
          <w:tcPr>
            <w:tcW w:w="2551" w:type="dxa"/>
            <w:vAlign w:val="center"/>
          </w:tcPr>
          <w:p>
            <w:pPr>
              <w:pStyle w:val="11"/>
            </w:pPr>
          </w:p>
        </w:tc>
        <w:tc>
          <w:tcPr>
            <w:tcW w:w="2551" w:type="dxa"/>
            <w:vAlign w:val="center"/>
          </w:tcPr>
          <w:p>
            <w:pPr>
              <w:pStyle w:val="11"/>
            </w:pPr>
            <w:r>
              <w:t>56.02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56.02</w:t>
            </w:r>
          </w:p>
        </w:tc>
        <w:tc>
          <w:tcPr>
            <w:tcW w:w="2551" w:type="dxa"/>
            <w:vAlign w:val="center"/>
          </w:tcPr>
          <w:p>
            <w:pPr>
              <w:pStyle w:val="11"/>
            </w:pPr>
          </w:p>
        </w:tc>
        <w:tc>
          <w:tcPr>
            <w:tcW w:w="2551" w:type="dxa"/>
            <w:vAlign w:val="center"/>
          </w:tcPr>
          <w:p>
            <w:pPr>
              <w:pStyle w:val="11"/>
            </w:pPr>
            <w:r>
              <w:t>56.02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33.33</w:t>
            </w:r>
          </w:p>
        </w:tc>
        <w:tc>
          <w:tcPr>
            <w:tcW w:w="2551" w:type="dxa"/>
            <w:vAlign w:val="center"/>
          </w:tcPr>
          <w:p>
            <w:pPr>
              <w:pStyle w:val="11"/>
            </w:pPr>
            <w:r>
              <w:t>33.33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33.33</w:t>
            </w:r>
          </w:p>
        </w:tc>
        <w:tc>
          <w:tcPr>
            <w:tcW w:w="2551" w:type="dxa"/>
            <w:vAlign w:val="center"/>
          </w:tcPr>
          <w:p>
            <w:pPr>
              <w:pStyle w:val="11"/>
            </w:pPr>
            <w:r>
              <w:t>33.33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33.33</w:t>
            </w:r>
          </w:p>
        </w:tc>
        <w:tc>
          <w:tcPr>
            <w:tcW w:w="2551" w:type="dxa"/>
            <w:vAlign w:val="center"/>
          </w:tcPr>
          <w:p>
            <w:pPr>
              <w:pStyle w:val="11"/>
            </w:pPr>
            <w:r>
              <w:t>33.33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806001成安县道东堡乡政府机关本级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638.63</w:t>
            </w:r>
          </w:p>
        </w:tc>
        <w:tc>
          <w:tcPr>
            <w:tcW w:w="2551" w:type="dxa"/>
            <w:vAlign w:val="center"/>
          </w:tcPr>
          <w:p>
            <w:pPr>
              <w:pStyle w:val="15"/>
            </w:pPr>
            <w:r>
              <w:t>603.65</w:t>
            </w:r>
          </w:p>
        </w:tc>
        <w:tc>
          <w:tcPr>
            <w:tcW w:w="2551" w:type="dxa"/>
            <w:vAlign w:val="center"/>
          </w:tcPr>
          <w:p>
            <w:pPr>
              <w:pStyle w:val="15"/>
            </w:pPr>
            <w:r>
              <w:t>34.98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577.47</w:t>
            </w:r>
          </w:p>
        </w:tc>
        <w:tc>
          <w:tcPr>
            <w:tcW w:w="2551" w:type="dxa"/>
            <w:vAlign w:val="center"/>
          </w:tcPr>
          <w:p>
            <w:pPr>
              <w:pStyle w:val="11"/>
            </w:pPr>
            <w:r>
              <w:t>577.47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306.08</w:t>
            </w:r>
          </w:p>
        </w:tc>
        <w:tc>
          <w:tcPr>
            <w:tcW w:w="2551" w:type="dxa"/>
            <w:vAlign w:val="center"/>
          </w:tcPr>
          <w:p>
            <w:pPr>
              <w:pStyle w:val="11"/>
            </w:pPr>
            <w:r>
              <w:t>306.08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82.38</w:t>
            </w:r>
          </w:p>
        </w:tc>
        <w:tc>
          <w:tcPr>
            <w:tcW w:w="2551" w:type="dxa"/>
            <w:vAlign w:val="center"/>
          </w:tcPr>
          <w:p>
            <w:pPr>
              <w:pStyle w:val="11"/>
            </w:pPr>
            <w:r>
              <w:t>82.38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9.03</w:t>
            </w:r>
          </w:p>
        </w:tc>
        <w:tc>
          <w:tcPr>
            <w:tcW w:w="2551" w:type="dxa"/>
            <w:vAlign w:val="center"/>
          </w:tcPr>
          <w:p>
            <w:pPr>
              <w:pStyle w:val="11"/>
            </w:pPr>
            <w:r>
              <w:t>9.03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6.79</w:t>
            </w:r>
          </w:p>
        </w:tc>
        <w:tc>
          <w:tcPr>
            <w:tcW w:w="2551" w:type="dxa"/>
            <w:vAlign w:val="center"/>
          </w:tcPr>
          <w:p>
            <w:pPr>
              <w:pStyle w:val="11"/>
            </w:pPr>
            <w:r>
              <w:t>6.79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43.75</w:t>
            </w:r>
          </w:p>
        </w:tc>
        <w:tc>
          <w:tcPr>
            <w:tcW w:w="2551" w:type="dxa"/>
            <w:vAlign w:val="center"/>
          </w:tcPr>
          <w:p>
            <w:pPr>
              <w:pStyle w:val="11"/>
            </w:pPr>
            <w:r>
              <w:t>43.75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23.96</w:t>
            </w:r>
          </w:p>
        </w:tc>
        <w:tc>
          <w:tcPr>
            <w:tcW w:w="2551" w:type="dxa"/>
            <w:vAlign w:val="center"/>
          </w:tcPr>
          <w:p>
            <w:pPr>
              <w:pStyle w:val="11"/>
            </w:pPr>
            <w:r>
              <w:t>23.96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3.22</w:t>
            </w:r>
          </w:p>
        </w:tc>
        <w:tc>
          <w:tcPr>
            <w:tcW w:w="2551" w:type="dxa"/>
            <w:vAlign w:val="center"/>
          </w:tcPr>
          <w:p>
            <w:pPr>
              <w:pStyle w:val="11"/>
            </w:pPr>
            <w:r>
              <w:t>3.22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33.33</w:t>
            </w:r>
          </w:p>
        </w:tc>
        <w:tc>
          <w:tcPr>
            <w:tcW w:w="2551" w:type="dxa"/>
            <w:vAlign w:val="center"/>
          </w:tcPr>
          <w:p>
            <w:pPr>
              <w:pStyle w:val="11"/>
            </w:pPr>
            <w:r>
              <w:t>33.33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68.94</w:t>
            </w:r>
          </w:p>
        </w:tc>
        <w:tc>
          <w:tcPr>
            <w:tcW w:w="2551" w:type="dxa"/>
            <w:vAlign w:val="center"/>
          </w:tcPr>
          <w:p>
            <w:pPr>
              <w:pStyle w:val="11"/>
            </w:pPr>
            <w:r>
              <w:t>68.94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34.98</w:t>
            </w:r>
          </w:p>
        </w:tc>
        <w:tc>
          <w:tcPr>
            <w:tcW w:w="2551" w:type="dxa"/>
            <w:vAlign w:val="center"/>
          </w:tcPr>
          <w:p>
            <w:pPr>
              <w:pStyle w:val="11"/>
            </w:pPr>
          </w:p>
        </w:tc>
        <w:tc>
          <w:tcPr>
            <w:tcW w:w="2551" w:type="dxa"/>
            <w:vAlign w:val="center"/>
          </w:tcPr>
          <w:p>
            <w:pPr>
              <w:pStyle w:val="11"/>
            </w:pPr>
            <w:r>
              <w:t>34.98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8.50</w:t>
            </w:r>
          </w:p>
        </w:tc>
        <w:tc>
          <w:tcPr>
            <w:tcW w:w="2551" w:type="dxa"/>
            <w:vAlign w:val="center"/>
          </w:tcPr>
          <w:p>
            <w:pPr>
              <w:pStyle w:val="11"/>
            </w:pPr>
          </w:p>
        </w:tc>
        <w:tc>
          <w:tcPr>
            <w:tcW w:w="2551"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19.98</w:t>
            </w:r>
          </w:p>
        </w:tc>
        <w:tc>
          <w:tcPr>
            <w:tcW w:w="2551" w:type="dxa"/>
            <w:vAlign w:val="center"/>
          </w:tcPr>
          <w:p>
            <w:pPr>
              <w:pStyle w:val="11"/>
            </w:pPr>
          </w:p>
        </w:tc>
        <w:tc>
          <w:tcPr>
            <w:tcW w:w="2551" w:type="dxa"/>
            <w:vAlign w:val="center"/>
          </w:tcPr>
          <w:p>
            <w:pPr>
              <w:pStyle w:val="11"/>
            </w:pPr>
            <w:r>
              <w:t>19.98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26.18</w:t>
            </w:r>
          </w:p>
        </w:tc>
        <w:tc>
          <w:tcPr>
            <w:tcW w:w="2551" w:type="dxa"/>
            <w:vAlign w:val="center"/>
          </w:tcPr>
          <w:p>
            <w:pPr>
              <w:pStyle w:val="11"/>
            </w:pPr>
            <w:r>
              <w:t>26.18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24.16</w:t>
            </w:r>
          </w:p>
        </w:tc>
        <w:tc>
          <w:tcPr>
            <w:tcW w:w="2551" w:type="dxa"/>
            <w:vAlign w:val="center"/>
          </w:tcPr>
          <w:p>
            <w:pPr>
              <w:pStyle w:val="11"/>
            </w:pPr>
            <w:r>
              <w:t>24.16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2.02</w:t>
            </w:r>
          </w:p>
        </w:tc>
        <w:tc>
          <w:tcPr>
            <w:tcW w:w="2551" w:type="dxa"/>
            <w:vAlign w:val="center"/>
          </w:tcPr>
          <w:p>
            <w:pPr>
              <w:pStyle w:val="11"/>
            </w:pPr>
            <w:r>
              <w:t>2.02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806001成安县道东堡乡政府机关本级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806001成安县道东堡乡政府机关本级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806001成安县道东堡乡政府机关本级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成安县道东堡乡政府机关本级2024年单位预算信息公开情况说明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按照《中华人民共和国预算法》、《地方预决算公开操作规程》和《关于进一步推进预算公开工作的实施意见》规定，现将成安县道东堡乡政府机关本级2024年单位预算公开如下：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napToGrid w:val="0"/>
        <w:spacing w:line="360" w:lineRule="auto"/>
        <w:ind w:firstLine="640" w:firstLineChars="200"/>
        <w:rPr>
          <w:rFonts w:ascii="仿宋" w:hAnsi="仿宋" w:eastAsia="仿宋" w:cs="仿宋_GB2312"/>
          <w:sz w:val="32"/>
          <w:szCs w:val="32"/>
        </w:rPr>
      </w:pPr>
      <w:r>
        <w:rPr>
          <w:rFonts w:hint="eastAsia" w:ascii="仿宋" w:hAnsi="仿宋" w:eastAsia="仿宋"/>
          <w:sz w:val="32"/>
          <w:szCs w:val="32"/>
        </w:rPr>
        <w:t>1</w:t>
      </w:r>
      <w:r>
        <w:rPr>
          <w:rFonts w:hint="eastAsia" w:ascii="仿宋" w:hAnsi="仿宋" w:eastAsia="仿宋" w:cs="仿宋_GB2312"/>
          <w:sz w:val="32"/>
          <w:szCs w:val="32"/>
        </w:rPr>
        <w:t>、宣传、贯彻党的路线、方针、政策和上级党组织的指示决定，执行镇党员代表大会决议，讨论决定本镇的重大问题。</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2、抓好自身和所属党组织的思想、组织和作风建设。</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3、领导镇经济建设，制定本镇经济和社会发展规划并组织实施。</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4、领导镇社会主义精神文明和民主法</w:t>
      </w:r>
      <w:r>
        <w:rPr>
          <w:rFonts w:hint="eastAsia" w:ascii="仿宋" w:hAnsi="仿宋" w:eastAsia="仿宋" w:cs="仿宋_GB2312"/>
          <w:sz w:val="32"/>
          <w:szCs w:val="32"/>
          <w:lang w:eastAsia="zh-CN"/>
        </w:rPr>
        <w:t>治</w:t>
      </w:r>
      <w:r>
        <w:rPr>
          <w:rFonts w:hint="eastAsia" w:ascii="仿宋" w:hAnsi="仿宋" w:eastAsia="仿宋" w:cs="仿宋_GB2312"/>
          <w:sz w:val="32"/>
          <w:szCs w:val="32"/>
        </w:rPr>
        <w:t>建设。加强农村社会治安综合治理，落</w:t>
      </w:r>
      <w:r>
        <w:rPr>
          <w:rFonts w:ascii="仿宋" w:hAnsi="仿宋" w:eastAsia="仿宋" w:cs="仿宋_GB2312"/>
          <w:sz w:val="32"/>
          <w:szCs w:val="32"/>
        </w:rPr>
        <w:t>实统一</w:t>
      </w:r>
      <w:r>
        <w:rPr>
          <w:rFonts w:hint="eastAsia" w:ascii="仿宋" w:hAnsi="仿宋" w:eastAsia="仿宋" w:cs="仿宋_GB2312"/>
          <w:sz w:val="32"/>
          <w:szCs w:val="32"/>
        </w:rPr>
        <w:t>战</w:t>
      </w:r>
      <w:r>
        <w:rPr>
          <w:rFonts w:ascii="仿宋" w:hAnsi="仿宋" w:eastAsia="仿宋" w:cs="仿宋_GB2312"/>
          <w:sz w:val="32"/>
          <w:szCs w:val="32"/>
        </w:rPr>
        <w:t>线工作任务，做好民族事务工作</w:t>
      </w:r>
      <w:r>
        <w:rPr>
          <w:rFonts w:hint="eastAsia" w:ascii="仿宋" w:hAnsi="仿宋" w:eastAsia="仿宋" w:cs="仿宋_GB2312"/>
          <w:sz w:val="32"/>
          <w:szCs w:val="32"/>
        </w:rPr>
        <w:t>。</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5、领导并支持镇政府依法行使各项行政管理</w:t>
      </w:r>
      <w:bookmarkStart w:id="1" w:name="_GoBack"/>
      <w:bookmarkEnd w:id="1"/>
      <w:r>
        <w:rPr>
          <w:rFonts w:hint="eastAsia" w:ascii="仿宋" w:hAnsi="仿宋" w:eastAsia="仿宋" w:cs="仿宋_GB2312"/>
          <w:sz w:val="32"/>
          <w:szCs w:val="32"/>
        </w:rPr>
        <w:t>职权。</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6、领导人大主席团及经济组织、人民武装和共青团、妇联等人民团体的工作。</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7、统一</w:t>
      </w:r>
      <w:r>
        <w:rPr>
          <w:rFonts w:ascii="仿宋" w:hAnsi="仿宋" w:eastAsia="仿宋" w:cs="仿宋_GB2312"/>
          <w:sz w:val="32"/>
          <w:szCs w:val="32"/>
        </w:rPr>
        <w:t>指挥协调上级有关部门派驻镇单位的工作。</w:t>
      </w:r>
    </w:p>
    <w:p>
      <w:pPr>
        <w:ind w:firstLine="640"/>
      </w:pPr>
      <w:r>
        <w:rPr>
          <w:rFonts w:hint="eastAsia" w:ascii="仿宋" w:hAnsi="仿宋" w:eastAsia="仿宋" w:cs="仿宋_GB2312"/>
          <w:sz w:val="32"/>
          <w:szCs w:val="32"/>
        </w:rPr>
        <w:t>8、完成</w:t>
      </w:r>
      <w:r>
        <w:rPr>
          <w:rFonts w:ascii="仿宋" w:hAnsi="仿宋" w:eastAsia="仿宋" w:cs="仿宋_GB2312"/>
          <w:sz w:val="32"/>
          <w:szCs w:val="32"/>
        </w:rPr>
        <w:t>县委交办的其他任务</w:t>
      </w:r>
      <w:r>
        <w:rPr>
          <w:rFonts w:hint="eastAsia" w:ascii="仿宋" w:hAnsi="仿宋" w:eastAsia="仿宋" w:cs="仿宋_GB2312"/>
          <w:sz w:val="32"/>
          <w:szCs w:val="32"/>
        </w:rPr>
        <w:t>。</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成安县道东堡乡政府机关本级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numPr>
          <w:ilvl w:val="0"/>
          <w:numId w:val="0"/>
        </w:numPr>
        <w:spacing w:before="10" w:after="10" w:line="360" w:lineRule="auto"/>
        <w:ind w:firstLine="560" w:firstLineChars="200"/>
        <w:jc w:val="left"/>
        <w:outlineLvl w:val="2"/>
      </w:pPr>
      <w:r>
        <w:rPr>
          <w:rFonts w:eastAsia="方正仿宋_GBK" w:cs="Times New Roman"/>
          <w:color w:val="000000"/>
          <w:sz w:val="28"/>
        </w:rPr>
        <w:t>按照预算管理有关规定，目前我省部门预算的编制实行综合预算管理，即全部收入和支出都反映在预算中。成安县道东堡乡政府机关及所属事业单位的收支包含在部门预算中。</w:t>
      </w:r>
    </w:p>
    <w:p>
      <w:pPr>
        <w:spacing w:line="560" w:lineRule="exact"/>
        <w:ind w:firstLine="640"/>
        <w:rPr>
          <w:rFonts w:ascii="仿宋" w:hAnsi="仿宋" w:eastAsia="仿宋" w:cs="Times New Roman"/>
          <w:b/>
          <w:bCs/>
          <w:sz w:val="32"/>
          <w:szCs w:val="32"/>
        </w:rPr>
      </w:pPr>
      <w:r>
        <w:rPr>
          <w:rFonts w:ascii="仿宋" w:hAnsi="仿宋" w:eastAsia="仿宋" w:cs="楷体"/>
          <w:b/>
          <w:bCs/>
          <w:sz w:val="32"/>
          <w:szCs w:val="32"/>
        </w:rPr>
        <w:t>1</w:t>
      </w:r>
      <w:r>
        <w:rPr>
          <w:rFonts w:hint="eastAsia" w:ascii="仿宋" w:hAnsi="仿宋" w:eastAsia="仿宋" w:cs="楷体"/>
          <w:b/>
          <w:bCs/>
          <w:sz w:val="32"/>
          <w:szCs w:val="32"/>
        </w:rPr>
        <w:t>、收入说明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年预算收入</w:t>
      </w:r>
      <w:r>
        <w:rPr>
          <w:rFonts w:hint="eastAsia" w:ascii="仿宋" w:hAnsi="仿宋" w:eastAsia="仿宋" w:cs="方正仿宋_GBK"/>
          <w:sz w:val="32"/>
          <w:szCs w:val="32"/>
          <w:lang w:val="en-US" w:eastAsia="zh-CN"/>
        </w:rPr>
        <w:t>915.18</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val="en-US" w:eastAsia="zh-CN"/>
        </w:rPr>
        <w:t>915.18</w:t>
      </w:r>
      <w:r>
        <w:rPr>
          <w:rFonts w:hint="eastAsia" w:ascii="仿宋" w:hAnsi="仿宋" w:eastAsia="仿宋" w:cs="方正仿宋_GBK"/>
          <w:sz w:val="32"/>
          <w:szCs w:val="32"/>
        </w:rPr>
        <w:t>万元，政府性基金收入</w:t>
      </w:r>
      <w:r>
        <w:rPr>
          <w:rFonts w:hint="eastAsia" w:ascii="仿宋" w:hAnsi="仿宋" w:eastAsia="仿宋" w:cs="方正仿宋_GBK"/>
          <w:sz w:val="32"/>
          <w:szCs w:val="32"/>
          <w:lang w:eastAsia="zh-CN"/>
        </w:rPr>
        <w:t>0</w:t>
      </w:r>
      <w:r>
        <w:rPr>
          <w:rFonts w:hint="eastAsia" w:ascii="仿宋" w:hAnsi="仿宋" w:eastAsia="仿宋" w:cs="方正仿宋_GBK"/>
          <w:sz w:val="32"/>
          <w:szCs w:val="32"/>
        </w:rPr>
        <w:t>万元，国有资本经营收入</w:t>
      </w:r>
      <w:r>
        <w:rPr>
          <w:rFonts w:ascii="仿宋" w:hAnsi="仿宋" w:eastAsia="仿宋" w:cs="方正仿宋_GBK"/>
          <w:sz w:val="32"/>
          <w:szCs w:val="32"/>
        </w:rPr>
        <w:t>0</w:t>
      </w:r>
      <w:r>
        <w:rPr>
          <w:rFonts w:hint="eastAsia" w:ascii="仿宋" w:hAnsi="仿宋" w:eastAsia="仿宋" w:cs="方正仿宋_GBK"/>
          <w:sz w:val="32"/>
          <w:szCs w:val="32"/>
        </w:rPr>
        <w:t>万元，事业收入</w:t>
      </w:r>
      <w:r>
        <w:rPr>
          <w:rFonts w:ascii="仿宋" w:hAnsi="仿宋" w:eastAsia="仿宋" w:cs="方正仿宋_GBK"/>
          <w:sz w:val="32"/>
          <w:szCs w:val="32"/>
        </w:rPr>
        <w:t>0</w:t>
      </w:r>
      <w:r>
        <w:rPr>
          <w:rFonts w:hint="eastAsia" w:ascii="仿宋" w:hAnsi="仿宋" w:eastAsia="仿宋" w:cs="方正仿宋_GBK"/>
          <w:sz w:val="32"/>
          <w:szCs w:val="32"/>
        </w:rPr>
        <w:t>万元，其他收入</w:t>
      </w:r>
      <w:r>
        <w:rPr>
          <w:rFonts w:ascii="仿宋" w:hAnsi="仿宋" w:eastAsia="仿宋" w:cs="方正仿宋_GBK"/>
          <w:sz w:val="32"/>
          <w:szCs w:val="32"/>
        </w:rPr>
        <w:t>0</w:t>
      </w:r>
      <w:r>
        <w:rPr>
          <w:rFonts w:hint="eastAsia" w:ascii="仿宋" w:hAnsi="仿宋" w:eastAsia="仿宋" w:cs="方正仿宋_GBK"/>
          <w:sz w:val="32"/>
          <w:szCs w:val="32"/>
        </w:rPr>
        <w:t>万元。</w:t>
      </w:r>
    </w:p>
    <w:p>
      <w:pPr>
        <w:spacing w:line="560" w:lineRule="exact"/>
        <w:ind w:firstLine="640"/>
        <w:rPr>
          <w:rFonts w:ascii="仿宋" w:hAnsi="仿宋" w:eastAsia="仿宋" w:cs="Times New Roman"/>
          <w:b/>
          <w:bCs/>
          <w:sz w:val="32"/>
          <w:szCs w:val="32"/>
        </w:rPr>
      </w:pPr>
      <w:r>
        <w:rPr>
          <w:rFonts w:ascii="仿宋" w:hAnsi="仿宋" w:eastAsia="仿宋" w:cs="楷体"/>
          <w:b/>
          <w:bCs/>
          <w:sz w:val="32"/>
          <w:szCs w:val="32"/>
        </w:rPr>
        <w:t>2</w:t>
      </w:r>
      <w:r>
        <w:rPr>
          <w:rFonts w:hint="eastAsia" w:ascii="仿宋" w:hAnsi="仿宋" w:eastAsia="仿宋" w:cs="楷体"/>
          <w:b/>
          <w:bCs/>
          <w:sz w:val="32"/>
          <w:szCs w:val="32"/>
        </w:rPr>
        <w:t>、支出说明</w:t>
      </w:r>
    </w:p>
    <w:p>
      <w:pPr>
        <w:spacing w:line="560" w:lineRule="exact"/>
        <w:ind w:firstLine="640"/>
        <w:rPr>
          <w:rFonts w:ascii="仿宋" w:hAnsi="仿宋" w:eastAsia="仿宋" w:cs="仿宋"/>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年支出预算</w:t>
      </w:r>
      <w:r>
        <w:rPr>
          <w:rFonts w:hint="eastAsia" w:ascii="仿宋" w:hAnsi="仿宋" w:eastAsia="仿宋" w:cs="方正仿宋_GBK"/>
          <w:sz w:val="32"/>
          <w:szCs w:val="32"/>
          <w:lang w:val="en-US" w:eastAsia="zh-CN"/>
        </w:rPr>
        <w:t>915.18</w:t>
      </w:r>
      <w:r>
        <w:rPr>
          <w:rFonts w:hint="eastAsia" w:ascii="仿宋" w:hAnsi="仿宋" w:eastAsia="仿宋" w:cs="方正仿宋_GBK"/>
          <w:sz w:val="32"/>
          <w:szCs w:val="32"/>
        </w:rPr>
        <w:t>万元，其中基本支出</w:t>
      </w:r>
      <w:r>
        <w:rPr>
          <w:rFonts w:hint="eastAsia" w:ascii="仿宋" w:hAnsi="仿宋" w:eastAsia="仿宋" w:cs="方正仿宋_GBK"/>
          <w:sz w:val="32"/>
          <w:szCs w:val="32"/>
          <w:lang w:val="en-US" w:eastAsia="zh-CN"/>
        </w:rPr>
        <w:t>638.63</w:t>
      </w:r>
      <w:r>
        <w:rPr>
          <w:rFonts w:hint="eastAsia" w:ascii="仿宋" w:hAnsi="仿宋" w:eastAsia="仿宋" w:cs="方正仿宋_GBK"/>
          <w:sz w:val="32"/>
          <w:szCs w:val="32"/>
        </w:rPr>
        <w:t>万元，包括人员经费和日常公用经费；项目支出</w:t>
      </w:r>
      <w:r>
        <w:rPr>
          <w:rFonts w:hint="eastAsia" w:ascii="仿宋" w:hAnsi="仿宋" w:eastAsia="仿宋" w:cs="方正仿宋_GBK"/>
          <w:sz w:val="32"/>
          <w:szCs w:val="32"/>
          <w:lang w:val="en-US" w:eastAsia="zh-CN"/>
        </w:rPr>
        <w:t>276.55</w:t>
      </w:r>
      <w:r>
        <w:rPr>
          <w:rFonts w:hint="eastAsia" w:ascii="仿宋" w:hAnsi="仿宋" w:eastAsia="仿宋" w:cs="仿宋"/>
          <w:sz w:val="32"/>
          <w:szCs w:val="32"/>
        </w:rPr>
        <w:t>万元</w:t>
      </w:r>
      <w:r>
        <w:rPr>
          <w:rFonts w:ascii="仿宋" w:hAnsi="仿宋" w:eastAsia="仿宋" w:cs="仿宋"/>
          <w:sz w:val="32"/>
          <w:szCs w:val="32"/>
        </w:rPr>
        <w:t>.</w:t>
      </w:r>
    </w:p>
    <w:p>
      <w:pPr>
        <w:spacing w:line="560" w:lineRule="exact"/>
        <w:ind w:firstLine="640"/>
        <w:rPr>
          <w:rFonts w:ascii="仿宋" w:hAnsi="仿宋" w:eastAsia="仿宋" w:cs="Times New Roman"/>
          <w:b/>
          <w:bCs/>
          <w:sz w:val="32"/>
          <w:szCs w:val="32"/>
        </w:rPr>
      </w:pPr>
      <w:r>
        <w:rPr>
          <w:rFonts w:ascii="仿宋" w:hAnsi="仿宋" w:eastAsia="仿宋" w:cs="楷体"/>
          <w:b/>
          <w:bCs/>
          <w:sz w:val="32"/>
          <w:szCs w:val="32"/>
        </w:rPr>
        <w:t>3</w:t>
      </w:r>
      <w:r>
        <w:rPr>
          <w:rFonts w:hint="eastAsia" w:ascii="仿宋" w:hAnsi="仿宋" w:eastAsia="仿宋" w:cs="楷体"/>
          <w:b/>
          <w:bCs/>
          <w:sz w:val="32"/>
          <w:szCs w:val="32"/>
        </w:rPr>
        <w:t>、比上年增减变化情况</w:t>
      </w:r>
    </w:p>
    <w:p>
      <w:pPr>
        <w:spacing w:line="560" w:lineRule="exact"/>
        <w:ind w:firstLine="640"/>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年预算收支安排</w:t>
      </w:r>
      <w:r>
        <w:rPr>
          <w:rFonts w:hint="eastAsia" w:ascii="仿宋" w:hAnsi="仿宋" w:eastAsia="仿宋" w:cs="方正仿宋_GBK"/>
          <w:sz w:val="32"/>
          <w:szCs w:val="32"/>
          <w:lang w:val="en-US" w:eastAsia="zh-CN"/>
        </w:rPr>
        <w:t>915.18</w:t>
      </w:r>
      <w:r>
        <w:rPr>
          <w:rFonts w:hint="eastAsia" w:ascii="仿宋" w:hAnsi="仿宋" w:eastAsia="仿宋" w:cs="方正仿宋_GBK"/>
          <w:sz w:val="32"/>
          <w:szCs w:val="32"/>
        </w:rPr>
        <w:t>万元，较</w:t>
      </w:r>
      <w:r>
        <w:rPr>
          <w:rFonts w:ascii="仿宋" w:hAnsi="仿宋" w:eastAsia="仿宋" w:cs="Times New Roman"/>
          <w:sz w:val="32"/>
          <w:szCs w:val="32"/>
        </w:rPr>
        <w:t>20</w:t>
      </w:r>
      <w:r>
        <w:rPr>
          <w:rFonts w:hint="eastAsia" w:ascii="仿宋" w:hAnsi="仿宋" w:eastAsia="仿宋" w:cs="Times New Roman"/>
          <w:sz w:val="32"/>
          <w:szCs w:val="32"/>
          <w:lang w:eastAsia="zh-CN"/>
        </w:rPr>
        <w:t>2</w:t>
      </w:r>
      <w:r>
        <w:rPr>
          <w:rFonts w:hint="eastAsia" w:ascii="仿宋" w:hAnsi="仿宋" w:eastAsia="仿宋" w:cs="Times New Roman"/>
          <w:sz w:val="32"/>
          <w:szCs w:val="32"/>
          <w:lang w:val="en-US" w:eastAsia="zh-CN"/>
        </w:rPr>
        <w:t>3</w:t>
      </w:r>
      <w:r>
        <w:rPr>
          <w:rFonts w:hint="eastAsia" w:ascii="仿宋" w:hAnsi="仿宋" w:eastAsia="仿宋" w:cs="方正仿宋_GBK"/>
          <w:sz w:val="32"/>
          <w:szCs w:val="32"/>
        </w:rPr>
        <w:t>年预算</w:t>
      </w:r>
      <w:r>
        <w:rPr>
          <w:rFonts w:hint="eastAsia" w:ascii="仿宋" w:hAnsi="仿宋" w:eastAsia="仿宋" w:cs="方正仿宋_GBK"/>
          <w:sz w:val="32"/>
          <w:szCs w:val="32"/>
          <w:lang w:val="en-US" w:eastAsia="zh-CN"/>
        </w:rPr>
        <w:t>减少571.88</w:t>
      </w:r>
      <w:r>
        <w:rPr>
          <w:rFonts w:hint="eastAsia" w:ascii="仿宋" w:hAnsi="仿宋" w:eastAsia="仿宋" w:cs="方正仿宋_GBK"/>
          <w:sz w:val="32"/>
          <w:szCs w:val="32"/>
        </w:rPr>
        <w:t>万元，其中：项目支出</w:t>
      </w:r>
      <w:r>
        <w:rPr>
          <w:rFonts w:hint="eastAsia" w:ascii="仿宋" w:hAnsi="仿宋" w:eastAsia="仿宋" w:cs="方正仿宋_GBK"/>
          <w:sz w:val="32"/>
          <w:szCs w:val="32"/>
          <w:lang w:val="en-US" w:eastAsia="zh-CN"/>
        </w:rPr>
        <w:t>减少599.02</w:t>
      </w:r>
      <w:r>
        <w:rPr>
          <w:rFonts w:hint="eastAsia" w:ascii="仿宋" w:hAnsi="仿宋" w:eastAsia="仿宋" w:cs="方正仿宋_GBK"/>
          <w:sz w:val="32"/>
          <w:szCs w:val="32"/>
        </w:rPr>
        <w:t>万元，主要</w:t>
      </w:r>
      <w:r>
        <w:rPr>
          <w:rFonts w:hint="eastAsia" w:ascii="仿宋" w:hAnsi="仿宋" w:eastAsia="仿宋" w:cs="方正仿宋_GBK"/>
          <w:sz w:val="32"/>
          <w:szCs w:val="32"/>
          <w:lang w:val="en-US" w:eastAsia="zh-CN"/>
        </w:rPr>
        <w:t>原因</w:t>
      </w:r>
      <w:r>
        <w:rPr>
          <w:rFonts w:hint="eastAsia" w:ascii="仿宋" w:hAnsi="仿宋" w:eastAsia="仿宋" w:cs="方正仿宋_GBK"/>
          <w:sz w:val="32"/>
          <w:szCs w:val="32"/>
        </w:rPr>
        <w:t>是</w:t>
      </w:r>
      <w:r>
        <w:rPr>
          <w:rFonts w:hint="eastAsia" w:ascii="仿宋" w:hAnsi="仿宋" w:eastAsia="仿宋" w:cs="方正仿宋_GBK"/>
          <w:sz w:val="32"/>
          <w:szCs w:val="32"/>
          <w:lang w:eastAsia="zh-CN"/>
        </w:rPr>
        <w:t>项目</w:t>
      </w:r>
      <w:r>
        <w:rPr>
          <w:rFonts w:hint="eastAsia" w:ascii="仿宋" w:hAnsi="仿宋" w:eastAsia="仿宋" w:cs="方正仿宋_GBK"/>
          <w:sz w:val="32"/>
          <w:szCs w:val="32"/>
          <w:lang w:val="en-US" w:eastAsia="zh-CN"/>
        </w:rPr>
        <w:t>减少</w:t>
      </w:r>
      <w:r>
        <w:rPr>
          <w:rFonts w:hint="eastAsia" w:ascii="仿宋" w:hAnsi="仿宋" w:eastAsia="仿宋" w:cs="方正仿宋_GBK"/>
          <w:sz w:val="32"/>
          <w:szCs w:val="32"/>
        </w:rPr>
        <w:t>。</w:t>
      </w:r>
      <w:r>
        <w:rPr>
          <w:rFonts w:hint="eastAsia" w:ascii="仿宋" w:hAnsi="仿宋" w:eastAsia="仿宋" w:cs="方正仿宋_GBK"/>
          <w:sz w:val="32"/>
          <w:szCs w:val="32"/>
          <w:lang w:eastAsia="zh-CN"/>
        </w:rPr>
        <w:t>基本支出增加</w:t>
      </w:r>
      <w:r>
        <w:rPr>
          <w:rFonts w:hint="eastAsia" w:ascii="仿宋" w:hAnsi="仿宋" w:eastAsia="仿宋" w:cs="方正仿宋_GBK"/>
          <w:sz w:val="32"/>
          <w:szCs w:val="32"/>
          <w:lang w:val="en-US" w:eastAsia="zh-CN"/>
        </w:rPr>
        <w:t>27.14万元</w:t>
      </w:r>
      <w:r>
        <w:rPr>
          <w:rFonts w:hint="eastAsia" w:ascii="仿宋" w:hAnsi="仿宋" w:eastAsia="仿宋" w:cs="方正仿宋_GBK"/>
          <w:sz w:val="32"/>
          <w:szCs w:val="32"/>
          <w:lang w:eastAsia="zh-CN"/>
        </w:rPr>
        <w:t>，主要原因是202</w:t>
      </w:r>
      <w:r>
        <w:rPr>
          <w:rFonts w:hint="eastAsia" w:ascii="仿宋" w:hAnsi="仿宋" w:eastAsia="仿宋" w:cs="方正仿宋_GBK"/>
          <w:sz w:val="32"/>
          <w:szCs w:val="32"/>
          <w:lang w:val="en-US" w:eastAsia="zh-CN"/>
        </w:rPr>
        <w:t>4</w:t>
      </w:r>
      <w:r>
        <w:rPr>
          <w:rFonts w:hint="eastAsia" w:ascii="仿宋" w:hAnsi="仿宋" w:eastAsia="仿宋" w:cs="方正仿宋_GBK"/>
          <w:sz w:val="32"/>
          <w:szCs w:val="32"/>
        </w:rPr>
        <w:t>年行</w:t>
      </w:r>
      <w:r>
        <w:rPr>
          <w:rFonts w:ascii="仿宋" w:hAnsi="仿宋" w:eastAsia="仿宋" w:cs="方正仿宋_GBK"/>
          <w:sz w:val="32"/>
          <w:szCs w:val="32"/>
        </w:rPr>
        <w:t>政运行</w:t>
      </w:r>
      <w:r>
        <w:rPr>
          <w:rFonts w:hint="eastAsia" w:ascii="仿宋" w:hAnsi="仿宋" w:eastAsia="仿宋" w:cs="方正仿宋_GBK"/>
          <w:sz w:val="32"/>
          <w:szCs w:val="32"/>
        </w:rPr>
        <w:t>预</w:t>
      </w:r>
      <w:r>
        <w:rPr>
          <w:rFonts w:ascii="仿宋" w:hAnsi="仿宋" w:eastAsia="仿宋" w:cs="方正仿宋_GBK"/>
          <w:sz w:val="32"/>
          <w:szCs w:val="32"/>
        </w:rPr>
        <w:t>算</w:t>
      </w:r>
      <w:r>
        <w:rPr>
          <w:rFonts w:hint="eastAsia" w:ascii="仿宋" w:hAnsi="仿宋" w:eastAsia="仿宋" w:cs="方正仿宋_GBK"/>
          <w:sz w:val="32"/>
          <w:szCs w:val="32"/>
          <w:lang w:eastAsia="zh-CN"/>
        </w:rPr>
        <w:t>增加。</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360" w:lineRule="auto"/>
        <w:ind w:firstLine="640"/>
        <w:jc w:val="left"/>
        <w:outlineLvl w:val="2"/>
      </w:pPr>
      <w:r>
        <w:rPr>
          <w:rFonts w:hint="eastAsia" w:ascii="仿宋" w:hAnsi="仿宋" w:eastAsia="仿宋" w:cs="方正仿宋_GBK"/>
          <w:sz w:val="32"/>
          <w:szCs w:val="32"/>
        </w:rPr>
        <w:t>机关运行经费共计安排</w:t>
      </w:r>
      <w:r>
        <w:rPr>
          <w:rFonts w:hint="eastAsia" w:ascii="仿宋" w:hAnsi="仿宋" w:eastAsia="仿宋" w:cs="方正仿宋_GBK"/>
          <w:sz w:val="32"/>
          <w:szCs w:val="32"/>
          <w:lang w:val="en-US" w:eastAsia="zh-CN"/>
        </w:rPr>
        <w:t>34.98</w:t>
      </w:r>
      <w:r>
        <w:rPr>
          <w:rFonts w:hint="eastAsia" w:ascii="仿宋" w:hAnsi="仿宋" w:eastAsia="仿宋" w:cs="方正仿宋_GBK"/>
          <w:sz w:val="32"/>
          <w:szCs w:val="32"/>
        </w:rPr>
        <w:t>万元，主要用于办公费、水电费、邮电费、办公用房取暖费、公务用车运行维护费等日常运行支出。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lang w:eastAsia="zh-CN"/>
        </w:rPr>
        <w:t>年，我单位“三公”经费预算安排0万元，其中因公出国（境）费0万元与去年相持平；公务用车购置及运维费0万元（其中：公务用车购置费为0万元，公务用车运行费0万元) 与去年相持平；公务接待费0万元与去年相持平。我单位没有三公经费预算。</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1、2024年差补工资绩效目标表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13042424P001PDR10197F</w:t>
            </w:r>
          </w:p>
        </w:tc>
        <w:tc>
          <w:tcPr>
            <w:tcW w:w="2835" w:type="dxa"/>
            <w:vAlign w:val="center"/>
          </w:tcPr>
          <w:p>
            <w:pPr>
              <w:pStyle w:val="10"/>
            </w:pPr>
            <w:r>
              <w:t>项目名称</w:t>
            </w:r>
          </w:p>
        </w:tc>
        <w:tc>
          <w:tcPr>
            <w:tcW w:w="6094" w:type="dxa"/>
            <w:gridSpan w:val="3"/>
            <w:vAlign w:val="center"/>
          </w:tcPr>
          <w:p>
            <w:pPr>
              <w:pStyle w:val="12"/>
            </w:pPr>
            <w:r>
              <w:t>2024年差补工资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5.40</w:t>
            </w:r>
          </w:p>
        </w:tc>
        <w:tc>
          <w:tcPr>
            <w:tcW w:w="2835" w:type="dxa"/>
            <w:vAlign w:val="center"/>
          </w:tcPr>
          <w:p>
            <w:pPr>
              <w:pStyle w:val="10"/>
            </w:pPr>
            <w:r>
              <w:t>其中：财政    资金</w:t>
            </w:r>
          </w:p>
        </w:tc>
        <w:tc>
          <w:tcPr>
            <w:tcW w:w="2551" w:type="dxa"/>
            <w:vAlign w:val="center"/>
          </w:tcPr>
          <w:p>
            <w:pPr>
              <w:pStyle w:val="12"/>
            </w:pPr>
            <w:r>
              <w:t>5.40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财政差补人员工资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2.50</w:t>
            </w:r>
          </w:p>
        </w:tc>
        <w:tc>
          <w:tcPr>
            <w:tcW w:w="2551" w:type="dxa"/>
            <w:vAlign w:val="center"/>
          </w:tcPr>
          <w:p>
            <w:pPr>
              <w:pStyle w:val="13"/>
            </w:pPr>
            <w:r>
              <w:t>3.50</w:t>
            </w:r>
          </w:p>
        </w:tc>
        <w:tc>
          <w:tcPr>
            <w:tcW w:w="3543" w:type="dxa"/>
            <w:gridSpan w:val="2"/>
            <w:vAlign w:val="center"/>
          </w:tcPr>
          <w:p>
            <w:pPr>
              <w:pStyle w:val="13"/>
            </w:pPr>
            <w:r>
              <w:t>5.40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1.用于差补人员工资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单位享受差补人员的人数</w:t>
            </w:r>
          </w:p>
        </w:tc>
        <w:tc>
          <w:tcPr>
            <w:tcW w:w="5386" w:type="dxa"/>
            <w:vAlign w:val="center"/>
          </w:tcPr>
          <w:p>
            <w:pPr>
              <w:pStyle w:val="12"/>
            </w:pPr>
            <w:r>
              <w:t>单位享受差补人员的人数</w:t>
            </w:r>
          </w:p>
        </w:tc>
        <w:tc>
          <w:tcPr>
            <w:tcW w:w="2268" w:type="dxa"/>
            <w:vAlign w:val="center"/>
          </w:tcPr>
          <w:p>
            <w:pPr>
              <w:pStyle w:val="12"/>
            </w:pPr>
            <w:r>
              <w:t>9人</w:t>
            </w:r>
          </w:p>
        </w:tc>
        <w:tc>
          <w:tcPr>
            <w:tcW w:w="1276" w:type="dxa"/>
            <w:vAlign w:val="center"/>
          </w:tcPr>
          <w:p>
            <w:pPr>
              <w:pStyle w:val="12"/>
            </w:pPr>
            <w:r>
              <w:t>实际发放人数为依据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差补工资发放率</w:t>
            </w:r>
          </w:p>
        </w:tc>
        <w:tc>
          <w:tcPr>
            <w:tcW w:w="5386" w:type="dxa"/>
            <w:vAlign w:val="center"/>
          </w:tcPr>
          <w:p>
            <w:pPr>
              <w:pStyle w:val="12"/>
            </w:pPr>
            <w:r>
              <w:t>差补工资发放率</w:t>
            </w:r>
          </w:p>
        </w:tc>
        <w:tc>
          <w:tcPr>
            <w:tcW w:w="2268" w:type="dxa"/>
            <w:vAlign w:val="center"/>
          </w:tcPr>
          <w:p>
            <w:pPr>
              <w:pStyle w:val="12"/>
            </w:pPr>
            <w:r>
              <w:t>100百分比</w:t>
            </w:r>
          </w:p>
        </w:tc>
        <w:tc>
          <w:tcPr>
            <w:tcW w:w="1276" w:type="dxa"/>
            <w:vAlign w:val="center"/>
          </w:tcPr>
          <w:p>
            <w:pPr>
              <w:pStyle w:val="12"/>
            </w:pPr>
            <w:r>
              <w:t>实际发放人数为依据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每年12月份前发放差补工资</w:t>
            </w:r>
          </w:p>
        </w:tc>
        <w:tc>
          <w:tcPr>
            <w:tcW w:w="5386" w:type="dxa"/>
            <w:vAlign w:val="center"/>
          </w:tcPr>
          <w:p>
            <w:pPr>
              <w:pStyle w:val="12"/>
            </w:pPr>
            <w:r>
              <w:t>每年12月份前发放差补工资</w:t>
            </w:r>
          </w:p>
        </w:tc>
        <w:tc>
          <w:tcPr>
            <w:tcW w:w="2268" w:type="dxa"/>
            <w:vAlign w:val="center"/>
          </w:tcPr>
          <w:p>
            <w:pPr>
              <w:pStyle w:val="12"/>
            </w:pPr>
            <w:r>
              <w:t>每年12月份前发放差补工资</w:t>
            </w:r>
          </w:p>
        </w:tc>
        <w:tc>
          <w:tcPr>
            <w:tcW w:w="1276" w:type="dxa"/>
            <w:vAlign w:val="center"/>
          </w:tcPr>
          <w:p>
            <w:pPr>
              <w:pStyle w:val="12"/>
            </w:pPr>
            <w:r>
              <w:t>实际发放差补工资的时间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每人每年发放资金金额</w:t>
            </w:r>
          </w:p>
        </w:tc>
        <w:tc>
          <w:tcPr>
            <w:tcW w:w="5386" w:type="dxa"/>
            <w:vAlign w:val="center"/>
          </w:tcPr>
          <w:p>
            <w:pPr>
              <w:pStyle w:val="12"/>
            </w:pPr>
            <w:r>
              <w:t>每人每年发放资金金额</w:t>
            </w:r>
          </w:p>
        </w:tc>
        <w:tc>
          <w:tcPr>
            <w:tcW w:w="2268" w:type="dxa"/>
            <w:vAlign w:val="center"/>
          </w:tcPr>
          <w:p>
            <w:pPr>
              <w:pStyle w:val="12"/>
            </w:pPr>
            <w:r>
              <w:t>6000元/人/年</w:t>
            </w:r>
          </w:p>
        </w:tc>
        <w:tc>
          <w:tcPr>
            <w:tcW w:w="1276" w:type="dxa"/>
            <w:vAlign w:val="center"/>
          </w:tcPr>
          <w:p>
            <w:pPr>
              <w:pStyle w:val="12"/>
            </w:pPr>
            <w:r>
              <w:t>实际发放差补工资金额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提高工作效率</w:t>
            </w:r>
          </w:p>
        </w:tc>
        <w:tc>
          <w:tcPr>
            <w:tcW w:w="1276" w:type="dxa"/>
            <w:vAlign w:val="center"/>
          </w:tcPr>
          <w:p>
            <w:pPr>
              <w:pStyle w:val="12"/>
            </w:pPr>
            <w:r>
              <w:t>实际提高工作效率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有效提高工作质量</w:t>
            </w:r>
          </w:p>
        </w:tc>
        <w:tc>
          <w:tcPr>
            <w:tcW w:w="5386" w:type="dxa"/>
            <w:vAlign w:val="center"/>
          </w:tcPr>
          <w:p>
            <w:pPr>
              <w:pStyle w:val="12"/>
            </w:pPr>
            <w:r>
              <w:t>有效提高工作质量</w:t>
            </w:r>
          </w:p>
        </w:tc>
        <w:tc>
          <w:tcPr>
            <w:tcW w:w="2268" w:type="dxa"/>
            <w:vAlign w:val="center"/>
          </w:tcPr>
          <w:p>
            <w:pPr>
              <w:pStyle w:val="12"/>
            </w:pPr>
            <w:r>
              <w:t>有效提高工作质量</w:t>
            </w:r>
          </w:p>
        </w:tc>
        <w:tc>
          <w:tcPr>
            <w:tcW w:w="1276" w:type="dxa"/>
            <w:vAlign w:val="center"/>
          </w:tcPr>
          <w:p>
            <w:pPr>
              <w:pStyle w:val="12"/>
            </w:pPr>
            <w:r>
              <w:t>有效提高工作质量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提高职工待遇</w:t>
            </w:r>
          </w:p>
        </w:tc>
        <w:tc>
          <w:tcPr>
            <w:tcW w:w="5386" w:type="dxa"/>
            <w:vAlign w:val="center"/>
          </w:tcPr>
          <w:p>
            <w:pPr>
              <w:pStyle w:val="12"/>
            </w:pPr>
            <w:r>
              <w:t>提高职工待遇</w:t>
            </w:r>
          </w:p>
        </w:tc>
        <w:tc>
          <w:tcPr>
            <w:tcW w:w="2268" w:type="dxa"/>
            <w:vAlign w:val="center"/>
          </w:tcPr>
          <w:p>
            <w:pPr>
              <w:pStyle w:val="12"/>
            </w:pPr>
            <w:r>
              <w:t>提高职工待遇</w:t>
            </w:r>
          </w:p>
        </w:tc>
        <w:tc>
          <w:tcPr>
            <w:tcW w:w="1276" w:type="dxa"/>
            <w:vAlign w:val="center"/>
          </w:tcPr>
          <w:p>
            <w:pPr>
              <w:pStyle w:val="12"/>
            </w:pPr>
            <w:r>
              <w:t>提高职工待遇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享受差补人员的满意度</w:t>
            </w:r>
          </w:p>
        </w:tc>
        <w:tc>
          <w:tcPr>
            <w:tcW w:w="5386" w:type="dxa"/>
            <w:vAlign w:val="center"/>
          </w:tcPr>
          <w:p>
            <w:pPr>
              <w:pStyle w:val="12"/>
            </w:pPr>
            <w:r>
              <w:t>享受差补人员的满意度</w:t>
            </w:r>
          </w:p>
        </w:tc>
        <w:tc>
          <w:tcPr>
            <w:tcW w:w="2268" w:type="dxa"/>
            <w:vAlign w:val="center"/>
          </w:tcPr>
          <w:p>
            <w:pPr>
              <w:pStyle w:val="12"/>
            </w:pPr>
            <w:r>
              <w:t>≥96百分比</w:t>
            </w:r>
          </w:p>
        </w:tc>
        <w:tc>
          <w:tcPr>
            <w:tcW w:w="1276" w:type="dxa"/>
            <w:vAlign w:val="center"/>
          </w:tcPr>
          <w:p>
            <w:pPr>
              <w:pStyle w:val="12"/>
            </w:pPr>
            <w:r>
              <w:t>调查差补人员得出满意度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2、2024年党委应急值守系统通讯服务费绩效目标表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13042424P001PDR10205N</w:t>
            </w:r>
          </w:p>
        </w:tc>
        <w:tc>
          <w:tcPr>
            <w:tcW w:w="2835" w:type="dxa"/>
            <w:vAlign w:val="center"/>
          </w:tcPr>
          <w:p>
            <w:pPr>
              <w:pStyle w:val="10"/>
            </w:pPr>
            <w:r>
              <w:t>项目名称</w:t>
            </w:r>
          </w:p>
        </w:tc>
        <w:tc>
          <w:tcPr>
            <w:tcW w:w="6094" w:type="dxa"/>
            <w:gridSpan w:val="3"/>
            <w:vAlign w:val="center"/>
          </w:tcPr>
          <w:p>
            <w:pPr>
              <w:pStyle w:val="12"/>
            </w:pPr>
            <w:r>
              <w:t>2024年党委应急值守系统通讯服务费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应急值守系统服务费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w:t>
            </w:r>
          </w:p>
        </w:tc>
        <w:tc>
          <w:tcPr>
            <w:tcW w:w="2835" w:type="dxa"/>
            <w:vAlign w:val="center"/>
          </w:tcPr>
          <w:p>
            <w:pPr>
              <w:pStyle w:val="13"/>
            </w:pPr>
            <w:r>
              <w:t>3.00</w:t>
            </w:r>
          </w:p>
        </w:tc>
        <w:tc>
          <w:tcPr>
            <w:tcW w:w="2551" w:type="dxa"/>
            <w:vAlign w:val="center"/>
          </w:tcPr>
          <w:p>
            <w:pPr>
              <w:pStyle w:val="13"/>
            </w:pPr>
            <w:r>
              <w:t>4.00</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1.提高应急事件响应处置效率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安装视频指挥调度系统数量</w:t>
            </w:r>
          </w:p>
        </w:tc>
        <w:tc>
          <w:tcPr>
            <w:tcW w:w="5386" w:type="dxa"/>
            <w:vAlign w:val="center"/>
          </w:tcPr>
          <w:p>
            <w:pPr>
              <w:pStyle w:val="12"/>
            </w:pPr>
            <w:r>
              <w:t>安装视频指挥调度系统数量</w:t>
            </w:r>
          </w:p>
        </w:tc>
        <w:tc>
          <w:tcPr>
            <w:tcW w:w="2268" w:type="dxa"/>
            <w:vAlign w:val="center"/>
          </w:tcPr>
          <w:p>
            <w:pPr>
              <w:pStyle w:val="12"/>
            </w:pPr>
            <w:r>
              <w:t>1套</w:t>
            </w:r>
          </w:p>
        </w:tc>
        <w:tc>
          <w:tcPr>
            <w:tcW w:w="1276" w:type="dxa"/>
            <w:vAlign w:val="center"/>
          </w:tcPr>
          <w:p>
            <w:pPr>
              <w:pStyle w:val="12"/>
            </w:pPr>
            <w:r>
              <w:t>安装协议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系统设备验收率</w:t>
            </w:r>
          </w:p>
        </w:tc>
        <w:tc>
          <w:tcPr>
            <w:tcW w:w="5386" w:type="dxa"/>
            <w:vAlign w:val="center"/>
          </w:tcPr>
          <w:p>
            <w:pPr>
              <w:pStyle w:val="12"/>
            </w:pPr>
            <w:r>
              <w:t>系统设备验收率</w:t>
            </w:r>
          </w:p>
        </w:tc>
        <w:tc>
          <w:tcPr>
            <w:tcW w:w="2268" w:type="dxa"/>
            <w:vAlign w:val="center"/>
          </w:tcPr>
          <w:p>
            <w:pPr>
              <w:pStyle w:val="12"/>
            </w:pPr>
            <w:r>
              <w:t>≥98百分比</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系统安装完成时间</w:t>
            </w:r>
          </w:p>
        </w:tc>
        <w:tc>
          <w:tcPr>
            <w:tcW w:w="5386" w:type="dxa"/>
            <w:vAlign w:val="center"/>
          </w:tcPr>
          <w:p>
            <w:pPr>
              <w:pStyle w:val="12"/>
            </w:pPr>
            <w:r>
              <w:t>系统安装完成时间</w:t>
            </w:r>
          </w:p>
        </w:tc>
        <w:tc>
          <w:tcPr>
            <w:tcW w:w="2268" w:type="dxa"/>
            <w:vAlign w:val="center"/>
          </w:tcPr>
          <w:p>
            <w:pPr>
              <w:pStyle w:val="12"/>
            </w:pPr>
            <w:r>
              <w:t>≤3天</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每年信息技术服务费成本</w:t>
            </w:r>
          </w:p>
        </w:tc>
        <w:tc>
          <w:tcPr>
            <w:tcW w:w="5386" w:type="dxa"/>
            <w:vAlign w:val="center"/>
          </w:tcPr>
          <w:p>
            <w:pPr>
              <w:pStyle w:val="12"/>
            </w:pPr>
            <w:r>
              <w:t>每年信息技术服务费成本</w:t>
            </w:r>
          </w:p>
        </w:tc>
        <w:tc>
          <w:tcPr>
            <w:tcW w:w="2268" w:type="dxa"/>
            <w:vAlign w:val="center"/>
          </w:tcPr>
          <w:p>
            <w:pPr>
              <w:pStyle w:val="12"/>
            </w:pPr>
            <w:r>
              <w:t>≤5万元</w:t>
            </w:r>
          </w:p>
        </w:tc>
        <w:tc>
          <w:tcPr>
            <w:tcW w:w="1276" w:type="dxa"/>
            <w:vAlign w:val="center"/>
          </w:tcPr>
          <w:p>
            <w:pPr>
              <w:pStyle w:val="12"/>
            </w:pPr>
            <w:r>
              <w:t>安装协议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提高应急值守指挥调度能力和水平</w:t>
            </w:r>
          </w:p>
        </w:tc>
        <w:tc>
          <w:tcPr>
            <w:tcW w:w="5386" w:type="dxa"/>
            <w:vAlign w:val="center"/>
          </w:tcPr>
          <w:p>
            <w:pPr>
              <w:pStyle w:val="12"/>
            </w:pPr>
            <w:r>
              <w:t>提高应急值守指挥调度能力和水平</w:t>
            </w:r>
          </w:p>
        </w:tc>
        <w:tc>
          <w:tcPr>
            <w:tcW w:w="2268" w:type="dxa"/>
            <w:vAlign w:val="center"/>
          </w:tcPr>
          <w:p>
            <w:pPr>
              <w:pStyle w:val="12"/>
            </w:pPr>
            <w:r>
              <w:t>有所提高</w:t>
            </w:r>
          </w:p>
        </w:tc>
        <w:tc>
          <w:tcPr>
            <w:tcW w:w="1276" w:type="dxa"/>
            <w:vAlign w:val="center"/>
          </w:tcPr>
          <w:p>
            <w:pPr>
              <w:pStyle w:val="12"/>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提高应急事件响应处置效率</w:t>
            </w:r>
          </w:p>
        </w:tc>
        <w:tc>
          <w:tcPr>
            <w:tcW w:w="5386" w:type="dxa"/>
            <w:vAlign w:val="center"/>
          </w:tcPr>
          <w:p>
            <w:pPr>
              <w:pStyle w:val="12"/>
            </w:pPr>
            <w:r>
              <w:t>提高应急事件响应处置效率</w:t>
            </w:r>
          </w:p>
        </w:tc>
        <w:tc>
          <w:tcPr>
            <w:tcW w:w="2268" w:type="dxa"/>
            <w:vAlign w:val="center"/>
          </w:tcPr>
          <w:p>
            <w:pPr>
              <w:pStyle w:val="12"/>
            </w:pPr>
            <w:r>
              <w:t>有所提高</w:t>
            </w:r>
          </w:p>
        </w:tc>
        <w:tc>
          <w:tcPr>
            <w:tcW w:w="1276" w:type="dxa"/>
            <w:vAlign w:val="center"/>
          </w:tcPr>
          <w:p>
            <w:pPr>
              <w:pStyle w:val="12"/>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≥9898</w:t>
            </w:r>
          </w:p>
        </w:tc>
        <w:tc>
          <w:tcPr>
            <w:tcW w:w="1276" w:type="dxa"/>
            <w:vAlign w:val="center"/>
          </w:tcPr>
          <w:p>
            <w:pPr>
              <w:pStyle w:val="12"/>
            </w:pPr>
            <w:r>
              <w:t>百分比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3、2024年禁燃禁放工作经费绩效目标表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13042424P001PDR101931</w:t>
            </w:r>
          </w:p>
        </w:tc>
        <w:tc>
          <w:tcPr>
            <w:tcW w:w="2835" w:type="dxa"/>
            <w:vAlign w:val="center"/>
          </w:tcPr>
          <w:p>
            <w:pPr>
              <w:pStyle w:val="10"/>
            </w:pPr>
            <w:r>
              <w:t>项目名称</w:t>
            </w:r>
          </w:p>
        </w:tc>
        <w:tc>
          <w:tcPr>
            <w:tcW w:w="6094" w:type="dxa"/>
            <w:gridSpan w:val="3"/>
            <w:vAlign w:val="center"/>
          </w:tcPr>
          <w:p>
            <w:pPr>
              <w:pStyle w:val="12"/>
            </w:pPr>
            <w:r>
              <w:t>2024年禁燃禁放工作经费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用于禁燃禁放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3"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1.用于道东堡镇禁燃禁放的工作经费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制作各村禁烧禁燃宣传条幅数量</w:t>
            </w:r>
          </w:p>
        </w:tc>
        <w:tc>
          <w:tcPr>
            <w:tcW w:w="5386" w:type="dxa"/>
            <w:vAlign w:val="center"/>
          </w:tcPr>
          <w:p>
            <w:pPr>
              <w:pStyle w:val="12"/>
            </w:pPr>
            <w:r>
              <w:t>制作各村禁烧禁燃宣传条幅数量</w:t>
            </w:r>
          </w:p>
        </w:tc>
        <w:tc>
          <w:tcPr>
            <w:tcW w:w="2268" w:type="dxa"/>
            <w:vAlign w:val="center"/>
          </w:tcPr>
          <w:p>
            <w:pPr>
              <w:pStyle w:val="12"/>
            </w:pPr>
            <w:r>
              <w:t>4000条</w:t>
            </w:r>
          </w:p>
        </w:tc>
        <w:tc>
          <w:tcPr>
            <w:tcW w:w="1276" w:type="dxa"/>
            <w:vAlign w:val="center"/>
          </w:tcPr>
          <w:p>
            <w:pPr>
              <w:pStyle w:val="12"/>
            </w:pPr>
            <w:r>
              <w:t>实际制作条幅数量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制作各村禁烧禁燃宣传条幅数量</w:t>
            </w:r>
          </w:p>
        </w:tc>
        <w:tc>
          <w:tcPr>
            <w:tcW w:w="5386" w:type="dxa"/>
            <w:vAlign w:val="center"/>
          </w:tcPr>
          <w:p>
            <w:pPr>
              <w:pStyle w:val="12"/>
            </w:pPr>
            <w:r>
              <w:t>制作各村禁烧禁燃宣传明白纸数量</w:t>
            </w:r>
          </w:p>
        </w:tc>
        <w:tc>
          <w:tcPr>
            <w:tcW w:w="2268" w:type="dxa"/>
            <w:vAlign w:val="center"/>
          </w:tcPr>
          <w:p>
            <w:pPr>
              <w:pStyle w:val="12"/>
            </w:pPr>
            <w:r>
              <w:t>100000张</w:t>
            </w:r>
          </w:p>
        </w:tc>
        <w:tc>
          <w:tcPr>
            <w:tcW w:w="1276" w:type="dxa"/>
            <w:vAlign w:val="center"/>
          </w:tcPr>
          <w:p>
            <w:pPr>
              <w:pStyle w:val="12"/>
            </w:pPr>
            <w:r>
              <w:t>实际印刷明白纸数量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禁烧禁燃资金各村拨付率</w:t>
            </w:r>
          </w:p>
        </w:tc>
        <w:tc>
          <w:tcPr>
            <w:tcW w:w="5386" w:type="dxa"/>
            <w:vAlign w:val="center"/>
          </w:tcPr>
          <w:p>
            <w:pPr>
              <w:pStyle w:val="12"/>
            </w:pPr>
            <w:r>
              <w:t>禁烧禁燃资金各村拨付率</w:t>
            </w:r>
          </w:p>
        </w:tc>
        <w:tc>
          <w:tcPr>
            <w:tcW w:w="2268" w:type="dxa"/>
            <w:vAlign w:val="center"/>
          </w:tcPr>
          <w:p>
            <w:pPr>
              <w:pStyle w:val="12"/>
            </w:pPr>
            <w:r>
              <w:t>100百分比</w:t>
            </w:r>
          </w:p>
        </w:tc>
        <w:tc>
          <w:tcPr>
            <w:tcW w:w="1276" w:type="dxa"/>
            <w:vAlign w:val="center"/>
          </w:tcPr>
          <w:p>
            <w:pPr>
              <w:pStyle w:val="12"/>
            </w:pPr>
            <w: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禁烧禁燃资金各村拨款及时性</w:t>
            </w:r>
          </w:p>
        </w:tc>
        <w:tc>
          <w:tcPr>
            <w:tcW w:w="5386" w:type="dxa"/>
            <w:vAlign w:val="center"/>
          </w:tcPr>
          <w:p>
            <w:pPr>
              <w:pStyle w:val="12"/>
            </w:pPr>
            <w:r>
              <w:t>禁烧禁燃资金各村拨款及时性</w:t>
            </w:r>
          </w:p>
        </w:tc>
        <w:tc>
          <w:tcPr>
            <w:tcW w:w="2268" w:type="dxa"/>
            <w:vAlign w:val="center"/>
          </w:tcPr>
          <w:p>
            <w:pPr>
              <w:pStyle w:val="12"/>
            </w:pPr>
            <w:r>
              <w:t>及时拨付</w:t>
            </w:r>
          </w:p>
        </w:tc>
        <w:tc>
          <w:tcPr>
            <w:tcW w:w="1276" w:type="dxa"/>
            <w:vAlign w:val="center"/>
          </w:tcPr>
          <w:p>
            <w:pPr>
              <w:pStyle w:val="12"/>
            </w:pPr>
            <w: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各村每张宣传明白纸的成本</w:t>
            </w:r>
          </w:p>
        </w:tc>
        <w:tc>
          <w:tcPr>
            <w:tcW w:w="5386" w:type="dxa"/>
            <w:vAlign w:val="center"/>
          </w:tcPr>
          <w:p>
            <w:pPr>
              <w:pStyle w:val="12"/>
            </w:pPr>
            <w:r>
              <w:t>各村每张宣传明白纸的成本</w:t>
            </w:r>
          </w:p>
        </w:tc>
        <w:tc>
          <w:tcPr>
            <w:tcW w:w="2268" w:type="dxa"/>
            <w:vAlign w:val="center"/>
          </w:tcPr>
          <w:p>
            <w:pPr>
              <w:pStyle w:val="12"/>
            </w:pPr>
            <w:r>
              <w:t>≤0.4元</w:t>
            </w:r>
          </w:p>
        </w:tc>
        <w:tc>
          <w:tcPr>
            <w:tcW w:w="1276" w:type="dxa"/>
            <w:vAlign w:val="center"/>
          </w:tcPr>
          <w:p>
            <w:pPr>
              <w:pStyle w:val="12"/>
            </w:pPr>
            <w: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各村制作宣传条幅每条成本</w:t>
            </w:r>
          </w:p>
        </w:tc>
        <w:tc>
          <w:tcPr>
            <w:tcW w:w="5386" w:type="dxa"/>
            <w:vAlign w:val="center"/>
          </w:tcPr>
          <w:p>
            <w:pPr>
              <w:pStyle w:val="12"/>
            </w:pPr>
            <w:r>
              <w:t>各村制作宣传条幅每条成本</w:t>
            </w:r>
          </w:p>
        </w:tc>
        <w:tc>
          <w:tcPr>
            <w:tcW w:w="2268" w:type="dxa"/>
            <w:vAlign w:val="center"/>
          </w:tcPr>
          <w:p>
            <w:pPr>
              <w:pStyle w:val="12"/>
            </w:pPr>
            <w:r>
              <w:t>≤40元</w:t>
            </w:r>
          </w:p>
        </w:tc>
        <w:tc>
          <w:tcPr>
            <w:tcW w:w="1276" w:type="dxa"/>
            <w:vAlign w:val="center"/>
          </w:tcPr>
          <w:p>
            <w:pPr>
              <w:pStyle w:val="12"/>
            </w:pPr>
            <w: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有效控制各类火灾，减少经济损失</w:t>
            </w:r>
          </w:p>
        </w:tc>
        <w:tc>
          <w:tcPr>
            <w:tcW w:w="5386" w:type="dxa"/>
            <w:vAlign w:val="center"/>
          </w:tcPr>
          <w:p>
            <w:pPr>
              <w:pStyle w:val="12"/>
            </w:pPr>
            <w:r>
              <w:t>有效控制各类火灾，减少经济损失</w:t>
            </w:r>
          </w:p>
        </w:tc>
        <w:tc>
          <w:tcPr>
            <w:tcW w:w="2268" w:type="dxa"/>
            <w:vAlign w:val="center"/>
          </w:tcPr>
          <w:p>
            <w:pPr>
              <w:pStyle w:val="12"/>
            </w:pPr>
            <w:r>
              <w:t>有效控制各类火灾，减少经济损失</w:t>
            </w:r>
          </w:p>
        </w:tc>
        <w:tc>
          <w:tcPr>
            <w:tcW w:w="1276" w:type="dxa"/>
            <w:vAlign w:val="center"/>
          </w:tcPr>
          <w:p>
            <w:pPr>
              <w:pStyle w:val="12"/>
            </w:pPr>
            <w:r>
              <w:t>火灾发生情况减少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焚烧秸秆及燃放烟花爆竹事故降低</w:t>
            </w:r>
          </w:p>
        </w:tc>
        <w:tc>
          <w:tcPr>
            <w:tcW w:w="5386" w:type="dxa"/>
            <w:vAlign w:val="center"/>
          </w:tcPr>
          <w:p>
            <w:pPr>
              <w:pStyle w:val="12"/>
            </w:pPr>
            <w:r>
              <w:t>焚烧秸秆及燃放烟花爆竹事故降低</w:t>
            </w:r>
          </w:p>
        </w:tc>
        <w:tc>
          <w:tcPr>
            <w:tcW w:w="2268" w:type="dxa"/>
            <w:vAlign w:val="center"/>
          </w:tcPr>
          <w:p>
            <w:pPr>
              <w:pStyle w:val="12"/>
            </w:pPr>
            <w:r>
              <w:t>焚烧秸秆及燃放烟花爆竹事故降低</w:t>
            </w:r>
          </w:p>
        </w:tc>
        <w:tc>
          <w:tcPr>
            <w:tcW w:w="1276" w:type="dxa"/>
            <w:vAlign w:val="center"/>
          </w:tcPr>
          <w:p>
            <w:pPr>
              <w:pStyle w:val="12"/>
            </w:pPr>
            <w:r>
              <w:t>实际焚烧及燃放次数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有效保护生态环境，降低污染指数</w:t>
            </w:r>
          </w:p>
        </w:tc>
        <w:tc>
          <w:tcPr>
            <w:tcW w:w="5386" w:type="dxa"/>
            <w:vAlign w:val="center"/>
          </w:tcPr>
          <w:p>
            <w:pPr>
              <w:pStyle w:val="12"/>
            </w:pPr>
            <w:r>
              <w:t>有效保护生态环境，降低污染指数</w:t>
            </w:r>
          </w:p>
        </w:tc>
        <w:tc>
          <w:tcPr>
            <w:tcW w:w="2268" w:type="dxa"/>
            <w:vAlign w:val="center"/>
          </w:tcPr>
          <w:p>
            <w:pPr>
              <w:pStyle w:val="12"/>
            </w:pPr>
            <w:r>
              <w:t>有效保护生态环境，降低污染指数</w:t>
            </w:r>
          </w:p>
        </w:tc>
        <w:tc>
          <w:tcPr>
            <w:tcW w:w="1276" w:type="dxa"/>
            <w:vAlign w:val="center"/>
          </w:tcPr>
          <w:p>
            <w:pPr>
              <w:pStyle w:val="12"/>
            </w:pPr>
            <w: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可持续防止大气污染，净化空气</w:t>
            </w:r>
          </w:p>
        </w:tc>
        <w:tc>
          <w:tcPr>
            <w:tcW w:w="5386" w:type="dxa"/>
            <w:vAlign w:val="center"/>
          </w:tcPr>
          <w:p>
            <w:pPr>
              <w:pStyle w:val="12"/>
            </w:pPr>
            <w:r>
              <w:t>可持续防止大气污染，净化空气</w:t>
            </w:r>
          </w:p>
        </w:tc>
        <w:tc>
          <w:tcPr>
            <w:tcW w:w="2268" w:type="dxa"/>
            <w:vAlign w:val="center"/>
          </w:tcPr>
          <w:p>
            <w:pPr>
              <w:pStyle w:val="12"/>
            </w:pPr>
            <w:r>
              <w:t>可持续防止大气污染，净化空气</w:t>
            </w:r>
          </w:p>
        </w:tc>
        <w:tc>
          <w:tcPr>
            <w:tcW w:w="1276" w:type="dxa"/>
            <w:vAlign w:val="center"/>
          </w:tcPr>
          <w:p>
            <w:pPr>
              <w:pStyle w:val="12"/>
            </w:pPr>
            <w: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各村群众对禁烧禁燃后空气质量满意度</w:t>
            </w:r>
          </w:p>
        </w:tc>
        <w:tc>
          <w:tcPr>
            <w:tcW w:w="5386" w:type="dxa"/>
            <w:vAlign w:val="center"/>
          </w:tcPr>
          <w:p>
            <w:pPr>
              <w:pStyle w:val="12"/>
            </w:pPr>
            <w:r>
              <w:t>各村群众对禁烧禁燃后空气质量满意度</w:t>
            </w:r>
          </w:p>
        </w:tc>
        <w:tc>
          <w:tcPr>
            <w:tcW w:w="2268" w:type="dxa"/>
            <w:vAlign w:val="center"/>
          </w:tcPr>
          <w:p>
            <w:pPr>
              <w:pStyle w:val="12"/>
            </w:pPr>
            <w:r>
              <w:t>≥95百分比</w:t>
            </w:r>
          </w:p>
        </w:tc>
        <w:tc>
          <w:tcPr>
            <w:tcW w:w="1276" w:type="dxa"/>
            <w:vAlign w:val="center"/>
          </w:tcPr>
          <w:p>
            <w:pPr>
              <w:pStyle w:val="12"/>
            </w:pPr>
            <w:r>
              <w:t>各村群众对禁烧禁燃后空气质量满意度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4、2024年乡镇和村级转移支付绩效目标表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13042424P001PDR10189T</w:t>
            </w:r>
          </w:p>
        </w:tc>
        <w:tc>
          <w:tcPr>
            <w:tcW w:w="2835" w:type="dxa"/>
            <w:vAlign w:val="center"/>
          </w:tcPr>
          <w:p>
            <w:pPr>
              <w:pStyle w:val="10"/>
            </w:pPr>
            <w:r>
              <w:t>项目名称</w:t>
            </w:r>
          </w:p>
        </w:tc>
        <w:tc>
          <w:tcPr>
            <w:tcW w:w="6094" w:type="dxa"/>
            <w:gridSpan w:val="3"/>
            <w:vAlign w:val="center"/>
          </w:tcPr>
          <w:p>
            <w:pPr>
              <w:pStyle w:val="12"/>
            </w:pPr>
            <w:r>
              <w:t>2024年乡镇和村级转移支付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170.08</w:t>
            </w:r>
          </w:p>
        </w:tc>
        <w:tc>
          <w:tcPr>
            <w:tcW w:w="2835" w:type="dxa"/>
            <w:vAlign w:val="center"/>
          </w:tcPr>
          <w:p>
            <w:pPr>
              <w:pStyle w:val="10"/>
            </w:pPr>
            <w:r>
              <w:t>其中：财政    资金</w:t>
            </w:r>
          </w:p>
        </w:tc>
        <w:tc>
          <w:tcPr>
            <w:tcW w:w="2551" w:type="dxa"/>
            <w:vAlign w:val="center"/>
          </w:tcPr>
          <w:p>
            <w:pPr>
              <w:pStyle w:val="12"/>
            </w:pPr>
            <w:r>
              <w:t>170.08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乡镇和村转移支付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42.50</w:t>
            </w:r>
          </w:p>
        </w:tc>
        <w:tc>
          <w:tcPr>
            <w:tcW w:w="2835" w:type="dxa"/>
            <w:vAlign w:val="center"/>
          </w:tcPr>
          <w:p>
            <w:pPr>
              <w:pStyle w:val="13"/>
            </w:pPr>
            <w:r>
              <w:t>85.00</w:t>
            </w:r>
          </w:p>
        </w:tc>
        <w:tc>
          <w:tcPr>
            <w:tcW w:w="2551" w:type="dxa"/>
            <w:vAlign w:val="center"/>
          </w:tcPr>
          <w:p>
            <w:pPr>
              <w:pStyle w:val="13"/>
            </w:pPr>
            <w:r>
              <w:t>127.50</w:t>
            </w:r>
          </w:p>
        </w:tc>
        <w:tc>
          <w:tcPr>
            <w:tcW w:w="3543" w:type="dxa"/>
            <w:gridSpan w:val="2"/>
            <w:vAlign w:val="center"/>
          </w:tcPr>
          <w:p>
            <w:pPr>
              <w:pStyle w:val="13"/>
            </w:pPr>
            <w:r>
              <w:t>170.08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1.保障乡镇人员的工资和村级的办公经费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发放自筹人员工资的人数</w:t>
            </w:r>
          </w:p>
          <w:p>
            <w:pPr>
              <w:pStyle w:val="12"/>
            </w:pPr>
          </w:p>
        </w:tc>
        <w:tc>
          <w:tcPr>
            <w:tcW w:w="5386" w:type="dxa"/>
            <w:vAlign w:val="center"/>
          </w:tcPr>
          <w:p>
            <w:pPr>
              <w:pStyle w:val="12"/>
            </w:pPr>
            <w:r>
              <w:t>发放自筹人员工资的人数</w:t>
            </w:r>
          </w:p>
          <w:p>
            <w:pPr>
              <w:pStyle w:val="12"/>
            </w:pPr>
          </w:p>
        </w:tc>
        <w:tc>
          <w:tcPr>
            <w:tcW w:w="2268" w:type="dxa"/>
            <w:vAlign w:val="center"/>
          </w:tcPr>
          <w:p>
            <w:pPr>
              <w:pStyle w:val="12"/>
            </w:pPr>
            <w:r>
              <w:t>56人</w:t>
            </w:r>
          </w:p>
        </w:tc>
        <w:tc>
          <w:tcPr>
            <w:tcW w:w="1276" w:type="dxa"/>
            <w:vAlign w:val="center"/>
          </w:tcPr>
          <w:p>
            <w:pPr>
              <w:pStyle w:val="12"/>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发放村级转移支付的村数量</w:t>
            </w:r>
          </w:p>
        </w:tc>
        <w:tc>
          <w:tcPr>
            <w:tcW w:w="5386" w:type="dxa"/>
            <w:vAlign w:val="center"/>
          </w:tcPr>
          <w:p>
            <w:pPr>
              <w:pStyle w:val="12"/>
            </w:pPr>
            <w:r>
              <w:t>发放村级转移支付的村数量</w:t>
            </w:r>
          </w:p>
        </w:tc>
        <w:tc>
          <w:tcPr>
            <w:tcW w:w="2268" w:type="dxa"/>
            <w:vAlign w:val="center"/>
          </w:tcPr>
          <w:p>
            <w:pPr>
              <w:pStyle w:val="12"/>
            </w:pPr>
            <w:r>
              <w:t>31个</w:t>
            </w:r>
          </w:p>
        </w:tc>
        <w:tc>
          <w:tcPr>
            <w:tcW w:w="1276" w:type="dxa"/>
            <w:vAlign w:val="center"/>
          </w:tcPr>
          <w:p>
            <w:pPr>
              <w:pStyle w:val="12"/>
            </w:pPr>
            <w: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自筹人员每人每月工资</w:t>
            </w:r>
          </w:p>
        </w:tc>
        <w:tc>
          <w:tcPr>
            <w:tcW w:w="5386" w:type="dxa"/>
            <w:vAlign w:val="center"/>
          </w:tcPr>
          <w:p>
            <w:pPr>
              <w:pStyle w:val="12"/>
            </w:pPr>
            <w:r>
              <w:t>自筹人员每人每月工资</w:t>
            </w:r>
          </w:p>
        </w:tc>
        <w:tc>
          <w:tcPr>
            <w:tcW w:w="2268" w:type="dxa"/>
            <w:vAlign w:val="center"/>
          </w:tcPr>
          <w:p>
            <w:pPr>
              <w:pStyle w:val="12"/>
            </w:pPr>
            <w:r>
              <w:t>≥1697元/人/月</w:t>
            </w:r>
          </w:p>
        </w:tc>
        <w:tc>
          <w:tcPr>
            <w:tcW w:w="1276" w:type="dxa"/>
            <w:vAlign w:val="center"/>
          </w:tcPr>
          <w:p>
            <w:pPr>
              <w:pStyle w:val="12"/>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每村每年发放村级转移支付金额</w:t>
            </w:r>
          </w:p>
        </w:tc>
        <w:tc>
          <w:tcPr>
            <w:tcW w:w="5386" w:type="dxa"/>
            <w:vAlign w:val="center"/>
          </w:tcPr>
          <w:p>
            <w:pPr>
              <w:pStyle w:val="12"/>
            </w:pPr>
            <w:r>
              <w:t>每村每年发放村级转移支付金额</w:t>
            </w:r>
          </w:p>
        </w:tc>
        <w:tc>
          <w:tcPr>
            <w:tcW w:w="2268" w:type="dxa"/>
            <w:vAlign w:val="center"/>
          </w:tcPr>
          <w:p>
            <w:pPr>
              <w:pStyle w:val="12"/>
            </w:pPr>
            <w:r>
              <w:t>≥18070元/村/年</w:t>
            </w:r>
          </w:p>
        </w:tc>
        <w:tc>
          <w:tcPr>
            <w:tcW w:w="1276" w:type="dxa"/>
            <w:vAlign w:val="center"/>
          </w:tcPr>
          <w:p>
            <w:pPr>
              <w:pStyle w:val="12"/>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自筹人员工资的发放率</w:t>
            </w:r>
          </w:p>
        </w:tc>
        <w:tc>
          <w:tcPr>
            <w:tcW w:w="5386" w:type="dxa"/>
            <w:vAlign w:val="center"/>
          </w:tcPr>
          <w:p>
            <w:pPr>
              <w:pStyle w:val="12"/>
            </w:pPr>
            <w:r>
              <w:t>自筹人员工资的发放率</w:t>
            </w:r>
          </w:p>
        </w:tc>
        <w:tc>
          <w:tcPr>
            <w:tcW w:w="2268" w:type="dxa"/>
            <w:vAlign w:val="center"/>
          </w:tcPr>
          <w:p>
            <w:pPr>
              <w:pStyle w:val="12"/>
            </w:pPr>
            <w:r>
              <w:t>100百分比</w:t>
            </w:r>
          </w:p>
        </w:tc>
        <w:tc>
          <w:tcPr>
            <w:tcW w:w="1276" w:type="dxa"/>
            <w:vAlign w:val="center"/>
          </w:tcPr>
          <w:p>
            <w:pPr>
              <w:pStyle w:val="12"/>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村级转移支付拨款率</w:t>
            </w:r>
          </w:p>
        </w:tc>
        <w:tc>
          <w:tcPr>
            <w:tcW w:w="5386" w:type="dxa"/>
            <w:vAlign w:val="center"/>
          </w:tcPr>
          <w:p>
            <w:pPr>
              <w:pStyle w:val="12"/>
            </w:pPr>
            <w:r>
              <w:t>村级转移支付对各村拨款率</w:t>
            </w:r>
          </w:p>
        </w:tc>
        <w:tc>
          <w:tcPr>
            <w:tcW w:w="2268" w:type="dxa"/>
            <w:vAlign w:val="center"/>
          </w:tcPr>
          <w:p>
            <w:pPr>
              <w:pStyle w:val="12"/>
            </w:pPr>
            <w:r>
              <w:t>100百分比</w:t>
            </w:r>
          </w:p>
        </w:tc>
        <w:tc>
          <w:tcPr>
            <w:tcW w:w="1276" w:type="dxa"/>
            <w:vAlign w:val="center"/>
          </w:tcPr>
          <w:p>
            <w:pPr>
              <w:pStyle w:val="12"/>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自筹人员工资在每月月底前发放</w:t>
            </w:r>
          </w:p>
        </w:tc>
        <w:tc>
          <w:tcPr>
            <w:tcW w:w="5386" w:type="dxa"/>
            <w:vAlign w:val="center"/>
          </w:tcPr>
          <w:p>
            <w:pPr>
              <w:pStyle w:val="12"/>
            </w:pPr>
            <w:r>
              <w:t>自筹人员工资在每月月底前发放</w:t>
            </w:r>
          </w:p>
        </w:tc>
        <w:tc>
          <w:tcPr>
            <w:tcW w:w="2268" w:type="dxa"/>
            <w:vAlign w:val="center"/>
          </w:tcPr>
          <w:p>
            <w:pPr>
              <w:pStyle w:val="12"/>
            </w:pPr>
            <w:r>
              <w:t>自筹人员工资在每月月底前发放</w:t>
            </w:r>
          </w:p>
        </w:tc>
        <w:tc>
          <w:tcPr>
            <w:tcW w:w="1276" w:type="dxa"/>
            <w:vAlign w:val="center"/>
          </w:tcPr>
          <w:p>
            <w:pPr>
              <w:pStyle w:val="12"/>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提高镇村两级工作效率</w:t>
            </w:r>
          </w:p>
        </w:tc>
        <w:tc>
          <w:tcPr>
            <w:tcW w:w="5386" w:type="dxa"/>
            <w:vAlign w:val="center"/>
          </w:tcPr>
          <w:p>
            <w:pPr>
              <w:pStyle w:val="12"/>
            </w:pPr>
            <w:r>
              <w:t>提高镇村两级工作效率</w:t>
            </w:r>
          </w:p>
        </w:tc>
        <w:tc>
          <w:tcPr>
            <w:tcW w:w="2268" w:type="dxa"/>
            <w:vAlign w:val="center"/>
          </w:tcPr>
          <w:p>
            <w:pPr>
              <w:pStyle w:val="12"/>
            </w:pPr>
            <w:r>
              <w:t>提高镇村两级工作效率</w:t>
            </w:r>
          </w:p>
        </w:tc>
        <w:tc>
          <w:tcPr>
            <w:tcW w:w="1276" w:type="dxa"/>
            <w:vAlign w:val="center"/>
          </w:tcPr>
          <w:p>
            <w:pPr>
              <w:pStyle w:val="12"/>
            </w:pPr>
            <w:r>
              <w:t>提高镇村两级工作效率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保障日常办公</w:t>
            </w:r>
          </w:p>
        </w:tc>
        <w:tc>
          <w:tcPr>
            <w:tcW w:w="5386" w:type="dxa"/>
            <w:vAlign w:val="center"/>
          </w:tcPr>
          <w:p>
            <w:pPr>
              <w:pStyle w:val="12"/>
            </w:pPr>
            <w:r>
              <w:t>保障日常办公</w:t>
            </w:r>
          </w:p>
        </w:tc>
        <w:tc>
          <w:tcPr>
            <w:tcW w:w="2268" w:type="dxa"/>
            <w:vAlign w:val="center"/>
          </w:tcPr>
          <w:p>
            <w:pPr>
              <w:pStyle w:val="12"/>
            </w:pPr>
            <w:r>
              <w:t>保障日常办公</w:t>
            </w:r>
          </w:p>
        </w:tc>
        <w:tc>
          <w:tcPr>
            <w:tcW w:w="1276" w:type="dxa"/>
            <w:vAlign w:val="center"/>
          </w:tcPr>
          <w:p>
            <w:pPr>
              <w:pStyle w:val="12"/>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自筹人员及各村对工资及转移支付发放的满意度</w:t>
            </w:r>
          </w:p>
        </w:tc>
        <w:tc>
          <w:tcPr>
            <w:tcW w:w="5386" w:type="dxa"/>
            <w:vAlign w:val="center"/>
          </w:tcPr>
          <w:p>
            <w:pPr>
              <w:pStyle w:val="12"/>
            </w:pPr>
            <w:r>
              <w:t>自筹人员及各村对工资及转移支付发放的满意度</w:t>
            </w:r>
          </w:p>
        </w:tc>
        <w:tc>
          <w:tcPr>
            <w:tcW w:w="2268" w:type="dxa"/>
            <w:vAlign w:val="center"/>
          </w:tcPr>
          <w:p>
            <w:pPr>
              <w:pStyle w:val="12"/>
            </w:pPr>
            <w:r>
              <w:t>≥96百分比</w:t>
            </w:r>
          </w:p>
        </w:tc>
        <w:tc>
          <w:tcPr>
            <w:tcW w:w="1276" w:type="dxa"/>
            <w:vAlign w:val="center"/>
          </w:tcPr>
          <w:p>
            <w:pPr>
              <w:pStyle w:val="12"/>
            </w:pPr>
            <w:r>
              <w:t>自筹人员及各村对工资及转移支付发放的满意度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13042424P001PDR10191R</w:t>
            </w:r>
          </w:p>
        </w:tc>
        <w:tc>
          <w:tcPr>
            <w:tcW w:w="2835" w:type="dxa"/>
            <w:vAlign w:val="center"/>
          </w:tcPr>
          <w:p>
            <w:pPr>
              <w:pStyle w:val="10"/>
            </w:pPr>
            <w:r>
              <w:t>项目名称</w:t>
            </w:r>
          </w:p>
        </w:tc>
        <w:tc>
          <w:tcPr>
            <w:tcW w:w="6094" w:type="dxa"/>
            <w:gridSpan w:val="3"/>
            <w:vAlign w:val="center"/>
          </w:tcPr>
          <w:p>
            <w:pPr>
              <w:pStyle w:val="12"/>
            </w:pPr>
            <w:r>
              <w:t>2024年信访维稳经费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用于信访经费支出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4.00</w:t>
            </w:r>
          </w:p>
        </w:tc>
        <w:tc>
          <w:tcPr>
            <w:tcW w:w="2835" w:type="dxa"/>
            <w:vAlign w:val="center"/>
          </w:tcPr>
          <w:p>
            <w:pPr>
              <w:pStyle w:val="13"/>
            </w:pPr>
            <w:r>
              <w:t>8.00</w:t>
            </w:r>
          </w:p>
        </w:tc>
        <w:tc>
          <w:tcPr>
            <w:tcW w:w="2551" w:type="dxa"/>
            <w:vAlign w:val="center"/>
          </w:tcPr>
          <w:p>
            <w:pPr>
              <w:pStyle w:val="13"/>
            </w:pPr>
            <w:r>
              <w:t>12.00</w:t>
            </w:r>
          </w:p>
        </w:tc>
        <w:tc>
          <w:tcPr>
            <w:tcW w:w="3543" w:type="dxa"/>
            <w:gridSpan w:val="2"/>
            <w:vAlign w:val="center"/>
          </w:tcPr>
          <w:p>
            <w:pPr>
              <w:pStyle w:val="13"/>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1.用于信访维稳经费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处理信访事项数量</w:t>
            </w:r>
          </w:p>
        </w:tc>
        <w:tc>
          <w:tcPr>
            <w:tcW w:w="5386" w:type="dxa"/>
            <w:vAlign w:val="center"/>
          </w:tcPr>
          <w:p>
            <w:pPr>
              <w:pStyle w:val="12"/>
            </w:pPr>
            <w:r>
              <w:t>处理信访事项数量</w:t>
            </w:r>
          </w:p>
        </w:tc>
        <w:tc>
          <w:tcPr>
            <w:tcW w:w="2268" w:type="dxa"/>
            <w:vAlign w:val="center"/>
          </w:tcPr>
          <w:p>
            <w:pPr>
              <w:pStyle w:val="12"/>
            </w:pPr>
            <w:r>
              <w:t>≥10件</w:t>
            </w:r>
          </w:p>
        </w:tc>
        <w:tc>
          <w:tcPr>
            <w:tcW w:w="1276" w:type="dxa"/>
            <w:vAlign w:val="center"/>
          </w:tcPr>
          <w:p>
            <w:pPr>
              <w:pStyle w:val="12"/>
            </w:pPr>
            <w:r>
              <w:t>实际处理信访事务件数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群众信访工作按期完成率</w:t>
            </w:r>
          </w:p>
        </w:tc>
        <w:tc>
          <w:tcPr>
            <w:tcW w:w="5386" w:type="dxa"/>
            <w:vAlign w:val="center"/>
          </w:tcPr>
          <w:p>
            <w:pPr>
              <w:pStyle w:val="12"/>
            </w:pPr>
            <w:r>
              <w:t>群众信访工作按期完成率</w:t>
            </w:r>
          </w:p>
        </w:tc>
        <w:tc>
          <w:tcPr>
            <w:tcW w:w="2268" w:type="dxa"/>
            <w:vAlign w:val="center"/>
          </w:tcPr>
          <w:p>
            <w:pPr>
              <w:pStyle w:val="12"/>
            </w:pPr>
            <w:r>
              <w:t>≥98百分比</w:t>
            </w:r>
          </w:p>
        </w:tc>
        <w:tc>
          <w:tcPr>
            <w:tcW w:w="1276" w:type="dxa"/>
            <w:vAlign w:val="center"/>
          </w:tcPr>
          <w:p>
            <w:pPr>
              <w:pStyle w:val="12"/>
            </w:pPr>
            <w:r>
              <w:t>实际处理信访事务完成时间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处理信访事务及时性</w:t>
            </w:r>
          </w:p>
        </w:tc>
        <w:tc>
          <w:tcPr>
            <w:tcW w:w="5386" w:type="dxa"/>
            <w:vAlign w:val="center"/>
          </w:tcPr>
          <w:p>
            <w:pPr>
              <w:pStyle w:val="12"/>
            </w:pPr>
            <w:r>
              <w:t>处理信访事务及时性</w:t>
            </w:r>
          </w:p>
        </w:tc>
        <w:tc>
          <w:tcPr>
            <w:tcW w:w="2268" w:type="dxa"/>
            <w:vAlign w:val="center"/>
          </w:tcPr>
          <w:p>
            <w:pPr>
              <w:pStyle w:val="12"/>
            </w:pPr>
            <w:r>
              <w:t>及时完成各项事务</w:t>
            </w:r>
          </w:p>
        </w:tc>
        <w:tc>
          <w:tcPr>
            <w:tcW w:w="1276" w:type="dxa"/>
            <w:vAlign w:val="center"/>
          </w:tcPr>
          <w:p>
            <w:pPr>
              <w:pStyle w:val="12"/>
            </w:pPr>
            <w:r>
              <w:t>处理信访事务时间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处理各项信访事务资金控制数</w:t>
            </w:r>
          </w:p>
        </w:tc>
        <w:tc>
          <w:tcPr>
            <w:tcW w:w="5386" w:type="dxa"/>
            <w:vAlign w:val="center"/>
          </w:tcPr>
          <w:p>
            <w:pPr>
              <w:pStyle w:val="12"/>
            </w:pPr>
            <w:r>
              <w:t>处理各项信访事务资金控制数</w:t>
            </w:r>
          </w:p>
        </w:tc>
        <w:tc>
          <w:tcPr>
            <w:tcW w:w="2268" w:type="dxa"/>
            <w:vAlign w:val="center"/>
          </w:tcPr>
          <w:p>
            <w:pPr>
              <w:pStyle w:val="12"/>
            </w:pPr>
            <w:r>
              <w:t>≤15万</w:t>
            </w:r>
          </w:p>
        </w:tc>
        <w:tc>
          <w:tcPr>
            <w:tcW w:w="1276" w:type="dxa"/>
            <w:vAlign w:val="center"/>
          </w:tcPr>
          <w:p>
            <w:pPr>
              <w:pStyle w:val="12"/>
            </w:pPr>
            <w:r>
              <w:t>处理信访事务耗费资金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有效提高社会稳定性</w:t>
            </w:r>
          </w:p>
        </w:tc>
        <w:tc>
          <w:tcPr>
            <w:tcW w:w="5386" w:type="dxa"/>
            <w:vAlign w:val="center"/>
          </w:tcPr>
          <w:p>
            <w:pPr>
              <w:pStyle w:val="12"/>
            </w:pPr>
            <w:r>
              <w:t>有效提高社会稳定性</w:t>
            </w:r>
          </w:p>
        </w:tc>
        <w:tc>
          <w:tcPr>
            <w:tcW w:w="2268" w:type="dxa"/>
            <w:vAlign w:val="center"/>
          </w:tcPr>
          <w:p>
            <w:pPr>
              <w:pStyle w:val="12"/>
            </w:pPr>
            <w:r>
              <w:t>有效提高社会稳定性</w:t>
            </w:r>
          </w:p>
        </w:tc>
        <w:tc>
          <w:tcPr>
            <w:tcW w:w="1276" w:type="dxa"/>
            <w:vAlign w:val="center"/>
          </w:tcPr>
          <w:p>
            <w:pPr>
              <w:pStyle w:val="12"/>
            </w:pPr>
            <w:r>
              <w:t>有效提高社会稳定性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可持续降低群众上访率</w:t>
            </w:r>
          </w:p>
        </w:tc>
        <w:tc>
          <w:tcPr>
            <w:tcW w:w="5386" w:type="dxa"/>
            <w:vAlign w:val="center"/>
          </w:tcPr>
          <w:p>
            <w:pPr>
              <w:pStyle w:val="12"/>
            </w:pPr>
            <w:r>
              <w:t>可持续降低群众上访率</w:t>
            </w:r>
          </w:p>
        </w:tc>
        <w:tc>
          <w:tcPr>
            <w:tcW w:w="2268" w:type="dxa"/>
            <w:vAlign w:val="center"/>
          </w:tcPr>
          <w:p>
            <w:pPr>
              <w:pStyle w:val="12"/>
            </w:pPr>
            <w:r>
              <w:t>可持续降低群众上访率</w:t>
            </w:r>
          </w:p>
        </w:tc>
        <w:tc>
          <w:tcPr>
            <w:tcW w:w="1276" w:type="dxa"/>
            <w:vAlign w:val="center"/>
          </w:tcPr>
          <w:p>
            <w:pPr>
              <w:pStyle w:val="12"/>
            </w:pPr>
            <w:r>
              <w:t>可持续降低群众上访率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处理信访事务群众满意度</w:t>
            </w:r>
          </w:p>
        </w:tc>
        <w:tc>
          <w:tcPr>
            <w:tcW w:w="5386" w:type="dxa"/>
            <w:vAlign w:val="center"/>
          </w:tcPr>
          <w:p>
            <w:pPr>
              <w:pStyle w:val="12"/>
            </w:pPr>
            <w:r>
              <w:t>处理信访事务群众满意度</w:t>
            </w:r>
          </w:p>
        </w:tc>
        <w:tc>
          <w:tcPr>
            <w:tcW w:w="2268" w:type="dxa"/>
            <w:vAlign w:val="center"/>
          </w:tcPr>
          <w:p>
            <w:pPr>
              <w:pStyle w:val="12"/>
            </w:pPr>
            <w:r>
              <w:t>≥98百分比</w:t>
            </w:r>
          </w:p>
        </w:tc>
        <w:tc>
          <w:tcPr>
            <w:tcW w:w="1276" w:type="dxa"/>
            <w:vAlign w:val="center"/>
          </w:tcPr>
          <w:p>
            <w:pPr>
              <w:pStyle w:val="12"/>
            </w:pPr>
            <w:r>
              <w:t>抽样调查得出满意度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6、2024年自筹人员乡镇补贴绩效目标表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13042424P001PDR101906</w:t>
            </w:r>
          </w:p>
        </w:tc>
        <w:tc>
          <w:tcPr>
            <w:tcW w:w="2835" w:type="dxa"/>
            <w:vAlign w:val="center"/>
          </w:tcPr>
          <w:p>
            <w:pPr>
              <w:pStyle w:val="10"/>
            </w:pPr>
            <w:r>
              <w:t>项目名称</w:t>
            </w:r>
          </w:p>
        </w:tc>
        <w:tc>
          <w:tcPr>
            <w:tcW w:w="6094" w:type="dxa"/>
            <w:gridSpan w:val="3"/>
            <w:vAlign w:val="center"/>
          </w:tcPr>
          <w:p>
            <w:pPr>
              <w:pStyle w:val="12"/>
            </w:pPr>
            <w:r>
              <w:t>2024年自筹人员乡镇补贴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61.07</w:t>
            </w:r>
          </w:p>
        </w:tc>
        <w:tc>
          <w:tcPr>
            <w:tcW w:w="2835" w:type="dxa"/>
            <w:vAlign w:val="center"/>
          </w:tcPr>
          <w:p>
            <w:pPr>
              <w:pStyle w:val="10"/>
            </w:pPr>
            <w:r>
              <w:t>其中：财政    资金</w:t>
            </w:r>
          </w:p>
        </w:tc>
        <w:tc>
          <w:tcPr>
            <w:tcW w:w="2551" w:type="dxa"/>
            <w:vAlign w:val="center"/>
          </w:tcPr>
          <w:p>
            <w:pPr>
              <w:pStyle w:val="12"/>
            </w:pPr>
            <w:r>
              <w:t>61.07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自筹人员乡镇补贴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18.00</w:t>
            </w:r>
          </w:p>
        </w:tc>
        <w:tc>
          <w:tcPr>
            <w:tcW w:w="2835" w:type="dxa"/>
            <w:vAlign w:val="center"/>
          </w:tcPr>
          <w:p>
            <w:pPr>
              <w:pStyle w:val="13"/>
            </w:pPr>
            <w:r>
              <w:t>36.00</w:t>
            </w:r>
          </w:p>
        </w:tc>
        <w:tc>
          <w:tcPr>
            <w:tcW w:w="2551" w:type="dxa"/>
            <w:vAlign w:val="center"/>
          </w:tcPr>
          <w:p>
            <w:pPr>
              <w:pStyle w:val="13"/>
            </w:pPr>
            <w:r>
              <w:t>55.00</w:t>
            </w:r>
          </w:p>
        </w:tc>
        <w:tc>
          <w:tcPr>
            <w:tcW w:w="3543" w:type="dxa"/>
            <w:gridSpan w:val="2"/>
            <w:vAlign w:val="center"/>
          </w:tcPr>
          <w:p>
            <w:pPr>
              <w:pStyle w:val="13"/>
            </w:pPr>
            <w:r>
              <w:t>61.07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1.用于乡镇自收自支人员的乡镇补贴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乡镇补贴的人数</w:t>
            </w:r>
          </w:p>
        </w:tc>
        <w:tc>
          <w:tcPr>
            <w:tcW w:w="5386" w:type="dxa"/>
            <w:vAlign w:val="center"/>
          </w:tcPr>
          <w:p>
            <w:pPr>
              <w:pStyle w:val="12"/>
            </w:pPr>
            <w:r>
              <w:t>乡镇补贴的人数</w:t>
            </w:r>
          </w:p>
        </w:tc>
        <w:tc>
          <w:tcPr>
            <w:tcW w:w="2268" w:type="dxa"/>
            <w:vAlign w:val="center"/>
          </w:tcPr>
          <w:p>
            <w:pPr>
              <w:pStyle w:val="12"/>
            </w:pPr>
            <w:r>
              <w:t>54人</w:t>
            </w:r>
          </w:p>
        </w:tc>
        <w:tc>
          <w:tcPr>
            <w:tcW w:w="1276" w:type="dxa"/>
            <w:vAlign w:val="center"/>
          </w:tcPr>
          <w:p>
            <w:pPr>
              <w:pStyle w:val="12"/>
            </w:pPr>
            <w:r>
              <w:t>机关事业单位乡镇补贴审批表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乡镇补贴发放覆盖率</w:t>
            </w:r>
          </w:p>
        </w:tc>
        <w:tc>
          <w:tcPr>
            <w:tcW w:w="5386" w:type="dxa"/>
            <w:vAlign w:val="center"/>
          </w:tcPr>
          <w:p>
            <w:pPr>
              <w:pStyle w:val="12"/>
            </w:pPr>
            <w:r>
              <w:t>乡镇补贴发放覆盖率</w:t>
            </w:r>
          </w:p>
        </w:tc>
        <w:tc>
          <w:tcPr>
            <w:tcW w:w="2268" w:type="dxa"/>
            <w:vAlign w:val="center"/>
          </w:tcPr>
          <w:p>
            <w:pPr>
              <w:pStyle w:val="12"/>
            </w:pPr>
            <w:r>
              <w:t>100百分比</w:t>
            </w:r>
          </w:p>
        </w:tc>
        <w:tc>
          <w:tcPr>
            <w:tcW w:w="1276" w:type="dxa"/>
            <w:vAlign w:val="center"/>
          </w:tcPr>
          <w:p>
            <w:pPr>
              <w:pStyle w:val="12"/>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乡镇补贴发放时限</w:t>
            </w:r>
          </w:p>
        </w:tc>
        <w:tc>
          <w:tcPr>
            <w:tcW w:w="5386" w:type="dxa"/>
            <w:vAlign w:val="center"/>
          </w:tcPr>
          <w:p>
            <w:pPr>
              <w:pStyle w:val="12"/>
            </w:pPr>
            <w:r>
              <w:t>乡镇补贴发放时限</w:t>
            </w:r>
          </w:p>
        </w:tc>
        <w:tc>
          <w:tcPr>
            <w:tcW w:w="2268" w:type="dxa"/>
            <w:vAlign w:val="center"/>
          </w:tcPr>
          <w:p>
            <w:pPr>
              <w:pStyle w:val="12"/>
            </w:pPr>
            <w:r>
              <w:t>每月月底前发放</w:t>
            </w:r>
          </w:p>
        </w:tc>
        <w:tc>
          <w:tcPr>
            <w:tcW w:w="1276" w:type="dxa"/>
            <w:vAlign w:val="center"/>
          </w:tcPr>
          <w:p>
            <w:pPr>
              <w:pStyle w:val="12"/>
            </w:pPr>
            <w: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平均每人每月乡镇补贴金额</w:t>
            </w:r>
          </w:p>
        </w:tc>
        <w:tc>
          <w:tcPr>
            <w:tcW w:w="5386" w:type="dxa"/>
            <w:vAlign w:val="center"/>
          </w:tcPr>
          <w:p>
            <w:pPr>
              <w:pStyle w:val="12"/>
            </w:pPr>
            <w:r>
              <w:t>平均每人每月乡镇补贴金额</w:t>
            </w:r>
          </w:p>
        </w:tc>
        <w:tc>
          <w:tcPr>
            <w:tcW w:w="2268" w:type="dxa"/>
            <w:vAlign w:val="center"/>
          </w:tcPr>
          <w:p>
            <w:pPr>
              <w:pStyle w:val="12"/>
            </w:pPr>
            <w:r>
              <w:t>984平均每人每月乡镇补贴金额</w:t>
            </w:r>
          </w:p>
        </w:tc>
        <w:tc>
          <w:tcPr>
            <w:tcW w:w="1276" w:type="dxa"/>
            <w:vAlign w:val="center"/>
          </w:tcPr>
          <w:p>
            <w:pPr>
              <w:pStyle w:val="12"/>
            </w:pPr>
            <w:r>
              <w:t>实际申请金额除以总人数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保证机关各项工作正常运转</w:t>
            </w:r>
          </w:p>
        </w:tc>
        <w:tc>
          <w:tcPr>
            <w:tcW w:w="5386" w:type="dxa"/>
            <w:vAlign w:val="center"/>
          </w:tcPr>
          <w:p>
            <w:pPr>
              <w:pStyle w:val="12"/>
            </w:pPr>
            <w:r>
              <w:t>保证机关各项工作正常运转</w:t>
            </w:r>
          </w:p>
        </w:tc>
        <w:tc>
          <w:tcPr>
            <w:tcW w:w="2268" w:type="dxa"/>
            <w:vAlign w:val="center"/>
          </w:tcPr>
          <w:p>
            <w:pPr>
              <w:pStyle w:val="12"/>
            </w:pPr>
            <w:r>
              <w:t>保证机关各项工作正常运转</w:t>
            </w:r>
          </w:p>
        </w:tc>
        <w:tc>
          <w:tcPr>
            <w:tcW w:w="1276" w:type="dxa"/>
            <w:vAlign w:val="center"/>
          </w:tcPr>
          <w:p>
            <w:pPr>
              <w:pStyle w:val="12"/>
            </w:pPr>
            <w:r>
              <w:t>保证机关各项工作正常运转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可持续维持镇机关干部工作的积极性</w:t>
            </w:r>
          </w:p>
        </w:tc>
        <w:tc>
          <w:tcPr>
            <w:tcW w:w="5386" w:type="dxa"/>
            <w:vAlign w:val="center"/>
          </w:tcPr>
          <w:p>
            <w:pPr>
              <w:pStyle w:val="12"/>
            </w:pPr>
            <w:r>
              <w:t>可持续维持镇机关干部工作的积极性</w:t>
            </w:r>
          </w:p>
        </w:tc>
        <w:tc>
          <w:tcPr>
            <w:tcW w:w="2268" w:type="dxa"/>
            <w:vAlign w:val="center"/>
          </w:tcPr>
          <w:p>
            <w:pPr>
              <w:pStyle w:val="12"/>
            </w:pPr>
            <w:r>
              <w:t>可持续维持镇机关干部工作的积极性</w:t>
            </w:r>
          </w:p>
        </w:tc>
        <w:tc>
          <w:tcPr>
            <w:tcW w:w="1276" w:type="dxa"/>
            <w:vAlign w:val="center"/>
          </w:tcPr>
          <w:p>
            <w:pPr>
              <w:pStyle w:val="12"/>
            </w:pPr>
            <w:r>
              <w:t>干部工作状态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机关干部对发放补贴的满意度</w:t>
            </w:r>
          </w:p>
        </w:tc>
        <w:tc>
          <w:tcPr>
            <w:tcW w:w="5386" w:type="dxa"/>
            <w:vAlign w:val="center"/>
          </w:tcPr>
          <w:p>
            <w:pPr>
              <w:pStyle w:val="12"/>
            </w:pPr>
            <w:r>
              <w:t>机关干部对发放补贴的满意度</w:t>
            </w:r>
          </w:p>
        </w:tc>
        <w:tc>
          <w:tcPr>
            <w:tcW w:w="2268" w:type="dxa"/>
            <w:vAlign w:val="center"/>
          </w:tcPr>
          <w:p>
            <w:pPr>
              <w:pStyle w:val="12"/>
            </w:pPr>
            <w:r>
              <w:t>≥96百分比</w:t>
            </w:r>
          </w:p>
        </w:tc>
        <w:tc>
          <w:tcPr>
            <w:tcW w:w="1276" w:type="dxa"/>
            <w:vAlign w:val="center"/>
          </w:tcPr>
          <w:p>
            <w:pPr>
              <w:pStyle w:val="12"/>
            </w:pPr>
            <w:r>
              <w:t>抽样调查得出满意度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806001成安县道东堡乡政府机关本级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成安县道东堡乡政府机关本级上年末固定资产金额为</w:t>
      </w:r>
      <w:r>
        <w:rPr>
          <w:rFonts w:hint="eastAsia" w:eastAsia="方正仿宋_GBK" w:cs="Times New Roman"/>
          <w:b w:val="0"/>
          <w:color w:val="000000"/>
          <w:sz w:val="28"/>
          <w:lang w:val="en-US" w:eastAsia="zh-CN"/>
        </w:rPr>
        <w:t>115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806001成安县道东堡乡政府机关本级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sz w:val="28"/>
                <w:szCs w:val="28"/>
                <w:lang w:eastAsia="zh-CN"/>
              </w:rPr>
            </w:pPr>
            <w:r>
              <w:rPr>
                <w:rFonts w:hint="eastAsia" w:ascii="仿宋" w:hAnsi="仿宋" w:eastAsia="仿宋" w:cs="宋体"/>
                <w:sz w:val="28"/>
                <w:szCs w:val="28"/>
                <w:lang w:eastAsia="zh-CN"/>
              </w:rPr>
              <w:t>合计</w:t>
            </w:r>
          </w:p>
        </w:tc>
        <w:tc>
          <w:tcPr>
            <w:tcW w:w="4933" w:type="dxa"/>
            <w:vAlign w:val="center"/>
          </w:tcPr>
          <w:p>
            <w:pPr>
              <w:jc w:val="center"/>
              <w:rPr>
                <w:rFonts w:ascii="仿宋" w:hAnsi="仿宋" w:eastAsia="仿宋" w:cs="Times New Roman"/>
                <w:sz w:val="28"/>
                <w:szCs w:val="28"/>
                <w:lang w:eastAsia="zh-CN"/>
              </w:rPr>
            </w:pPr>
            <w:r>
              <w:rPr>
                <w:rFonts w:hint="eastAsia" w:ascii="仿宋" w:hAnsi="仿宋" w:eastAsia="仿宋" w:cs="Times New Roman"/>
                <w:sz w:val="28"/>
                <w:szCs w:val="28"/>
                <w:lang w:eastAsia="zh-CN"/>
              </w:rPr>
              <w:t>——</w:t>
            </w:r>
          </w:p>
        </w:tc>
        <w:tc>
          <w:tcPr>
            <w:tcW w:w="4933" w:type="dxa"/>
            <w:vAlign w:val="center"/>
          </w:tcPr>
          <w:p>
            <w:pPr>
              <w:jc w:val="center"/>
              <w:rPr>
                <w:rFonts w:ascii="仿宋" w:hAnsi="仿宋" w:eastAsia="仿宋" w:cs="Times New Roman"/>
                <w:sz w:val="28"/>
                <w:szCs w:val="28"/>
                <w:lang w:eastAsia="zh-CN"/>
              </w:rPr>
            </w:pPr>
            <w:r>
              <w:rPr>
                <w:rFonts w:hint="eastAsia" w:ascii="仿宋" w:hAnsi="仿宋" w:eastAsia="仿宋" w:cs="Times New Roman"/>
                <w:sz w:val="28"/>
                <w:szCs w:val="28"/>
                <w:lang w:eastAsia="zh-CN"/>
              </w:rP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rPr>
                <w:rFonts w:ascii="仿宋" w:hAnsi="仿宋" w:eastAsia="仿宋" w:cs="Times New Roman"/>
                <w:sz w:val="28"/>
                <w:szCs w:val="28"/>
              </w:rPr>
            </w:pPr>
            <w:r>
              <w:rPr>
                <w:rFonts w:ascii="仿宋" w:hAnsi="仿宋" w:eastAsia="仿宋" w:cs="宋体"/>
                <w:sz w:val="28"/>
                <w:szCs w:val="28"/>
              </w:rPr>
              <w:t>1</w:t>
            </w:r>
            <w:r>
              <w:rPr>
                <w:rFonts w:hint="eastAsia" w:ascii="仿宋" w:hAnsi="仿宋" w:eastAsia="仿宋" w:cs="宋体"/>
                <w:sz w:val="28"/>
                <w:szCs w:val="28"/>
              </w:rPr>
              <w:t>、房屋（平方米）</w:t>
            </w:r>
          </w:p>
        </w:tc>
        <w:tc>
          <w:tcPr>
            <w:tcW w:w="4933"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1100</w:t>
            </w:r>
          </w:p>
        </w:tc>
        <w:tc>
          <w:tcPr>
            <w:tcW w:w="4933"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lang w:eastAsia="zh-CN"/>
              </w:rPr>
              <w:t>9</w:t>
            </w:r>
            <w:r>
              <w:rPr>
                <w:rFonts w:ascii="仿宋" w:hAnsi="仿宋" w:eastAsia="仿宋" w:cs="Times New Roman"/>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sz w:val="28"/>
                <w:szCs w:val="28"/>
              </w:rPr>
            </w:pPr>
            <w:r>
              <w:rPr>
                <w:rFonts w:hint="eastAsia" w:ascii="仿宋" w:hAnsi="仿宋" w:eastAsia="仿宋" w:cs="宋体"/>
                <w:sz w:val="28"/>
                <w:szCs w:val="28"/>
              </w:rPr>
              <w:t>其中：办公用房（平方米）</w:t>
            </w:r>
          </w:p>
        </w:tc>
        <w:tc>
          <w:tcPr>
            <w:tcW w:w="4933"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1100</w:t>
            </w:r>
          </w:p>
        </w:tc>
        <w:tc>
          <w:tcPr>
            <w:tcW w:w="4933" w:type="dxa"/>
            <w:vAlign w:val="center"/>
          </w:tcPr>
          <w:p>
            <w:pPr>
              <w:jc w:val="center"/>
              <w:rPr>
                <w:rFonts w:ascii="仿宋" w:hAnsi="仿宋" w:eastAsia="仿宋" w:cs="Times New Roman"/>
                <w:sz w:val="28"/>
                <w:szCs w:val="28"/>
                <w:lang w:eastAsia="zh-CN"/>
              </w:rPr>
            </w:pPr>
            <w:r>
              <w:rPr>
                <w:rFonts w:hint="eastAsia" w:ascii="仿宋" w:hAnsi="仿宋" w:eastAsia="仿宋" w:cs="Times New Roman"/>
                <w:sz w:val="28"/>
                <w:szCs w:val="28"/>
                <w:lang w:eastAsia="zh-C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sz w:val="28"/>
                <w:szCs w:val="28"/>
              </w:rPr>
            </w:pPr>
            <w:r>
              <w:rPr>
                <w:rFonts w:ascii="仿宋" w:hAnsi="仿宋" w:eastAsia="仿宋" w:cs="宋体"/>
                <w:sz w:val="28"/>
                <w:szCs w:val="28"/>
              </w:rPr>
              <w:t>2</w:t>
            </w:r>
            <w:r>
              <w:rPr>
                <w:rFonts w:hint="eastAsia" w:ascii="仿宋" w:hAnsi="仿宋" w:eastAsia="仿宋" w:cs="宋体"/>
                <w:sz w:val="28"/>
                <w:szCs w:val="28"/>
              </w:rPr>
              <w:t>、车辆（台、辆）</w:t>
            </w:r>
          </w:p>
        </w:tc>
        <w:tc>
          <w:tcPr>
            <w:tcW w:w="4933"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w:t>
            </w:r>
          </w:p>
        </w:tc>
        <w:tc>
          <w:tcPr>
            <w:tcW w:w="4933" w:type="dxa"/>
            <w:vAlign w:val="center"/>
          </w:tcPr>
          <w:p>
            <w:pPr>
              <w:jc w:val="center"/>
              <w:rPr>
                <w:rFonts w:ascii="仿宋" w:hAnsi="仿宋" w:eastAsia="仿宋" w:cs="Times New Roman"/>
                <w:sz w:val="28"/>
                <w:szCs w:val="28"/>
                <w:lang w:eastAsia="zh-CN"/>
              </w:rPr>
            </w:pPr>
            <w:r>
              <w:rPr>
                <w:rFonts w:hint="eastAsia" w:ascii="仿宋" w:hAnsi="仿宋" w:eastAsia="仿宋" w:cs="Times New Roman"/>
                <w:sz w:val="28"/>
                <w:szCs w:val="28"/>
                <w:lang w:eastAsia="zh-CN"/>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3" w:hRule="atLeast"/>
          <w:jc w:val="center"/>
        </w:trPr>
        <w:tc>
          <w:tcPr>
            <w:tcW w:w="4933" w:type="dxa"/>
            <w:vAlign w:val="center"/>
          </w:tcPr>
          <w:p>
            <w:pPr>
              <w:spacing w:line="240" w:lineRule="exact"/>
              <w:rPr>
                <w:rFonts w:ascii="仿宋" w:hAnsi="仿宋" w:eastAsia="仿宋" w:cs="Times New Roman"/>
                <w:sz w:val="28"/>
                <w:szCs w:val="28"/>
              </w:rPr>
            </w:pPr>
            <w:r>
              <w:rPr>
                <w:rFonts w:ascii="仿宋" w:hAnsi="仿宋" w:eastAsia="仿宋" w:cs="宋体"/>
                <w:sz w:val="28"/>
                <w:szCs w:val="28"/>
              </w:rPr>
              <w:t>3</w:t>
            </w:r>
            <w:r>
              <w:rPr>
                <w:rFonts w:hint="eastAsia" w:ascii="仿宋" w:hAnsi="仿宋" w:eastAsia="仿宋" w:cs="宋体"/>
                <w:sz w:val="28"/>
                <w:szCs w:val="28"/>
              </w:rPr>
              <w:t>、单价在</w:t>
            </w:r>
            <w:r>
              <w:rPr>
                <w:rFonts w:ascii="仿宋" w:hAnsi="仿宋" w:eastAsia="仿宋" w:cs="宋体"/>
                <w:sz w:val="28"/>
                <w:szCs w:val="28"/>
              </w:rPr>
              <w:t>50</w:t>
            </w:r>
            <w:r>
              <w:rPr>
                <w:rFonts w:hint="eastAsia" w:ascii="仿宋" w:hAnsi="仿宋" w:eastAsia="仿宋" w:cs="宋体"/>
                <w:sz w:val="28"/>
                <w:szCs w:val="28"/>
              </w:rPr>
              <w:t>万元以上的设备</w:t>
            </w:r>
          </w:p>
        </w:tc>
        <w:tc>
          <w:tcPr>
            <w:tcW w:w="4933"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0</w:t>
            </w:r>
          </w:p>
        </w:tc>
        <w:tc>
          <w:tcPr>
            <w:tcW w:w="4933"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sz w:val="28"/>
                <w:szCs w:val="28"/>
              </w:rPr>
            </w:pPr>
            <w:r>
              <w:rPr>
                <w:rFonts w:ascii="仿宋" w:hAnsi="仿宋" w:eastAsia="仿宋" w:cs="宋体"/>
                <w:sz w:val="28"/>
                <w:szCs w:val="28"/>
              </w:rPr>
              <w:t>4</w:t>
            </w:r>
            <w:r>
              <w:rPr>
                <w:rFonts w:hint="eastAsia" w:ascii="仿宋" w:hAnsi="仿宋" w:eastAsia="仿宋" w:cs="宋体"/>
                <w:sz w:val="28"/>
                <w:szCs w:val="28"/>
              </w:rPr>
              <w:t>、其他固定资产</w:t>
            </w:r>
          </w:p>
        </w:tc>
        <w:tc>
          <w:tcPr>
            <w:tcW w:w="4933"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20</w:t>
            </w:r>
          </w:p>
        </w:tc>
        <w:tc>
          <w:tcPr>
            <w:tcW w:w="4933" w:type="dxa"/>
            <w:vAlign w:val="center"/>
          </w:tcPr>
          <w:p>
            <w:pPr>
              <w:jc w:val="center"/>
              <w:rPr>
                <w:rFonts w:ascii="仿宋" w:hAnsi="仿宋" w:eastAsia="仿宋" w:cs="Times New Roman"/>
                <w:sz w:val="28"/>
                <w:szCs w:val="28"/>
                <w:lang w:eastAsia="zh-CN"/>
              </w:rPr>
            </w:pPr>
            <w:r>
              <w:rPr>
                <w:rFonts w:hint="eastAsia" w:ascii="仿宋" w:hAnsi="仿宋" w:eastAsia="仿宋" w:cs="Times New Roman"/>
                <w:sz w:val="28"/>
                <w:szCs w:val="28"/>
                <w:lang w:eastAsia="zh-CN"/>
              </w:rPr>
              <w:t>24.6</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IwNGUwMTkxZWNhOTgzMmFhZGZhODQ0ZmI5NzE2ZDQifQ=="/>
  </w:docVars>
  <w:rsids>
    <w:rsidRoot w:val="00000000"/>
    <w:rsid w:val="03DF60D4"/>
    <w:rsid w:val="104F3F68"/>
    <w:rsid w:val="1A6D616B"/>
    <w:rsid w:val="2CBD1909"/>
    <w:rsid w:val="487511E9"/>
    <w:rsid w:val="48A1476A"/>
    <w:rsid w:val="73F672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2024-03-05T18:24:01Z</dcterms:created>
  <dcterms:modified xsi:type="dcterms:W3CDTF">2024-03-05T10:24:01Z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2024-03-05T18:24:02Z</dcterms:created>
  <dcterms:modified xsi:type="dcterms:W3CDTF">2024-03-05T10:24:02Z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2024-03-05T18:23:37Z</dcterms:created>
  <dcterms:modified xsi:type="dcterms:W3CDTF">2024-03-05T10:23:37Z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2024-03-05T18:23:59Z</dcterms:created>
  <dcterms:modified xsi:type="dcterms:W3CDTF">2024-03-05T10:23:59Z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2024-03-05T18:24:00Z</dcterms:created>
  <dcterms:modified xsi:type="dcterms:W3CDTF">2024-03-05T10:24:00Z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2024-03-05T18:24:00Z</dcterms:created>
  <dcterms:modified xsi:type="dcterms:W3CDTF">2024-03-05T10:24:00Z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2024-03-05T18:23:34Z</dcterms:created>
  <dcterms:modified xsi:type="dcterms:W3CDTF">2024-03-05T10:23:34Z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2024-03-05T18:24:01Z</dcterms:created>
  <dcterms:modified xsi:type="dcterms:W3CDTF">2024-03-05T10:24:01Z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2024-03-05T18:24:01Z</dcterms:created>
  <dcterms:modified xsi:type="dcterms:W3CDTF">2024-03-05T10:24:01Z</dcterms:modified>
</cp:coreProperties>
</file>

<file path=customXml/itemProps1.xml><?xml version="1.0" encoding="utf-8"?>
<ds:datastoreItem xmlns:ds="http://schemas.openxmlformats.org/officeDocument/2006/customXml" ds:itemID="{ab0b5b68-067c-49df-a5a6-fa2fbbfea9f9}">
  <ds:schemaRefs/>
</ds:datastoreItem>
</file>

<file path=customXml/itemProps10.xml><?xml version="1.0" encoding="utf-8"?>
<ds:datastoreItem xmlns:ds="http://schemas.openxmlformats.org/officeDocument/2006/customXml" ds:itemID="{3172669a-8f38-466e-929c-80529fc7ad84}">
  <ds:schemaRefs/>
</ds:datastoreItem>
</file>

<file path=customXml/itemProps11.xml><?xml version="1.0" encoding="utf-8"?>
<ds:datastoreItem xmlns:ds="http://schemas.openxmlformats.org/officeDocument/2006/customXml" ds:itemID="{4b4e9442-bd4f-4e8c-ab03-6e3eb0f63d0e}">
  <ds:schemaRefs/>
</ds:datastoreItem>
</file>

<file path=customXml/itemProps12.xml><?xml version="1.0" encoding="utf-8"?>
<ds:datastoreItem xmlns:ds="http://schemas.openxmlformats.org/officeDocument/2006/customXml" ds:itemID="{d6c973fd-321c-49d4-9f65-0a007a8473f4}">
  <ds:schemaRefs/>
</ds:datastoreItem>
</file>

<file path=customXml/itemProps13.xml><?xml version="1.0" encoding="utf-8"?>
<ds:datastoreItem xmlns:ds="http://schemas.openxmlformats.org/officeDocument/2006/customXml" ds:itemID="{deff3fa7-f8e7-4e34-8b4e-222240a6c616}">
  <ds:schemaRefs/>
</ds:datastoreItem>
</file>

<file path=customXml/itemProps14.xml><?xml version="1.0" encoding="utf-8"?>
<ds:datastoreItem xmlns:ds="http://schemas.openxmlformats.org/officeDocument/2006/customXml" ds:itemID="{a5ca5100-a9b5-4121-bf0d-26a7b204dd36}">
  <ds:schemaRefs/>
</ds:datastoreItem>
</file>

<file path=customXml/itemProps15.xml><?xml version="1.0" encoding="utf-8"?>
<ds:datastoreItem xmlns:ds="http://schemas.openxmlformats.org/officeDocument/2006/customXml" ds:itemID="{7a7e4f29-c6f1-4100-b295-e29d0298c1f7}">
  <ds:schemaRefs/>
</ds:datastoreItem>
</file>

<file path=customXml/itemProps16.xml><?xml version="1.0" encoding="utf-8"?>
<ds:datastoreItem xmlns:ds="http://schemas.openxmlformats.org/officeDocument/2006/customXml" ds:itemID="{11ba2419-b81e-446b-b6dc-f06e2efd68dc}">
  <ds:schemaRefs/>
</ds:datastoreItem>
</file>

<file path=customXml/itemProps17.xml><?xml version="1.0" encoding="utf-8"?>
<ds:datastoreItem xmlns:ds="http://schemas.openxmlformats.org/officeDocument/2006/customXml" ds:itemID="{22cbdedd-45bb-4c95-a20e-3cb284b6efab}">
  <ds:schemaRefs/>
</ds:datastoreItem>
</file>

<file path=customXml/itemProps18.xml><?xml version="1.0" encoding="utf-8"?>
<ds:datastoreItem xmlns:ds="http://schemas.openxmlformats.org/officeDocument/2006/customXml" ds:itemID="{05ad2b04-0367-4b03-9dc1-f79d876ced7d}">
  <ds:schemaRefs/>
</ds:datastoreItem>
</file>

<file path=customXml/itemProps2.xml><?xml version="1.0" encoding="utf-8"?>
<ds:datastoreItem xmlns:ds="http://schemas.openxmlformats.org/officeDocument/2006/customXml" ds:itemID="{478def58-9317-4ad2-bef2-7c4588bcc54c}">
  <ds:schemaRefs/>
</ds:datastoreItem>
</file>

<file path=customXml/itemProps3.xml><?xml version="1.0" encoding="utf-8"?>
<ds:datastoreItem xmlns:ds="http://schemas.openxmlformats.org/officeDocument/2006/customXml" ds:itemID="{a7951dc1-8c90-4c67-bf10-ff1835eca5ed}">
  <ds:schemaRefs/>
</ds:datastoreItem>
</file>

<file path=customXml/itemProps4.xml><?xml version="1.0" encoding="utf-8"?>
<ds:datastoreItem xmlns:ds="http://schemas.openxmlformats.org/officeDocument/2006/customXml" ds:itemID="{10af2d4b-f708-44f2-b901-977269f1b1e5}">
  <ds:schemaRefs/>
</ds:datastoreItem>
</file>

<file path=customXml/itemProps5.xml><?xml version="1.0" encoding="utf-8"?>
<ds:datastoreItem xmlns:ds="http://schemas.openxmlformats.org/officeDocument/2006/customXml" ds:itemID="{3e3a9383-8e8b-456c-937d-b7e575083d43}">
  <ds:schemaRefs/>
</ds:datastoreItem>
</file>

<file path=customXml/itemProps6.xml><?xml version="1.0" encoding="utf-8"?>
<ds:datastoreItem xmlns:ds="http://schemas.openxmlformats.org/officeDocument/2006/customXml" ds:itemID="{899c0c1c-bc79-4b28-94d0-10966cb0c490}">
  <ds:schemaRefs/>
</ds:datastoreItem>
</file>

<file path=customXml/itemProps7.xml><?xml version="1.0" encoding="utf-8"?>
<ds:datastoreItem xmlns:ds="http://schemas.openxmlformats.org/officeDocument/2006/customXml" ds:itemID="{6f107864-a5f2-426b-ab50-7fa97d59f00d}">
  <ds:schemaRefs/>
</ds:datastoreItem>
</file>

<file path=customXml/itemProps8.xml><?xml version="1.0" encoding="utf-8"?>
<ds:datastoreItem xmlns:ds="http://schemas.openxmlformats.org/officeDocument/2006/customXml" ds:itemID="{0ab206e6-c09d-4d67-bef5-d12bcfe56749}">
  <ds:schemaRefs/>
</ds:datastoreItem>
</file>

<file path=customXml/itemProps9.xml><?xml version="1.0" encoding="utf-8"?>
<ds:datastoreItem xmlns:ds="http://schemas.openxmlformats.org/officeDocument/2006/customXml" ds:itemID="{b351c31f-3a32-4e24-bbf6-c39e80a13ba7}">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2024-03-05T18:24:00Z</dcterms:created>
  <dc:creator>道东堡镇财政所</dc:creator>
  <cp:lastModifiedBy>Administrator</cp:lastModifiedBy>
  <cp:lastPrinted>2024-03-06T01:25:00Z</cp:lastPrinted>
  <dcterms:modified xsi:type="dcterms:W3CDTF">2024-03-21T05:41:11Z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C92856A579834A91A545DF487EB2F940_12</vt:lpwstr>
  </property>
</Properties>
</file>