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rPr>
          <w:rFonts w:hint="eastAsia"/>
          <w:lang w:val="en-US" w:eastAsia="zh-CN"/>
        </w:rPr>
        <w:t>2</w:t>
      </w:r>
      <w:r>
        <w:fldChar w:fldCharType="end"/>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31</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31</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bookmarkStart w:id="20" w:name="_GoBack"/>
      <w:bookmarkEnd w:id="20"/>
      <w:r>
        <w:rPr>
          <w:rFonts w:hint="eastAsia"/>
          <w:lang w:val="en-US" w:eastAsia="zh-CN"/>
        </w:rPr>
        <w:t>32</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33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830成安县投资促进服务中心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162.07</w:t>
            </w:r>
          </w:p>
        </w:tc>
        <w:tc>
          <w:tcPr>
            <w:tcW w:w="4535" w:type="dxa"/>
            <w:vAlign w:val="center"/>
          </w:tcPr>
          <w:p>
            <w:pPr>
              <w:pStyle w:val="13"/>
            </w:pPr>
            <w:r>
              <w:t>一、一般公共服务支出</w:t>
            </w:r>
          </w:p>
        </w:tc>
        <w:tc>
          <w:tcPr>
            <w:tcW w:w="2126" w:type="dxa"/>
            <w:vAlign w:val="center"/>
          </w:tcPr>
          <w:p>
            <w:pPr>
              <w:pStyle w:val="12"/>
            </w:pPr>
            <w:r>
              <w:t>104.18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162.07</w:t>
            </w:r>
          </w:p>
        </w:tc>
        <w:tc>
          <w:tcPr>
            <w:tcW w:w="4535" w:type="dxa"/>
            <w:vAlign w:val="center"/>
          </w:tcPr>
          <w:p>
            <w:pPr>
              <w:pStyle w:val="15"/>
            </w:pPr>
            <w:r>
              <w:t>本年支出合计</w:t>
            </w:r>
          </w:p>
        </w:tc>
        <w:tc>
          <w:tcPr>
            <w:tcW w:w="2126" w:type="dxa"/>
            <w:vAlign w:val="center"/>
          </w:tcPr>
          <w:p>
            <w:pPr>
              <w:pStyle w:val="16"/>
            </w:pPr>
            <w:r>
              <w:t>162.07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162.07</w:t>
            </w:r>
          </w:p>
        </w:tc>
        <w:tc>
          <w:tcPr>
            <w:tcW w:w="4535" w:type="dxa"/>
            <w:vAlign w:val="center"/>
          </w:tcPr>
          <w:p>
            <w:pPr>
              <w:pStyle w:val="15"/>
            </w:pPr>
            <w:r>
              <w:t>支出总计</w:t>
            </w:r>
          </w:p>
        </w:tc>
        <w:tc>
          <w:tcPr>
            <w:tcW w:w="2126" w:type="dxa"/>
            <w:vAlign w:val="center"/>
          </w:tcPr>
          <w:p>
            <w:pPr>
              <w:pStyle w:val="16"/>
            </w:pPr>
            <w:r>
              <w:t>162.07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830成安县投资促进服务中心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162.07</w:t>
            </w:r>
          </w:p>
        </w:tc>
        <w:tc>
          <w:tcPr>
            <w:tcW w:w="1134" w:type="dxa"/>
            <w:vAlign w:val="center"/>
          </w:tcPr>
          <w:p>
            <w:pPr>
              <w:pStyle w:val="16"/>
            </w:pPr>
            <w:r>
              <w:t>162.07</w:t>
            </w:r>
          </w:p>
        </w:tc>
        <w:tc>
          <w:tcPr>
            <w:tcW w:w="1134" w:type="dxa"/>
            <w:vAlign w:val="center"/>
          </w:tcPr>
          <w:p>
            <w:pPr>
              <w:pStyle w:val="16"/>
            </w:pPr>
            <w:r>
              <w:t>162.07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r>
              <w:t>104.18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r>
              <w:t>14.60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r>
              <w:t>17.74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162.07</w:t>
            </w:r>
          </w:p>
        </w:tc>
        <w:tc>
          <w:tcPr>
            <w:tcW w:w="1361" w:type="dxa"/>
            <w:vAlign w:val="center"/>
          </w:tcPr>
          <w:p>
            <w:pPr>
              <w:pStyle w:val="16"/>
            </w:pPr>
            <w:r>
              <w:t>162.07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104.18</w:t>
            </w:r>
          </w:p>
        </w:tc>
        <w:tc>
          <w:tcPr>
            <w:tcW w:w="1361" w:type="dxa"/>
            <w:vAlign w:val="center"/>
          </w:tcPr>
          <w:p>
            <w:pPr>
              <w:pStyle w:val="12"/>
            </w:pPr>
            <w:r>
              <w:t>104.18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104.18</w:t>
            </w:r>
          </w:p>
        </w:tc>
        <w:tc>
          <w:tcPr>
            <w:tcW w:w="1361" w:type="dxa"/>
            <w:vAlign w:val="center"/>
          </w:tcPr>
          <w:p>
            <w:pPr>
              <w:pStyle w:val="12"/>
            </w:pPr>
            <w:r>
              <w:t>104.18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104.18</w:t>
            </w:r>
          </w:p>
        </w:tc>
        <w:tc>
          <w:tcPr>
            <w:tcW w:w="1361" w:type="dxa"/>
            <w:vAlign w:val="center"/>
          </w:tcPr>
          <w:p>
            <w:pPr>
              <w:pStyle w:val="12"/>
            </w:pPr>
            <w:r>
              <w:t>104.18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14.60</w:t>
            </w:r>
          </w:p>
        </w:tc>
        <w:tc>
          <w:tcPr>
            <w:tcW w:w="1361" w:type="dxa"/>
            <w:vAlign w:val="center"/>
          </w:tcPr>
          <w:p>
            <w:pPr>
              <w:pStyle w:val="12"/>
            </w:pPr>
            <w:r>
              <w:t>14.60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14.60</w:t>
            </w:r>
          </w:p>
        </w:tc>
        <w:tc>
          <w:tcPr>
            <w:tcW w:w="1361" w:type="dxa"/>
            <w:vAlign w:val="center"/>
          </w:tcPr>
          <w:p>
            <w:pPr>
              <w:pStyle w:val="12"/>
            </w:pPr>
            <w:r>
              <w:t>14.60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14.60</w:t>
            </w:r>
          </w:p>
        </w:tc>
        <w:tc>
          <w:tcPr>
            <w:tcW w:w="1361" w:type="dxa"/>
            <w:vAlign w:val="center"/>
          </w:tcPr>
          <w:p>
            <w:pPr>
              <w:pStyle w:val="12"/>
            </w:pPr>
            <w:r>
              <w:t>14.60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9.16</w:t>
            </w:r>
          </w:p>
        </w:tc>
        <w:tc>
          <w:tcPr>
            <w:tcW w:w="1361" w:type="dxa"/>
            <w:vAlign w:val="center"/>
          </w:tcPr>
          <w:p>
            <w:pPr>
              <w:pStyle w:val="12"/>
            </w:pPr>
            <w:r>
              <w:t>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9.16</w:t>
            </w:r>
          </w:p>
        </w:tc>
        <w:tc>
          <w:tcPr>
            <w:tcW w:w="1361" w:type="dxa"/>
            <w:vAlign w:val="center"/>
          </w:tcPr>
          <w:p>
            <w:pPr>
              <w:pStyle w:val="12"/>
            </w:pPr>
            <w:r>
              <w:t>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9.16</w:t>
            </w:r>
          </w:p>
        </w:tc>
        <w:tc>
          <w:tcPr>
            <w:tcW w:w="1361" w:type="dxa"/>
            <w:vAlign w:val="center"/>
          </w:tcPr>
          <w:p>
            <w:pPr>
              <w:pStyle w:val="12"/>
            </w:pPr>
            <w:r>
              <w:t>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17.74</w:t>
            </w:r>
          </w:p>
        </w:tc>
        <w:tc>
          <w:tcPr>
            <w:tcW w:w="1361" w:type="dxa"/>
            <w:vAlign w:val="center"/>
          </w:tcPr>
          <w:p>
            <w:pPr>
              <w:pStyle w:val="12"/>
            </w:pPr>
            <w:r>
              <w:t>17.74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17.74</w:t>
            </w:r>
          </w:p>
        </w:tc>
        <w:tc>
          <w:tcPr>
            <w:tcW w:w="1361" w:type="dxa"/>
            <w:vAlign w:val="center"/>
          </w:tcPr>
          <w:p>
            <w:pPr>
              <w:pStyle w:val="12"/>
            </w:pPr>
            <w:r>
              <w:t>17.74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17.74</w:t>
            </w:r>
          </w:p>
        </w:tc>
        <w:tc>
          <w:tcPr>
            <w:tcW w:w="1361" w:type="dxa"/>
            <w:vAlign w:val="center"/>
          </w:tcPr>
          <w:p>
            <w:pPr>
              <w:pStyle w:val="12"/>
            </w:pPr>
            <w:r>
              <w:t>17.74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16.40</w:t>
            </w:r>
          </w:p>
        </w:tc>
        <w:tc>
          <w:tcPr>
            <w:tcW w:w="1361" w:type="dxa"/>
            <w:vAlign w:val="center"/>
          </w:tcPr>
          <w:p>
            <w:pPr>
              <w:pStyle w:val="12"/>
            </w:pPr>
            <w:r>
              <w:t>16.40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16.40</w:t>
            </w:r>
          </w:p>
        </w:tc>
        <w:tc>
          <w:tcPr>
            <w:tcW w:w="1361" w:type="dxa"/>
            <w:vAlign w:val="center"/>
          </w:tcPr>
          <w:p>
            <w:pPr>
              <w:pStyle w:val="12"/>
            </w:pPr>
            <w:r>
              <w:t>16.40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16.40</w:t>
            </w:r>
          </w:p>
        </w:tc>
        <w:tc>
          <w:tcPr>
            <w:tcW w:w="1361" w:type="dxa"/>
            <w:vAlign w:val="center"/>
          </w:tcPr>
          <w:p>
            <w:pPr>
              <w:pStyle w:val="12"/>
            </w:pPr>
            <w:r>
              <w:t>16.40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162.07</w:t>
            </w:r>
          </w:p>
        </w:tc>
        <w:tc>
          <w:tcPr>
            <w:tcW w:w="3402" w:type="dxa"/>
            <w:vAlign w:val="center"/>
          </w:tcPr>
          <w:p>
            <w:pPr>
              <w:pStyle w:val="13"/>
            </w:pPr>
            <w:r>
              <w:t>一、一般公共服务支出</w:t>
            </w:r>
          </w:p>
        </w:tc>
        <w:tc>
          <w:tcPr>
            <w:tcW w:w="1474" w:type="dxa"/>
            <w:vAlign w:val="center"/>
          </w:tcPr>
          <w:p>
            <w:pPr>
              <w:pStyle w:val="12"/>
            </w:pPr>
            <w:r>
              <w:t>104.18</w:t>
            </w:r>
          </w:p>
        </w:tc>
        <w:tc>
          <w:tcPr>
            <w:tcW w:w="1474" w:type="dxa"/>
            <w:vAlign w:val="center"/>
          </w:tcPr>
          <w:p>
            <w:pPr>
              <w:pStyle w:val="12"/>
            </w:pPr>
            <w:r>
              <w:t>104.18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14.60</w:t>
            </w:r>
          </w:p>
        </w:tc>
        <w:tc>
          <w:tcPr>
            <w:tcW w:w="1474" w:type="dxa"/>
            <w:vAlign w:val="center"/>
          </w:tcPr>
          <w:p>
            <w:pPr>
              <w:pStyle w:val="12"/>
            </w:pPr>
            <w:r>
              <w:t>14.60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9.16</w:t>
            </w:r>
          </w:p>
        </w:tc>
        <w:tc>
          <w:tcPr>
            <w:tcW w:w="1474" w:type="dxa"/>
            <w:vAlign w:val="center"/>
          </w:tcPr>
          <w:p>
            <w:pPr>
              <w:pStyle w:val="12"/>
            </w:pPr>
            <w:r>
              <w:t>9.16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17.74</w:t>
            </w:r>
          </w:p>
        </w:tc>
        <w:tc>
          <w:tcPr>
            <w:tcW w:w="1474" w:type="dxa"/>
            <w:vAlign w:val="center"/>
          </w:tcPr>
          <w:p>
            <w:pPr>
              <w:pStyle w:val="12"/>
            </w:pPr>
            <w:r>
              <w:t>17.74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16.40</w:t>
            </w:r>
          </w:p>
        </w:tc>
        <w:tc>
          <w:tcPr>
            <w:tcW w:w="1474" w:type="dxa"/>
            <w:vAlign w:val="center"/>
          </w:tcPr>
          <w:p>
            <w:pPr>
              <w:pStyle w:val="12"/>
            </w:pPr>
            <w:r>
              <w:t>16.40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162.07</w:t>
            </w:r>
          </w:p>
        </w:tc>
        <w:tc>
          <w:tcPr>
            <w:tcW w:w="3402" w:type="dxa"/>
            <w:vAlign w:val="center"/>
          </w:tcPr>
          <w:p>
            <w:pPr>
              <w:pStyle w:val="15"/>
            </w:pPr>
            <w:r>
              <w:t>本年支出合计</w:t>
            </w:r>
          </w:p>
        </w:tc>
        <w:tc>
          <w:tcPr>
            <w:tcW w:w="1474" w:type="dxa"/>
            <w:vAlign w:val="center"/>
          </w:tcPr>
          <w:p>
            <w:pPr>
              <w:pStyle w:val="16"/>
            </w:pPr>
            <w:r>
              <w:t>162.07</w:t>
            </w:r>
          </w:p>
        </w:tc>
        <w:tc>
          <w:tcPr>
            <w:tcW w:w="1474" w:type="dxa"/>
            <w:vAlign w:val="center"/>
          </w:tcPr>
          <w:p>
            <w:pPr>
              <w:pStyle w:val="16"/>
            </w:pPr>
            <w:r>
              <w:t>162.07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162.07</w:t>
            </w:r>
          </w:p>
        </w:tc>
        <w:tc>
          <w:tcPr>
            <w:tcW w:w="3402" w:type="dxa"/>
            <w:vAlign w:val="center"/>
          </w:tcPr>
          <w:p>
            <w:pPr>
              <w:pStyle w:val="15"/>
            </w:pPr>
            <w:r>
              <w:t>支出总计</w:t>
            </w:r>
          </w:p>
        </w:tc>
        <w:tc>
          <w:tcPr>
            <w:tcW w:w="1474" w:type="dxa"/>
            <w:vAlign w:val="center"/>
          </w:tcPr>
          <w:p>
            <w:pPr>
              <w:pStyle w:val="16"/>
            </w:pPr>
            <w:r>
              <w:t>162.07</w:t>
            </w:r>
          </w:p>
        </w:tc>
        <w:tc>
          <w:tcPr>
            <w:tcW w:w="1474" w:type="dxa"/>
            <w:vAlign w:val="center"/>
          </w:tcPr>
          <w:p>
            <w:pPr>
              <w:pStyle w:val="16"/>
            </w:pPr>
            <w:r>
              <w:t>162.07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162.07</w:t>
            </w:r>
          </w:p>
        </w:tc>
        <w:tc>
          <w:tcPr>
            <w:tcW w:w="2551" w:type="dxa"/>
            <w:vAlign w:val="center"/>
          </w:tcPr>
          <w:p>
            <w:pPr>
              <w:pStyle w:val="16"/>
            </w:pPr>
            <w:r>
              <w:t>162.07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104.18</w:t>
            </w:r>
          </w:p>
        </w:tc>
        <w:tc>
          <w:tcPr>
            <w:tcW w:w="2551" w:type="dxa"/>
            <w:vAlign w:val="center"/>
          </w:tcPr>
          <w:p>
            <w:pPr>
              <w:pStyle w:val="12"/>
            </w:pPr>
            <w:r>
              <w:t>104.18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104.18</w:t>
            </w:r>
          </w:p>
        </w:tc>
        <w:tc>
          <w:tcPr>
            <w:tcW w:w="2551" w:type="dxa"/>
            <w:vAlign w:val="center"/>
          </w:tcPr>
          <w:p>
            <w:pPr>
              <w:pStyle w:val="12"/>
            </w:pPr>
            <w:r>
              <w:t>104.18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104.18</w:t>
            </w:r>
          </w:p>
        </w:tc>
        <w:tc>
          <w:tcPr>
            <w:tcW w:w="2551" w:type="dxa"/>
            <w:vAlign w:val="center"/>
          </w:tcPr>
          <w:p>
            <w:pPr>
              <w:pStyle w:val="12"/>
            </w:pPr>
            <w:r>
              <w:t>104.18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14.60</w:t>
            </w:r>
          </w:p>
        </w:tc>
        <w:tc>
          <w:tcPr>
            <w:tcW w:w="2551" w:type="dxa"/>
            <w:vAlign w:val="center"/>
          </w:tcPr>
          <w:p>
            <w:pPr>
              <w:pStyle w:val="12"/>
            </w:pPr>
            <w:r>
              <w:t>14.60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14.60</w:t>
            </w:r>
          </w:p>
        </w:tc>
        <w:tc>
          <w:tcPr>
            <w:tcW w:w="2551" w:type="dxa"/>
            <w:vAlign w:val="center"/>
          </w:tcPr>
          <w:p>
            <w:pPr>
              <w:pStyle w:val="12"/>
            </w:pPr>
            <w:r>
              <w:t>14.60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14.60</w:t>
            </w:r>
          </w:p>
        </w:tc>
        <w:tc>
          <w:tcPr>
            <w:tcW w:w="2551" w:type="dxa"/>
            <w:vAlign w:val="center"/>
          </w:tcPr>
          <w:p>
            <w:pPr>
              <w:pStyle w:val="12"/>
            </w:pPr>
            <w:r>
              <w:t>14.60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17.74</w:t>
            </w:r>
          </w:p>
        </w:tc>
        <w:tc>
          <w:tcPr>
            <w:tcW w:w="2551" w:type="dxa"/>
            <w:vAlign w:val="center"/>
          </w:tcPr>
          <w:p>
            <w:pPr>
              <w:pStyle w:val="12"/>
            </w:pPr>
            <w:r>
              <w:t>17.74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17.74</w:t>
            </w:r>
          </w:p>
        </w:tc>
        <w:tc>
          <w:tcPr>
            <w:tcW w:w="2551" w:type="dxa"/>
            <w:vAlign w:val="center"/>
          </w:tcPr>
          <w:p>
            <w:pPr>
              <w:pStyle w:val="12"/>
            </w:pPr>
            <w:r>
              <w:t>17.74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17.74</w:t>
            </w:r>
          </w:p>
        </w:tc>
        <w:tc>
          <w:tcPr>
            <w:tcW w:w="2551" w:type="dxa"/>
            <w:vAlign w:val="center"/>
          </w:tcPr>
          <w:p>
            <w:pPr>
              <w:pStyle w:val="12"/>
            </w:pPr>
            <w:r>
              <w:t>17.74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16.40</w:t>
            </w:r>
          </w:p>
        </w:tc>
        <w:tc>
          <w:tcPr>
            <w:tcW w:w="2551" w:type="dxa"/>
            <w:vAlign w:val="center"/>
          </w:tcPr>
          <w:p>
            <w:pPr>
              <w:pStyle w:val="12"/>
            </w:pPr>
            <w:r>
              <w:t>16.40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16.40</w:t>
            </w:r>
          </w:p>
        </w:tc>
        <w:tc>
          <w:tcPr>
            <w:tcW w:w="2551" w:type="dxa"/>
            <w:vAlign w:val="center"/>
          </w:tcPr>
          <w:p>
            <w:pPr>
              <w:pStyle w:val="12"/>
            </w:pPr>
            <w:r>
              <w:t>16.40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16.40</w:t>
            </w:r>
          </w:p>
        </w:tc>
        <w:tc>
          <w:tcPr>
            <w:tcW w:w="2551" w:type="dxa"/>
            <w:vAlign w:val="center"/>
          </w:tcPr>
          <w:p>
            <w:pPr>
              <w:pStyle w:val="12"/>
            </w:pPr>
            <w:r>
              <w:t>16.40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162.07</w:t>
            </w:r>
          </w:p>
        </w:tc>
        <w:tc>
          <w:tcPr>
            <w:tcW w:w="2551" w:type="dxa"/>
            <w:vAlign w:val="center"/>
          </w:tcPr>
          <w:p>
            <w:pPr>
              <w:pStyle w:val="16"/>
            </w:pPr>
            <w:r>
              <w:t>150.09</w:t>
            </w:r>
          </w:p>
        </w:tc>
        <w:tc>
          <w:tcPr>
            <w:tcW w:w="2551" w:type="dxa"/>
            <w:vAlign w:val="center"/>
          </w:tcPr>
          <w:p>
            <w:pPr>
              <w:pStyle w:val="16"/>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150.09</w:t>
            </w:r>
          </w:p>
        </w:tc>
        <w:tc>
          <w:tcPr>
            <w:tcW w:w="2551" w:type="dxa"/>
            <w:vAlign w:val="center"/>
          </w:tcPr>
          <w:p>
            <w:pPr>
              <w:pStyle w:val="12"/>
            </w:pPr>
            <w:r>
              <w:t>150.09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86.40</w:t>
            </w:r>
          </w:p>
        </w:tc>
        <w:tc>
          <w:tcPr>
            <w:tcW w:w="2551" w:type="dxa"/>
            <w:vAlign w:val="center"/>
          </w:tcPr>
          <w:p>
            <w:pPr>
              <w:pStyle w:val="12"/>
            </w:pPr>
            <w:r>
              <w:t>86.40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14.00</w:t>
            </w:r>
          </w:p>
        </w:tc>
        <w:tc>
          <w:tcPr>
            <w:tcW w:w="2551" w:type="dxa"/>
            <w:vAlign w:val="center"/>
          </w:tcPr>
          <w:p>
            <w:pPr>
              <w:pStyle w:val="12"/>
            </w:pPr>
            <w:r>
              <w:t>14.00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8.20</w:t>
            </w:r>
          </w:p>
        </w:tc>
        <w:tc>
          <w:tcPr>
            <w:tcW w:w="2551" w:type="dxa"/>
            <w:vAlign w:val="center"/>
          </w:tcPr>
          <w:p>
            <w:pPr>
              <w:pStyle w:val="12"/>
            </w:pPr>
            <w:r>
              <w:t>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14.60</w:t>
            </w:r>
          </w:p>
        </w:tc>
        <w:tc>
          <w:tcPr>
            <w:tcW w:w="2551" w:type="dxa"/>
            <w:vAlign w:val="center"/>
          </w:tcPr>
          <w:p>
            <w:pPr>
              <w:pStyle w:val="12"/>
            </w:pPr>
            <w:r>
              <w:t>14.60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8.69</w:t>
            </w:r>
          </w:p>
        </w:tc>
        <w:tc>
          <w:tcPr>
            <w:tcW w:w="2551" w:type="dxa"/>
            <w:vAlign w:val="center"/>
          </w:tcPr>
          <w:p>
            <w:pPr>
              <w:pStyle w:val="12"/>
            </w:pPr>
            <w:r>
              <w:t>8.69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17.74</w:t>
            </w:r>
          </w:p>
        </w:tc>
        <w:tc>
          <w:tcPr>
            <w:tcW w:w="2551" w:type="dxa"/>
            <w:vAlign w:val="center"/>
          </w:tcPr>
          <w:p>
            <w:pPr>
              <w:pStyle w:val="12"/>
            </w:pPr>
            <w:r>
              <w:t>17.74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11.98</w:t>
            </w:r>
          </w:p>
        </w:tc>
        <w:tc>
          <w:tcPr>
            <w:tcW w:w="2551" w:type="dxa"/>
            <w:vAlign w:val="center"/>
          </w:tcPr>
          <w:p>
            <w:pPr>
              <w:pStyle w:val="12"/>
            </w:pPr>
          </w:p>
        </w:tc>
        <w:tc>
          <w:tcPr>
            <w:tcW w:w="2551" w:type="dxa"/>
            <w:vAlign w:val="center"/>
          </w:tcPr>
          <w:p>
            <w:pPr>
              <w:pStyle w:val="12"/>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5.50</w:t>
            </w:r>
          </w:p>
        </w:tc>
        <w:tc>
          <w:tcPr>
            <w:tcW w:w="2551" w:type="dxa"/>
            <w:vAlign w:val="center"/>
          </w:tcPr>
          <w:p>
            <w:pPr>
              <w:pStyle w:val="12"/>
            </w:pPr>
          </w:p>
        </w:tc>
        <w:tc>
          <w:tcPr>
            <w:tcW w:w="2551"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830成安县投资促进服务中心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成安县投资促进服务中心2024年部门预算信息公开情况说明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成安县投资促进服务中心2024年部门预算信息公开情况说明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按照《中华人民共和国预算法》、《地方预决算公开操作规程》和《关于进一步推进预算公开工作的实施意见》规定，现将成安县投资促进服务中心2024年部门预算公开如下：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部门职责：</w:t>
      </w:r>
      <w:r>
        <w:rPr>
          <w:rFonts w:hint="eastAsia" w:ascii="Times New Roman" w:hAnsi="Times New Roman" w:eastAsia="方正仿宋_GBK" w:cs="Times New Roman"/>
          <w:sz w:val="28"/>
          <w:szCs w:val="24"/>
          <w:highlight w:val="none"/>
          <w:lang w:val="en-US" w:eastAsia="zh-CN" w:bidi="ar-SA"/>
        </w:rPr>
        <w:t>根据《成安县投资促进服务中心机构职能编制规定》，成安县投资促进服务中心</w:t>
      </w:r>
      <w:r>
        <w:rPr>
          <w:rFonts w:hint="eastAsia" w:ascii="Times New Roman" w:hAnsi="Times New Roman" w:eastAsia="方正仿宋_GBK" w:cs="Times New Roman"/>
          <w:sz w:val="28"/>
          <w:szCs w:val="24"/>
          <w:highlight w:val="none"/>
          <w:lang w:val="en-US" w:eastAsia="uk-UA" w:bidi="ar-SA"/>
        </w:rPr>
        <w:t>的主要职责是：</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（一）</w:t>
      </w:r>
      <w:r>
        <w:rPr>
          <w:rFonts w:hint="eastAsia" w:ascii="Times New Roman" w:hAnsi="Times New Roman" w:eastAsia="方正仿宋_GBK" w:cs="Times New Roman"/>
          <w:sz w:val="28"/>
          <w:szCs w:val="24"/>
          <w:highlight w:val="none"/>
          <w:lang w:val="en-US" w:eastAsia="zh-CN" w:bidi="ar-SA"/>
        </w:rPr>
        <w:t>负责全县招商引资、投资促进对外宣传工作</w:t>
      </w:r>
      <w:r>
        <w:rPr>
          <w:rFonts w:hint="eastAsia" w:ascii="Times New Roman" w:hAnsi="Times New Roman" w:eastAsia="方正仿宋_GBK" w:cs="Times New Roman"/>
          <w:sz w:val="28"/>
          <w:szCs w:val="24"/>
          <w:highlight w:val="none"/>
          <w:lang w:val="en-US" w:eastAsia="uk-UA"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uk-UA" w:bidi="ar-SA"/>
        </w:rPr>
        <w:t>（二）</w:t>
      </w:r>
      <w:r>
        <w:rPr>
          <w:rFonts w:hint="eastAsia" w:ascii="Times New Roman" w:hAnsi="Times New Roman" w:eastAsia="方正仿宋_GBK" w:cs="Times New Roman"/>
          <w:sz w:val="28"/>
          <w:szCs w:val="24"/>
          <w:highlight w:val="none"/>
          <w:lang w:val="en-US" w:eastAsia="zh-CN" w:bidi="ar-SA"/>
        </w:rPr>
        <w:t>负责招商业务指导、沟通联络工作。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（三）</w:t>
      </w:r>
      <w:r>
        <w:rPr>
          <w:rFonts w:hint="eastAsia" w:ascii="Times New Roman" w:hAnsi="Times New Roman" w:eastAsia="方正仿宋_GBK" w:cs="Times New Roman"/>
          <w:sz w:val="28"/>
          <w:szCs w:val="24"/>
          <w:highlight w:val="none"/>
          <w:lang w:val="en-US" w:eastAsia="zh-CN" w:bidi="ar-SA"/>
        </w:rPr>
        <w:t>负责各类招商活动组织工作</w:t>
      </w:r>
      <w:r>
        <w:rPr>
          <w:rFonts w:hint="eastAsia" w:ascii="Times New Roman" w:hAnsi="Times New Roman" w:eastAsia="方正仿宋_GBK" w:cs="Times New Roman"/>
          <w:sz w:val="28"/>
          <w:szCs w:val="24"/>
          <w:highlight w:val="none"/>
          <w:lang w:val="en-US" w:eastAsia="uk-UA"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uk-UA" w:bidi="ar-SA"/>
        </w:rPr>
        <w:t>（四）</w:t>
      </w:r>
      <w:r>
        <w:rPr>
          <w:rFonts w:hint="eastAsia" w:ascii="Times New Roman" w:hAnsi="Times New Roman" w:eastAsia="方正仿宋_GBK" w:cs="Times New Roman"/>
          <w:sz w:val="28"/>
          <w:szCs w:val="24"/>
          <w:highlight w:val="none"/>
          <w:lang w:val="en-US" w:eastAsia="zh-CN" w:bidi="ar-SA"/>
        </w:rPr>
        <w:t>负责重点推进项目签约后落地服务工作。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98"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8" w:type="dxa"/>
            <w:vAlign w:val="center"/>
          </w:tcPr>
          <w:p>
            <w:pPr>
              <w:pStyle w:val="13"/>
            </w:pPr>
            <w:r>
              <w:t>成安县投资促进服务中心</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rPr>
      </w:pPr>
      <w:r>
        <w:rPr>
          <w:rFonts w:hint="eastAsia"/>
        </w:rPr>
        <w:t>按照预算管理有关规定，目前部门预算的编制实行综合预算管理，即全部收入和支出都反映在预算中。</w:t>
      </w:r>
      <w:r>
        <w:rPr>
          <w:rFonts w:hint="eastAsia"/>
          <w:lang w:eastAsia="zh-CN"/>
        </w:rPr>
        <w:t>成安县投资促进服务中心</w:t>
      </w:r>
      <w:r>
        <w:rPr>
          <w:rFonts w:hint="eastAsia"/>
        </w:rPr>
        <w:t>及所属事业单位的收支包含在部门预算中。</w:t>
      </w:r>
    </w:p>
    <w:p>
      <w:pPr>
        <w:pStyle w:val="19"/>
        <w:numPr>
          <w:ilvl w:val="0"/>
          <w:numId w:val="1"/>
        </w:numPr>
        <w:rPr>
          <w:rFonts w:hint="eastAsia"/>
        </w:rPr>
      </w:pPr>
      <w:r>
        <w:rPr>
          <w:rFonts w:hint="eastAsia"/>
        </w:rPr>
        <w:t>收入说明</w:t>
      </w:r>
    </w:p>
    <w:p>
      <w:pPr>
        <w:pStyle w:val="19"/>
        <w:numPr>
          <w:ilvl w:val="0"/>
          <w:numId w:val="0"/>
        </w:numPr>
        <w:ind w:firstLine="840" w:firstLineChars="300"/>
        <w:rPr>
          <w:rFonts w:hint="eastAsia"/>
        </w:rPr>
      </w:pPr>
      <w:r>
        <w:rPr>
          <w:rFonts w:hint="eastAsia"/>
        </w:rPr>
        <w:t>反映本部门当年全部收入。2024 年预算收入</w:t>
      </w:r>
      <w:r>
        <w:rPr>
          <w:rFonts w:hint="eastAsia"/>
          <w:lang w:val="en-US" w:eastAsia="zh-CN"/>
        </w:rPr>
        <w:t>162.07</w:t>
      </w:r>
      <w:r>
        <w:rPr>
          <w:rFonts w:hint="eastAsia"/>
        </w:rPr>
        <w:t>万元，其中：一般公共预算收入</w:t>
      </w:r>
      <w:r>
        <w:rPr>
          <w:rFonts w:hint="eastAsia"/>
          <w:lang w:val="en-US" w:eastAsia="zh-CN"/>
        </w:rPr>
        <w:t>162.07</w:t>
      </w:r>
      <w:r>
        <w:rPr>
          <w:rFonts w:hint="eastAsia"/>
        </w:rPr>
        <w:t xml:space="preserve"> 万元，基金预算收入 0万元，国有资本经营预算收入 0 万元，财政专户核拨收入 0 万元，单位资金收入</w:t>
      </w:r>
      <w:r>
        <w:rPr>
          <w:rFonts w:hint="eastAsia"/>
          <w:lang w:val="en-US" w:eastAsia="zh-CN"/>
        </w:rPr>
        <w:t>0</w:t>
      </w:r>
      <w:r>
        <w:rPr>
          <w:rFonts w:hint="eastAsia"/>
        </w:rPr>
        <w:t xml:space="preserve"> 万元，上年结转结余 </w:t>
      </w:r>
      <w:r>
        <w:rPr>
          <w:rFonts w:hint="eastAsia"/>
          <w:lang w:val="en-US" w:eastAsia="zh-CN"/>
        </w:rPr>
        <w:t>0</w:t>
      </w:r>
      <w:r>
        <w:rPr>
          <w:rFonts w:hint="eastAsia"/>
        </w:rPr>
        <w:t>万元。</w:t>
      </w:r>
    </w:p>
    <w:p>
      <w:pPr>
        <w:pStyle w:val="19"/>
        <w:numPr>
          <w:ilvl w:val="0"/>
          <w:numId w:val="1"/>
        </w:numPr>
        <w:ind w:left="0" w:leftChars="0" w:firstLine="560" w:firstLineChars="0"/>
        <w:rPr>
          <w:rFonts w:hint="eastAsia"/>
        </w:rPr>
      </w:pPr>
      <w:r>
        <w:rPr>
          <w:rFonts w:hint="eastAsia"/>
        </w:rPr>
        <w:t>支出说明</w:t>
      </w:r>
    </w:p>
    <w:p>
      <w:pPr>
        <w:pStyle w:val="19"/>
        <w:numPr>
          <w:ilvl w:val="0"/>
          <w:numId w:val="0"/>
        </w:numPr>
        <w:ind w:firstLine="560" w:firstLineChars="200"/>
        <w:rPr>
          <w:rFonts w:hint="eastAsia"/>
          <w:lang w:val="en-US" w:eastAsia="zh-CN"/>
        </w:rPr>
      </w:pPr>
      <w:r>
        <w:rPr>
          <w:rFonts w:hint="eastAsia"/>
        </w:rPr>
        <w:t>收支预算总表支出栏、基本支出表、项目支出表按经济分类和支出功能分类科目编制，反映</w:t>
      </w:r>
      <w:r>
        <w:rPr>
          <w:rFonts w:hint="eastAsia"/>
          <w:lang w:eastAsia="zh-CN"/>
        </w:rPr>
        <w:t>成安县投资促进服务中心</w:t>
      </w:r>
      <w:r>
        <w:rPr>
          <w:rFonts w:hint="eastAsia"/>
        </w:rPr>
        <w:t xml:space="preserve">年度部门预算中支出预算的总体情况。2024 年支出预算 </w:t>
      </w:r>
      <w:r>
        <w:rPr>
          <w:rFonts w:hint="eastAsia"/>
          <w:lang w:val="en-US" w:eastAsia="zh-CN"/>
        </w:rPr>
        <w:t>162.07</w:t>
      </w:r>
      <w:r>
        <w:rPr>
          <w:rFonts w:hint="eastAsia"/>
        </w:rPr>
        <w:t xml:space="preserve"> 万元，其中基本支出 </w:t>
      </w:r>
      <w:r>
        <w:rPr>
          <w:rFonts w:hint="eastAsia"/>
          <w:lang w:val="en-US" w:eastAsia="zh-CN"/>
        </w:rPr>
        <w:t>162.07</w:t>
      </w:r>
      <w:r>
        <w:rPr>
          <w:rFonts w:hint="eastAsia"/>
        </w:rPr>
        <w:t xml:space="preserve">万元，包括人员经费 </w:t>
      </w:r>
      <w:r>
        <w:rPr>
          <w:rFonts w:hint="eastAsia"/>
          <w:lang w:val="en-US" w:eastAsia="zh-CN"/>
        </w:rPr>
        <w:t>150.09</w:t>
      </w:r>
      <w:r>
        <w:rPr>
          <w:rFonts w:hint="eastAsia"/>
        </w:rPr>
        <w:t>万元和日常公用经费</w:t>
      </w:r>
      <w:r>
        <w:rPr>
          <w:rFonts w:hint="eastAsia"/>
          <w:lang w:val="en-US" w:eastAsia="zh-CN"/>
        </w:rPr>
        <w:t>11.98</w:t>
      </w:r>
      <w:r>
        <w:rPr>
          <w:rFonts w:hint="eastAsia"/>
        </w:rPr>
        <w:t xml:space="preserve">万元；项目支出 </w:t>
      </w:r>
      <w:r>
        <w:rPr>
          <w:rFonts w:hint="eastAsia"/>
          <w:lang w:val="en-US" w:eastAsia="zh-CN"/>
        </w:rPr>
        <w:t>0</w:t>
      </w:r>
      <w:r>
        <w:rPr>
          <w:rFonts w:hint="eastAsia"/>
        </w:rPr>
        <w:t xml:space="preserve"> 万元</w:t>
      </w:r>
      <w:r>
        <w:rPr>
          <w:rFonts w:hint="eastAsia"/>
          <w:lang w:val="en-US" w:eastAsia="zh-CN"/>
        </w:rPr>
        <w:t>.</w:t>
      </w:r>
    </w:p>
    <w:p>
      <w:pPr>
        <w:pStyle w:val="19"/>
        <w:numPr>
          <w:ilvl w:val="0"/>
          <w:numId w:val="0"/>
        </w:numPr>
        <w:ind w:left="560" w:leftChars="0"/>
      </w:pPr>
      <w:r>
        <w:rPr>
          <w:rFonts w:hint="eastAsia"/>
        </w:rPr>
        <w:t>3、比上年增减情况2024 年预算收支安排</w:t>
      </w:r>
      <w:r>
        <w:rPr>
          <w:rFonts w:hint="eastAsia"/>
          <w:lang w:val="en-US" w:eastAsia="zh-CN"/>
        </w:rPr>
        <w:t>162.07</w:t>
      </w:r>
      <w:r>
        <w:rPr>
          <w:rFonts w:hint="eastAsia"/>
        </w:rPr>
        <w:t xml:space="preserve"> 万元，较 2023 年预算增加 </w:t>
      </w:r>
      <w:r>
        <w:rPr>
          <w:rFonts w:hint="eastAsia"/>
          <w:lang w:val="en-US" w:eastAsia="zh-CN"/>
        </w:rPr>
        <w:t>150.09</w:t>
      </w:r>
      <w:r>
        <w:rPr>
          <w:rFonts w:hint="eastAsia"/>
        </w:rPr>
        <w:t xml:space="preserve"> 万元，其中：</w:t>
      </w:r>
      <w:r>
        <w:rPr>
          <w:rFonts w:hint="eastAsia"/>
          <w:lang w:eastAsia="zh-CN"/>
        </w:rPr>
        <w:t>人员支出增加</w:t>
      </w:r>
      <w:r>
        <w:rPr>
          <w:rFonts w:hint="eastAsia"/>
          <w:lang w:val="en-US" w:eastAsia="zh-CN"/>
        </w:rPr>
        <w:t>150.09</w:t>
      </w:r>
      <w:r>
        <w:rPr>
          <w:rFonts w:hint="eastAsia"/>
        </w:rPr>
        <w:t xml:space="preserve"> 万元，主要</w:t>
      </w:r>
      <w:r>
        <w:rPr>
          <w:rFonts w:hint="eastAsia"/>
          <w:lang w:eastAsia="zh-CN"/>
        </w:rPr>
        <w:t>原因是因为人员调动增加</w:t>
      </w:r>
      <w:r>
        <w:rPr>
          <w:rFonts w:hint="eastAsia"/>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rPr>
        <w:t>2024 年，我部门机关运行经费共计安排</w:t>
      </w:r>
      <w:r>
        <w:rPr>
          <w:rFonts w:hint="eastAsia"/>
          <w:lang w:val="en-US" w:eastAsia="zh-CN"/>
        </w:rPr>
        <w:t>11.98</w:t>
      </w:r>
      <w:r>
        <w:rPr>
          <w:rFonts w:hint="eastAsia"/>
        </w:rPr>
        <w:t>万元，主要用于日常维修、办公用房水电费、办公用房取暖费、办公用房物业管理费等日常运行支出。</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2024 年，我部门财政拨款“三公”经费预算安排 </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 xml:space="preserve"> 万元，其中因公出国（境）费 </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 xml:space="preserve">万元；公务用车购置及运维费 </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万元（其中：公务用车购置费为 0 万元，公务用车运维费</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万元)；公务接待费</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 xml:space="preserve">万元。与 2023 年相比减少 </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万元，增减变化的主要原因是严格落实中央八项规定精神，严控公务接待规模和水平，减少公务接待费支出。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坚决落实县委、县政府各项决策部署，牢固树立“抓发展必须抓项目，抓项目必须抓招商”“抓项目抓投资就是抓发展抓未来”的理念，坚持项目为王，始终把招商引资和项目建设作为“一号工程”，立足高端装备制造主导优势产业和县域龙头骨干企业，着眼培育壮大电子信息、智能家电、新能源、新材料等新兴产业，瞄准京津、长三角、珠三角、成渝等重点区域，进一步强化信息搜集和项目引进，通过“围绕优势招、无中生有招、面向大企业招、走进发展前沿城市招、创新机制招、深化感情招、优化营商环境招”等多种方式开展招商引资，加快产业“延链、补链、强链、建链”，为全县经济高质量发展注入新活力</w:t>
      </w:r>
      <w:r>
        <w:rPr>
          <w:rFonts w:hint="eastAsia" w:ascii="Times New Roman" w:hAnsi="Times New Roman" w:eastAsia="方正仿宋_GBK" w:cs="Times New Roman"/>
          <w:sz w:val="28"/>
          <w:szCs w:val="24"/>
          <w:highlight w:val="none"/>
          <w:lang w:val="zh-CN" w:eastAsia="zh-CN" w:bidi="ar-SA"/>
        </w:rPr>
        <w:t>。</w:t>
      </w:r>
      <w:r>
        <w:rPr>
          <w:rFonts w:hint="eastAsia" w:ascii="Times New Roman" w:hAnsi="Times New Roman" w:eastAsia="方正仿宋_GBK" w:cs="Times New Roman"/>
          <w:sz w:val="28"/>
          <w:szCs w:val="24"/>
          <w:highlight w:val="none"/>
          <w:lang w:val="en-US" w:eastAsia="zh-CN" w:bidi="ar-SA"/>
        </w:rPr>
        <w:t>主要做好：打造五个“园中园”、壮大六个产业链，力争“三个突破”，绩效考核进位争先，严格项目引进标准，建好“五项推进机制”，强化十个招商举措。 2024年，力争引进亿元以上项目20个，其中，5亿元以上项目10个，10亿元以上项目5个，30亿元以上项目1个。</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一）打造五个“园中园”，壮大六个产业链。围绕“板、管、件”传统主导优势产业和行业龙头企业上下游招商，重点打造富康智能制造新兴产业园、北方阀门制造产业园、恒工流体精密核心部件产业园、高端紧固件制造产业园和再生资源利用产业园等五个“园中园”，逐步壮大电子信息、阀门制造、精密部件、高端紧固件、再生资源和智能家电六个产业链条，增强产业集聚效应，培育新的经济增长点。</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二）力争“三个突破”。瞄准大项目、央企项目和外资项目，进一步强化与国家部委、省市相关部门的工作对接，与在谈央企国企、国内外500强和外资企业紧密沟通，建立常态化联络机制，及时掌握第一手投资信息，高频对接，靠前服务，积极争取项目。</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（三）绩效考核进位争先。严格按照省厅招商项目绩效考核工作要求，有的放矢做好项目报送工作，进一步提高项目入库率，力争进位争先。</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四）建好“五项机制”。以完善的工作机制，推动全县招商引资高效开展。一是每周招商组对接联络机制。二是每月调度通报机制。三是项目对接洽谈推进机制。四是产业链“链长”机制。五是每周入企走访调研机制。</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强化十个招商举措。通过多元化的招商举措，不断拓宽引资渠道，引进更多优质项目。</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一是强化组织保障，以强大合力招商。二是立足主导优势，以商招商。三是围绕产业链条，以补弱增强招商。四是牵手连心县外人脉，以增进感情招商。五是走进发展前沿城市，以筹办活动招商。六是用好上级资源，面向大企业招商。</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七是健全优惠政策，以优化营商环境招商。八是建好承接平台，以要素保障招商。九是依托县域外贸企业，以海外合作伙伴招商。十是制定两个清单，以科学决策招商。</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Times New Roman"/>
          <w:sz w:val="28"/>
          <w:szCs w:val="24"/>
          <w:highlight w:val="none"/>
          <w:lang w:val="en-US" w:eastAsia="zh-CN" w:bidi="ar-SA"/>
        </w:rPr>
      </w:pPr>
    </w:p>
    <w:p>
      <w:pPr>
        <w:pStyle w:val="24"/>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仿宋_GB2312" w:hAnsi="仿宋_GB2312" w:eastAsia="仿宋_GB2312" w:cs="仿宋_GB2312"/>
          <w:color w:val="000000"/>
          <w:sz w:val="28"/>
          <w:szCs w:val="28"/>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rPr>
        <w:t>我部门无主管的专项资金预算。</w:t>
      </w:r>
    </w:p>
    <w:p>
      <w:pPr>
        <w:numPr>
          <w:ilvl w:val="0"/>
          <w:numId w:val="3"/>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840" w:firstLineChars="300"/>
        <w:jc w:val="left"/>
        <w:outlineLvl w:val="2"/>
        <w:rPr>
          <w:rFonts w:hint="eastAsia" w:ascii="仿宋_GB2312" w:hAnsi="仿宋_GB2312" w:eastAsia="仿宋_GB2312" w:cs="仿宋_GB2312"/>
          <w:color w:val="000000"/>
          <w:sz w:val="28"/>
          <w:szCs w:val="28"/>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rPr>
        <w:t>我部门无</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资金预算。</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830成安县投资促进服务中心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注：同一采购目录序号的物品，其单价会因配置规格不同而变动，均符合资产配置标准。涉密采购事项按照相关规定执行。</w:t>
      </w:r>
    </w:p>
    <w:p>
      <w:pPr>
        <w:spacing w:before="0" w:after="0"/>
        <w:jc w:val="left"/>
        <w:outlineLvl w:val="9"/>
      </w:pPr>
      <w:r>
        <w:rPr>
          <w:rFonts w:hint="eastAsia" w:ascii="仿宋_GB2312" w:hAnsi="仿宋_GB2312" w:eastAsia="仿宋_GB2312" w:cs="仿宋_GB2312"/>
          <w:color w:val="000000"/>
          <w:sz w:val="21"/>
          <w:szCs w:val="21"/>
          <w:lang w:val="en-US" w:eastAsia="zh-CN"/>
        </w:rPr>
        <w:t xml:space="preserve">    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成安县投资促进服务中心（含所属单位）上年末固定资产金额为</w:t>
      </w:r>
      <w:r>
        <w:rPr>
          <w:rFonts w:hint="eastAsia" w:eastAsia="方正仿宋_GBK" w:cs="Times New Roman"/>
          <w:b w:val="0"/>
          <w:color w:val="000000"/>
          <w:sz w:val="28"/>
          <w:lang w:val="en-US" w:eastAsia="zh-CN"/>
        </w:rPr>
        <w:t>8.97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rPr>
                <w:rFonts w:hint="eastAsia"/>
              </w:rPr>
              <w:t>编制部门：</w:t>
            </w:r>
            <w:r>
              <w:t>830成安县投资促进服务中心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hint="default" w:ascii="宋体" w:hAnsi="宋体" w:eastAsia="宋体" w:cs="宋体"/>
                <w:color w:val="000000" w:themeColor="text1"/>
                <w:sz w:val="22"/>
                <w:lang w:val="en-US" w:eastAsia="zh-CN"/>
              </w:rPr>
            </w:pPr>
            <w:r>
              <w:rPr>
                <w:rFonts w:hint="eastAsia" w:ascii="宋体" w:hAnsi="宋体" w:eastAsia="宋体" w:cs="宋体"/>
                <w:color w:val="000000" w:themeColor="text1"/>
                <w:sz w:val="22"/>
                <w:szCs w:val="22"/>
                <w:lang w:val="en-US" w:eastAsia="zh-CN"/>
              </w:rPr>
              <w:t>22</w:t>
            </w:r>
          </w:p>
        </w:tc>
        <w:tc>
          <w:tcPr>
            <w:tcW w:w="4933" w:type="dxa"/>
            <w:vAlign w:val="center"/>
          </w:tcPr>
          <w:p>
            <w:pPr>
              <w:jc w:val="center"/>
              <w:rPr>
                <w:rFonts w:hint="default" w:ascii="仿宋" w:hAnsi="仿宋" w:eastAsia="仿宋" w:cs="??_GB2312"/>
                <w:color w:val="000000" w:themeColor="text1"/>
                <w:lang w:val="en-US" w:eastAsia="zh-CN"/>
              </w:rPr>
            </w:pPr>
            <w:r>
              <w:rPr>
                <w:rFonts w:hint="eastAsia" w:ascii="仿宋" w:hAnsi="仿宋" w:eastAsia="仿宋" w:cs="??_GB2312"/>
                <w:color w:val="000000" w:themeColor="text1"/>
                <w:lang w:val="en-US" w:eastAsia="zh-CN"/>
              </w:rP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hint="eastAsia"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其中：业务用车</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 xml:space="preserve">      公务用车</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lang w:eastAsia="zh-CN"/>
              </w:rPr>
            </w:pPr>
          </w:p>
        </w:tc>
        <w:tc>
          <w:tcPr>
            <w:tcW w:w="4933" w:type="dxa"/>
            <w:vAlign w:val="center"/>
          </w:tcPr>
          <w:p>
            <w:pPr>
              <w:jc w:val="center"/>
              <w:rPr>
                <w:rFonts w:ascii="宋体" w:hAnsi="宋体" w:eastAsia="宋体" w:cs="Times New Roman"/>
                <w:color w:val="000000" w:themeColor="text1"/>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jc w:val="center"/>
              <w:rPr>
                <w:rFonts w:hint="default"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22</w:t>
            </w:r>
          </w:p>
        </w:tc>
        <w:tc>
          <w:tcPr>
            <w:tcW w:w="4933" w:type="dxa"/>
            <w:vAlign w:val="center"/>
          </w:tcPr>
          <w:p>
            <w:pPr>
              <w:jc w:val="center"/>
              <w:rPr>
                <w:rFonts w:hint="default" w:ascii="宋体" w:hAnsi="宋体" w:eastAsia="宋体" w:cs="Times New Roman"/>
                <w:color w:val="000000" w:themeColor="text1"/>
                <w:sz w:val="22"/>
                <w:lang w:val="en-US" w:eastAsia="zh-CN"/>
              </w:rPr>
            </w:pPr>
            <w:r>
              <w:rPr>
                <w:rFonts w:hint="eastAsia" w:ascii="宋体" w:hAnsi="宋体" w:eastAsia="宋体" w:cs="Times New Roman"/>
                <w:color w:val="000000" w:themeColor="text1"/>
                <w:sz w:val="22"/>
                <w:lang w:val="en-US" w:eastAsia="zh-CN"/>
              </w:rPr>
              <w:t>8.97</w:t>
            </w:r>
          </w:p>
        </w:tc>
      </w:tr>
    </w:tbl>
    <w:p>
      <w:pPr>
        <w:ind w:firstLine="640"/>
      </w:pPr>
      <w:r>
        <w:rPr>
          <w:rFonts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1D80A"/>
    <w:multiLevelType w:val="singleLevel"/>
    <w:tmpl w:val="A0E1D80A"/>
    <w:lvl w:ilvl="0" w:tentative="0">
      <w:start w:val="1"/>
      <w:numFmt w:val="decimal"/>
      <w:suff w:val="nothing"/>
      <w:lvlText w:val="%1、"/>
      <w:lvlJc w:val="left"/>
    </w:lvl>
  </w:abstractNum>
  <w:abstractNum w:abstractNumId="1">
    <w:nsid w:val="ABCD8D33"/>
    <w:multiLevelType w:val="singleLevel"/>
    <w:tmpl w:val="ABCD8D33"/>
    <w:lvl w:ilvl="0" w:tentative="0">
      <w:start w:val="4"/>
      <w:numFmt w:val="chineseCounting"/>
      <w:suff w:val="nothing"/>
      <w:lvlText w:val="%1、"/>
      <w:lvlJc w:val="left"/>
      <w:rPr>
        <w:rFonts w:hint="eastAsia"/>
      </w:rPr>
    </w:lvl>
  </w:abstractNum>
  <w:abstractNum w:abstractNumId="2">
    <w:nsid w:val="E80165EC"/>
    <w:multiLevelType w:val="singleLevel"/>
    <w:tmpl w:val="E80165EC"/>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5ZDc4OWMxYWRhNDlkM2FiNTQ1ZDhlYjVlMTU2NTIifQ=="/>
  </w:docVars>
  <w:rsids>
    <w:rsidRoot w:val="00000000"/>
    <w:rsid w:val="00975D66"/>
    <w:rsid w:val="017F6E3C"/>
    <w:rsid w:val="04B019C0"/>
    <w:rsid w:val="04F50E2F"/>
    <w:rsid w:val="0B8C5A16"/>
    <w:rsid w:val="16F77107"/>
    <w:rsid w:val="170F26A3"/>
    <w:rsid w:val="17D11723"/>
    <w:rsid w:val="185D1307"/>
    <w:rsid w:val="19801636"/>
    <w:rsid w:val="1DAD6772"/>
    <w:rsid w:val="218B7611"/>
    <w:rsid w:val="255C237C"/>
    <w:rsid w:val="25CD28C2"/>
    <w:rsid w:val="2B023B68"/>
    <w:rsid w:val="2F38408E"/>
    <w:rsid w:val="31EE13DB"/>
    <w:rsid w:val="323D7C6C"/>
    <w:rsid w:val="36342476"/>
    <w:rsid w:val="379B0638"/>
    <w:rsid w:val="3CAB1C17"/>
    <w:rsid w:val="3F375A43"/>
    <w:rsid w:val="400C3EFF"/>
    <w:rsid w:val="45120AE5"/>
    <w:rsid w:val="458F65D9"/>
    <w:rsid w:val="47EB7F64"/>
    <w:rsid w:val="4AA34D3D"/>
    <w:rsid w:val="4C674B8D"/>
    <w:rsid w:val="4E71271F"/>
    <w:rsid w:val="4FF04118"/>
    <w:rsid w:val="56505872"/>
    <w:rsid w:val="56867584"/>
    <w:rsid w:val="56DE116E"/>
    <w:rsid w:val="58825341"/>
    <w:rsid w:val="5BA12BA3"/>
    <w:rsid w:val="5BD40D92"/>
    <w:rsid w:val="5F713D25"/>
    <w:rsid w:val="62624078"/>
    <w:rsid w:val="67DC5FF3"/>
    <w:rsid w:val="691E189E"/>
    <w:rsid w:val="6B855C05"/>
    <w:rsid w:val="6C0134DD"/>
    <w:rsid w:val="6DA04E39"/>
    <w:rsid w:val="7B2F1DA8"/>
    <w:rsid w:val="7B3D5BB4"/>
    <w:rsid w:val="7F174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2024-02-19T10:22:02Z</dcterms:created>
  <dcterms:modified xsi:type="dcterms:W3CDTF">2024-02-19T02:22:02Z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2024-02-19T10:22:02Z</dcterms:created>
  <dcterms:modified xsi:type="dcterms:W3CDTF">2024-02-19T02:22:02Z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2024-02-19T10:22:02Z</dcterms:created>
  <dcterms:modified xsi:type="dcterms:W3CDTF">2024-02-19T02:22:02Z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2024-02-19T10:22:01Z</dcterms:created>
  <dcterms:modified xsi:type="dcterms:W3CDTF">2024-02-19T02:22:01Z</dcterms:modified>
</cp:coreProperties>
</file>

<file path=customXml/itemProps1.xml><?xml version="1.0" encoding="utf-8"?>
<ds:datastoreItem xmlns:ds="http://schemas.openxmlformats.org/officeDocument/2006/customXml" ds:itemID="{e3b6a480-d5bc-418f-a531-0989788e4079}">
  <ds:schemaRefs/>
</ds:datastoreItem>
</file>

<file path=customXml/itemProps2.xml><?xml version="1.0" encoding="utf-8"?>
<ds:datastoreItem xmlns:ds="http://schemas.openxmlformats.org/officeDocument/2006/customXml" ds:itemID="{f5d56193-3540-484f-8b37-e75805b3b7a4}">
  <ds:schemaRefs/>
</ds:datastoreItem>
</file>

<file path=customXml/itemProps3.xml><?xml version="1.0" encoding="utf-8"?>
<ds:datastoreItem xmlns:ds="http://schemas.openxmlformats.org/officeDocument/2006/customXml" ds:itemID="{b7028994-4940-4682-a078-77324da29bbf}">
  <ds:schemaRefs/>
</ds:datastoreItem>
</file>

<file path=customXml/itemProps4.xml><?xml version="1.0" encoding="utf-8"?>
<ds:datastoreItem xmlns:ds="http://schemas.openxmlformats.org/officeDocument/2006/customXml" ds:itemID="{5fbcfb9c-75b4-4041-a994-78769e11d1df}">
  <ds:schemaRefs/>
</ds:datastoreItem>
</file>

<file path=customXml/itemProps5.xml><?xml version="1.0" encoding="utf-8"?>
<ds:datastoreItem xmlns:ds="http://schemas.openxmlformats.org/officeDocument/2006/customXml" ds:itemID="{724c0ff8-827a-42f7-b3a5-535b889956e1}">
  <ds:schemaRefs/>
</ds:datastoreItem>
</file>

<file path=customXml/itemProps6.xml><?xml version="1.0" encoding="utf-8"?>
<ds:datastoreItem xmlns:ds="http://schemas.openxmlformats.org/officeDocument/2006/customXml" ds:itemID="{4e3c9e80-9495-44aa-abef-19fcabdc983b}">
  <ds:schemaRefs/>
</ds:datastoreItem>
</file>

<file path=customXml/itemProps7.xml><?xml version="1.0" encoding="utf-8"?>
<ds:datastoreItem xmlns:ds="http://schemas.openxmlformats.org/officeDocument/2006/customXml" ds:itemID="{3ab80d13-abcb-4156-b04f-ab9ec2aee5c0}">
  <ds:schemaRefs/>
</ds:datastoreItem>
</file>

<file path=customXml/itemProps8.xml><?xml version="1.0" encoding="utf-8"?>
<ds:datastoreItem xmlns:ds="http://schemas.openxmlformats.org/officeDocument/2006/customXml" ds:itemID="{bf108d74-c696-4668-81e2-2f6926de672c}">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2024-02-19T10:22:00Z</dcterms:created>
  <dc:creator>Administrator</dc:creator>
  <cp:lastModifiedBy>Administrator</cp:lastModifiedBy>
  <dcterms:modified xsi:type="dcterms:W3CDTF">2024-02-20T06:04:01Z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43973971391A48FBB448903D6C2A8D8B</vt:lpwstr>
  </property>
</Properties>
</file>