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2025年部门预算信息公开目录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13</w:t>
      </w:r>
      <w:r>
        <w:fldChar w:fldCharType="end"/>
      </w:r>
      <w:r>
        <w:fldChar w:fldCharType="end"/>
      </w:r>
    </w:p>
    <w:p>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15</w:t>
      </w:r>
      <w:r>
        <w:fldChar w:fldCharType="end"/>
      </w:r>
      <w:r>
        <w:fldChar w:fldCharType="end"/>
      </w:r>
    </w:p>
    <w:p>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16</w:t>
      </w:r>
      <w:r>
        <w:fldChar w:fldCharType="end"/>
      </w:r>
      <w:r>
        <w:fldChar w:fldCharType="end"/>
      </w:r>
    </w:p>
    <w:p>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17</w:t>
      </w:r>
      <w:r>
        <w:fldChar w:fldCharType="end"/>
      </w:r>
      <w:r>
        <w:fldChar w:fldCharType="end"/>
      </w:r>
    </w:p>
    <w:p>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17</w:t>
      </w:r>
      <w:r>
        <w:fldChar w:fldCharType="end"/>
      </w:r>
      <w:r>
        <w:fldChar w:fldCharType="end"/>
      </w:r>
    </w:p>
    <w:p>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17</w:t>
      </w:r>
      <w:r>
        <w:fldChar w:fldCharType="end"/>
      </w:r>
      <w:r>
        <w:fldChar w:fldCharType="end"/>
      </w:r>
    </w:p>
    <w:p>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18</w:t>
      </w:r>
      <w:r>
        <w:fldChar w:fldCharType="end"/>
      </w:r>
      <w:r>
        <w:fldChar w:fldCharType="end"/>
      </w:r>
    </w:p>
    <w:p>
      <w:pPr>
        <w:sectPr>
          <w:headerReference r:id="rId5" w:type="first"/>
          <w:footerReference r:id="rId8" w:type="first"/>
          <w:headerReference r:id="rId3" w:type="default"/>
          <w:footerReference r:id="rId6" w:type="default"/>
          <w:headerReference r:id="rId4" w:type="even"/>
          <w:footerReference r:id="rId7" w:type="even"/>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317中共成安县委机构编制委员会办公室</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252.55</w:t>
            </w:r>
          </w:p>
        </w:tc>
        <w:tc>
          <w:tcPr>
            <w:tcW w:w="4535" w:type="dxa"/>
            <w:vAlign w:val="center"/>
          </w:tcPr>
          <w:p>
            <w:pPr>
              <w:pStyle w:val="12"/>
            </w:pPr>
            <w:r>
              <w:t>一、一般公共服务支出</w:t>
            </w:r>
          </w:p>
        </w:tc>
        <w:tc>
          <w:tcPr>
            <w:tcW w:w="2126" w:type="dxa"/>
            <w:vAlign w:val="center"/>
          </w:tcPr>
          <w:p>
            <w:pPr>
              <w:pStyle w:val="11"/>
            </w:pPr>
            <w:r>
              <w:t>194.15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28.36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12.77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17.27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252.55</w:t>
            </w:r>
          </w:p>
        </w:tc>
        <w:tc>
          <w:tcPr>
            <w:tcW w:w="4535" w:type="dxa"/>
            <w:vAlign w:val="center"/>
          </w:tcPr>
          <w:p>
            <w:pPr>
              <w:pStyle w:val="14"/>
            </w:pPr>
            <w:r>
              <w:t>本年支出合计</w:t>
            </w:r>
          </w:p>
        </w:tc>
        <w:tc>
          <w:tcPr>
            <w:tcW w:w="2126" w:type="dxa"/>
            <w:vAlign w:val="center"/>
          </w:tcPr>
          <w:p>
            <w:pPr>
              <w:pStyle w:val="15"/>
            </w:pPr>
            <w:r>
              <w:t>252.55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252.55</w:t>
            </w:r>
          </w:p>
        </w:tc>
        <w:tc>
          <w:tcPr>
            <w:tcW w:w="4535" w:type="dxa"/>
            <w:vAlign w:val="center"/>
          </w:tcPr>
          <w:p>
            <w:pPr>
              <w:pStyle w:val="14"/>
            </w:pPr>
            <w:r>
              <w:t>支出总计</w:t>
            </w:r>
          </w:p>
        </w:tc>
        <w:tc>
          <w:tcPr>
            <w:tcW w:w="2126" w:type="dxa"/>
            <w:vAlign w:val="center"/>
          </w:tcPr>
          <w:p>
            <w:pPr>
              <w:pStyle w:val="15"/>
            </w:pPr>
            <w:r>
              <w:t>252.55</w:t>
            </w:r>
          </w:p>
        </w:tc>
      </w:tr>
    </w:tbl>
    <w:p>
      <w:pPr>
        <w:sectPr>
          <w:footerReference r:id="rId9" w:type="default"/>
          <w:footerReference r:id="rId10"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317中共成安县委机构编制委员会办公室</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252.55</w:t>
            </w:r>
          </w:p>
        </w:tc>
        <w:tc>
          <w:tcPr>
            <w:tcW w:w="1134" w:type="dxa"/>
            <w:vAlign w:val="center"/>
          </w:tcPr>
          <w:p>
            <w:pPr>
              <w:pStyle w:val="15"/>
            </w:pPr>
            <w:r>
              <w:t>252.55</w:t>
            </w:r>
          </w:p>
        </w:tc>
        <w:tc>
          <w:tcPr>
            <w:tcW w:w="1134" w:type="dxa"/>
            <w:vAlign w:val="center"/>
          </w:tcPr>
          <w:p>
            <w:pPr>
              <w:pStyle w:val="15"/>
            </w:pPr>
            <w:r>
              <w:t>252.55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194.15</w:t>
            </w:r>
          </w:p>
        </w:tc>
        <w:tc>
          <w:tcPr>
            <w:tcW w:w="1134" w:type="dxa"/>
            <w:vAlign w:val="center"/>
          </w:tcPr>
          <w:p>
            <w:pPr>
              <w:pStyle w:val="11"/>
            </w:pPr>
            <w:r>
              <w:t>194.15</w:t>
            </w:r>
          </w:p>
        </w:tc>
        <w:tc>
          <w:tcPr>
            <w:tcW w:w="1134" w:type="dxa"/>
            <w:vAlign w:val="center"/>
          </w:tcPr>
          <w:p>
            <w:pPr>
              <w:pStyle w:val="11"/>
            </w:pPr>
            <w:r>
              <w:t>194.15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194.15</w:t>
            </w:r>
          </w:p>
        </w:tc>
        <w:tc>
          <w:tcPr>
            <w:tcW w:w="1134" w:type="dxa"/>
            <w:vAlign w:val="center"/>
          </w:tcPr>
          <w:p>
            <w:pPr>
              <w:pStyle w:val="11"/>
            </w:pPr>
            <w:r>
              <w:t>194.15</w:t>
            </w:r>
          </w:p>
        </w:tc>
        <w:tc>
          <w:tcPr>
            <w:tcW w:w="1134" w:type="dxa"/>
            <w:vAlign w:val="center"/>
          </w:tcPr>
          <w:p>
            <w:pPr>
              <w:pStyle w:val="11"/>
            </w:pPr>
            <w:r>
              <w:t>194.15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194.15</w:t>
            </w:r>
          </w:p>
        </w:tc>
        <w:tc>
          <w:tcPr>
            <w:tcW w:w="1134" w:type="dxa"/>
            <w:vAlign w:val="center"/>
          </w:tcPr>
          <w:p>
            <w:pPr>
              <w:pStyle w:val="11"/>
            </w:pPr>
            <w:r>
              <w:t>194.15</w:t>
            </w:r>
          </w:p>
        </w:tc>
        <w:tc>
          <w:tcPr>
            <w:tcW w:w="1134" w:type="dxa"/>
            <w:vAlign w:val="center"/>
          </w:tcPr>
          <w:p>
            <w:pPr>
              <w:pStyle w:val="11"/>
            </w:pPr>
            <w:r>
              <w:t>194.15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28.36</w:t>
            </w:r>
          </w:p>
        </w:tc>
        <w:tc>
          <w:tcPr>
            <w:tcW w:w="1134" w:type="dxa"/>
            <w:vAlign w:val="center"/>
          </w:tcPr>
          <w:p>
            <w:pPr>
              <w:pStyle w:val="11"/>
            </w:pPr>
            <w:r>
              <w:t>28.36</w:t>
            </w:r>
          </w:p>
        </w:tc>
        <w:tc>
          <w:tcPr>
            <w:tcW w:w="1134" w:type="dxa"/>
            <w:vAlign w:val="center"/>
          </w:tcPr>
          <w:p>
            <w:pPr>
              <w:pStyle w:val="11"/>
            </w:pPr>
            <w:r>
              <w:t>28.36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27.73</w:t>
            </w:r>
          </w:p>
        </w:tc>
        <w:tc>
          <w:tcPr>
            <w:tcW w:w="1134" w:type="dxa"/>
            <w:vAlign w:val="center"/>
          </w:tcPr>
          <w:p>
            <w:pPr>
              <w:pStyle w:val="11"/>
            </w:pPr>
            <w:r>
              <w:t>27.73</w:t>
            </w:r>
          </w:p>
        </w:tc>
        <w:tc>
          <w:tcPr>
            <w:tcW w:w="1134" w:type="dxa"/>
            <w:vAlign w:val="center"/>
          </w:tcPr>
          <w:p>
            <w:pPr>
              <w:pStyle w:val="11"/>
            </w:pPr>
            <w:r>
              <w:t>27.73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pPr>
              <w:pStyle w:val="13"/>
            </w:pPr>
            <w:r>
              <w:t>7</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2.79</w:t>
            </w:r>
          </w:p>
        </w:tc>
        <w:tc>
          <w:tcPr>
            <w:tcW w:w="1134" w:type="dxa"/>
            <w:vAlign w:val="center"/>
          </w:tcPr>
          <w:p>
            <w:pPr>
              <w:pStyle w:val="11"/>
            </w:pPr>
            <w:r>
              <w:t>2.79</w:t>
            </w:r>
          </w:p>
        </w:tc>
        <w:tc>
          <w:tcPr>
            <w:tcW w:w="1134" w:type="dxa"/>
            <w:vAlign w:val="center"/>
          </w:tcPr>
          <w:p>
            <w:pPr>
              <w:pStyle w:val="11"/>
            </w:pPr>
            <w:r>
              <w:t>2.79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24.94</w:t>
            </w:r>
          </w:p>
        </w:tc>
        <w:tc>
          <w:tcPr>
            <w:tcW w:w="1134" w:type="dxa"/>
            <w:vAlign w:val="center"/>
          </w:tcPr>
          <w:p>
            <w:pPr>
              <w:pStyle w:val="11"/>
            </w:pPr>
            <w:r>
              <w:t>24.94</w:t>
            </w:r>
          </w:p>
        </w:tc>
        <w:tc>
          <w:tcPr>
            <w:tcW w:w="1134" w:type="dxa"/>
            <w:vAlign w:val="center"/>
          </w:tcPr>
          <w:p>
            <w:pPr>
              <w:pStyle w:val="11"/>
            </w:pPr>
            <w:r>
              <w:t>24.94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20827</w:t>
            </w:r>
          </w:p>
        </w:tc>
        <w:tc>
          <w:tcPr>
            <w:tcW w:w="1559" w:type="dxa"/>
            <w:vAlign w:val="center"/>
          </w:tcPr>
          <w:p>
            <w:pPr>
              <w:pStyle w:val="12"/>
            </w:pPr>
            <w:r>
              <w:t>财政对其他社会保险基金的补助</w:t>
            </w:r>
          </w:p>
        </w:tc>
        <w:tc>
          <w:tcPr>
            <w:tcW w:w="1134" w:type="dxa"/>
            <w:vAlign w:val="center"/>
          </w:tcPr>
          <w:p>
            <w:pPr>
              <w:pStyle w:val="11"/>
            </w:pPr>
            <w:r>
              <w:t>0.63</w:t>
            </w:r>
          </w:p>
        </w:tc>
        <w:tc>
          <w:tcPr>
            <w:tcW w:w="1134" w:type="dxa"/>
            <w:vAlign w:val="center"/>
          </w:tcPr>
          <w:p>
            <w:pPr>
              <w:pStyle w:val="11"/>
            </w:pPr>
            <w:r>
              <w:t>0.63</w:t>
            </w:r>
          </w:p>
        </w:tc>
        <w:tc>
          <w:tcPr>
            <w:tcW w:w="1134" w:type="dxa"/>
            <w:vAlign w:val="center"/>
          </w:tcPr>
          <w:p>
            <w:pPr>
              <w:pStyle w:val="11"/>
            </w:pPr>
            <w:r>
              <w:t>0.63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2082702</w:t>
            </w:r>
          </w:p>
        </w:tc>
        <w:tc>
          <w:tcPr>
            <w:tcW w:w="1559" w:type="dxa"/>
            <w:vAlign w:val="center"/>
          </w:tcPr>
          <w:p>
            <w:pPr>
              <w:pStyle w:val="12"/>
            </w:pPr>
            <w:r>
              <w:t>财政对工伤保险基金的补助</w:t>
            </w:r>
          </w:p>
        </w:tc>
        <w:tc>
          <w:tcPr>
            <w:tcW w:w="1134" w:type="dxa"/>
            <w:vAlign w:val="center"/>
          </w:tcPr>
          <w:p>
            <w:pPr>
              <w:pStyle w:val="11"/>
            </w:pPr>
            <w:r>
              <w:t>0.63</w:t>
            </w:r>
          </w:p>
        </w:tc>
        <w:tc>
          <w:tcPr>
            <w:tcW w:w="1134" w:type="dxa"/>
            <w:vAlign w:val="center"/>
          </w:tcPr>
          <w:p>
            <w:pPr>
              <w:pStyle w:val="11"/>
            </w:pPr>
            <w:r>
              <w:t>0.63</w:t>
            </w:r>
          </w:p>
        </w:tc>
        <w:tc>
          <w:tcPr>
            <w:tcW w:w="1134" w:type="dxa"/>
            <w:vAlign w:val="center"/>
          </w:tcPr>
          <w:p>
            <w:pPr>
              <w:pStyle w:val="11"/>
            </w:pPr>
            <w:r>
              <w:t>0.63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12.77</w:t>
            </w:r>
          </w:p>
        </w:tc>
        <w:tc>
          <w:tcPr>
            <w:tcW w:w="1134" w:type="dxa"/>
            <w:vAlign w:val="center"/>
          </w:tcPr>
          <w:p>
            <w:pPr>
              <w:pStyle w:val="11"/>
            </w:pPr>
            <w:r>
              <w:t>12.77</w:t>
            </w:r>
          </w:p>
        </w:tc>
        <w:tc>
          <w:tcPr>
            <w:tcW w:w="1134" w:type="dxa"/>
            <w:vAlign w:val="center"/>
          </w:tcPr>
          <w:p>
            <w:pPr>
              <w:pStyle w:val="11"/>
            </w:pPr>
            <w:r>
              <w:t>12.77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0.14</w:t>
            </w:r>
          </w:p>
        </w:tc>
        <w:tc>
          <w:tcPr>
            <w:tcW w:w="1134" w:type="dxa"/>
            <w:vAlign w:val="center"/>
          </w:tcPr>
          <w:p>
            <w:pPr>
              <w:pStyle w:val="11"/>
            </w:pPr>
            <w:r>
              <w:t>0.14</w:t>
            </w:r>
          </w:p>
        </w:tc>
        <w:tc>
          <w:tcPr>
            <w:tcW w:w="1134" w:type="dxa"/>
            <w:vAlign w:val="center"/>
          </w:tcPr>
          <w:p>
            <w:pPr>
              <w:pStyle w:val="11"/>
            </w:pPr>
            <w:r>
              <w:t>0.14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2101199</w:t>
            </w:r>
          </w:p>
        </w:tc>
        <w:tc>
          <w:tcPr>
            <w:tcW w:w="1559" w:type="dxa"/>
            <w:vAlign w:val="center"/>
          </w:tcPr>
          <w:p>
            <w:pPr>
              <w:pStyle w:val="12"/>
            </w:pPr>
            <w:r>
              <w:t>其他行政事业单位医疗支出</w:t>
            </w:r>
          </w:p>
        </w:tc>
        <w:tc>
          <w:tcPr>
            <w:tcW w:w="1134" w:type="dxa"/>
            <w:vAlign w:val="center"/>
          </w:tcPr>
          <w:p>
            <w:pPr>
              <w:pStyle w:val="11"/>
            </w:pPr>
            <w:r>
              <w:t>0.14</w:t>
            </w:r>
          </w:p>
        </w:tc>
        <w:tc>
          <w:tcPr>
            <w:tcW w:w="1134" w:type="dxa"/>
            <w:vAlign w:val="center"/>
          </w:tcPr>
          <w:p>
            <w:pPr>
              <w:pStyle w:val="11"/>
            </w:pPr>
            <w:r>
              <w:t>0.14</w:t>
            </w:r>
          </w:p>
        </w:tc>
        <w:tc>
          <w:tcPr>
            <w:tcW w:w="1134" w:type="dxa"/>
            <w:vAlign w:val="center"/>
          </w:tcPr>
          <w:p>
            <w:pPr>
              <w:pStyle w:val="11"/>
            </w:pPr>
            <w:r>
              <w:t>0.14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21012</w:t>
            </w:r>
          </w:p>
        </w:tc>
        <w:tc>
          <w:tcPr>
            <w:tcW w:w="1559" w:type="dxa"/>
            <w:vAlign w:val="center"/>
          </w:tcPr>
          <w:p>
            <w:pPr>
              <w:pStyle w:val="12"/>
            </w:pPr>
            <w:r>
              <w:t>财政对基本医疗保险基金的补助</w:t>
            </w:r>
          </w:p>
        </w:tc>
        <w:tc>
          <w:tcPr>
            <w:tcW w:w="1134" w:type="dxa"/>
            <w:vAlign w:val="center"/>
          </w:tcPr>
          <w:p>
            <w:pPr>
              <w:pStyle w:val="11"/>
            </w:pPr>
            <w:r>
              <w:t>12.63</w:t>
            </w:r>
          </w:p>
        </w:tc>
        <w:tc>
          <w:tcPr>
            <w:tcW w:w="1134" w:type="dxa"/>
            <w:vAlign w:val="center"/>
          </w:tcPr>
          <w:p>
            <w:pPr>
              <w:pStyle w:val="11"/>
            </w:pPr>
            <w:r>
              <w:t>12.63</w:t>
            </w:r>
          </w:p>
        </w:tc>
        <w:tc>
          <w:tcPr>
            <w:tcW w:w="1134" w:type="dxa"/>
            <w:vAlign w:val="center"/>
          </w:tcPr>
          <w:p>
            <w:pPr>
              <w:pStyle w:val="11"/>
            </w:pPr>
            <w:r>
              <w:t>12.63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2101201</w:t>
            </w:r>
          </w:p>
        </w:tc>
        <w:tc>
          <w:tcPr>
            <w:tcW w:w="1559" w:type="dxa"/>
            <w:vAlign w:val="center"/>
          </w:tcPr>
          <w:p>
            <w:pPr>
              <w:pStyle w:val="12"/>
            </w:pPr>
            <w:r>
              <w:t>财政对职工基本医疗保险基金的补助</w:t>
            </w:r>
          </w:p>
        </w:tc>
        <w:tc>
          <w:tcPr>
            <w:tcW w:w="1134" w:type="dxa"/>
            <w:vAlign w:val="center"/>
          </w:tcPr>
          <w:p>
            <w:pPr>
              <w:pStyle w:val="11"/>
            </w:pPr>
            <w:r>
              <w:t>12.63</w:t>
            </w:r>
          </w:p>
        </w:tc>
        <w:tc>
          <w:tcPr>
            <w:tcW w:w="1134" w:type="dxa"/>
            <w:vAlign w:val="center"/>
          </w:tcPr>
          <w:p>
            <w:pPr>
              <w:pStyle w:val="11"/>
            </w:pPr>
            <w:r>
              <w:t>12.63</w:t>
            </w:r>
          </w:p>
        </w:tc>
        <w:tc>
          <w:tcPr>
            <w:tcW w:w="1134" w:type="dxa"/>
            <w:vAlign w:val="center"/>
          </w:tcPr>
          <w:p>
            <w:pPr>
              <w:pStyle w:val="11"/>
            </w:pPr>
            <w:r>
              <w:t>12.63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17.27</w:t>
            </w:r>
          </w:p>
        </w:tc>
        <w:tc>
          <w:tcPr>
            <w:tcW w:w="1134" w:type="dxa"/>
            <w:vAlign w:val="center"/>
          </w:tcPr>
          <w:p>
            <w:pPr>
              <w:pStyle w:val="11"/>
            </w:pPr>
            <w:r>
              <w:t>17.27</w:t>
            </w:r>
          </w:p>
        </w:tc>
        <w:tc>
          <w:tcPr>
            <w:tcW w:w="1134" w:type="dxa"/>
            <w:vAlign w:val="center"/>
          </w:tcPr>
          <w:p>
            <w:pPr>
              <w:pStyle w:val="11"/>
            </w:pPr>
            <w:r>
              <w:t>17.27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17.27</w:t>
            </w:r>
          </w:p>
        </w:tc>
        <w:tc>
          <w:tcPr>
            <w:tcW w:w="1134" w:type="dxa"/>
            <w:vAlign w:val="center"/>
          </w:tcPr>
          <w:p>
            <w:pPr>
              <w:pStyle w:val="11"/>
            </w:pPr>
            <w:r>
              <w:t>17.27</w:t>
            </w:r>
          </w:p>
        </w:tc>
        <w:tc>
          <w:tcPr>
            <w:tcW w:w="1134" w:type="dxa"/>
            <w:vAlign w:val="center"/>
          </w:tcPr>
          <w:p>
            <w:pPr>
              <w:pStyle w:val="11"/>
            </w:pPr>
            <w:r>
              <w:t>17.27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17.27</w:t>
            </w:r>
          </w:p>
        </w:tc>
        <w:tc>
          <w:tcPr>
            <w:tcW w:w="1134" w:type="dxa"/>
            <w:vAlign w:val="center"/>
          </w:tcPr>
          <w:p>
            <w:pPr>
              <w:pStyle w:val="11"/>
            </w:pPr>
            <w:r>
              <w:t>17.27</w:t>
            </w:r>
          </w:p>
        </w:tc>
        <w:tc>
          <w:tcPr>
            <w:tcW w:w="1134" w:type="dxa"/>
            <w:vAlign w:val="center"/>
          </w:tcPr>
          <w:p>
            <w:pPr>
              <w:pStyle w:val="11"/>
            </w:pPr>
            <w:r>
              <w:t>17.27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317中共成安县委机构编制委员会办公室</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252.55</w:t>
            </w:r>
          </w:p>
        </w:tc>
        <w:tc>
          <w:tcPr>
            <w:tcW w:w="1361" w:type="dxa"/>
            <w:vAlign w:val="center"/>
          </w:tcPr>
          <w:p>
            <w:pPr>
              <w:pStyle w:val="15"/>
            </w:pPr>
            <w:r>
              <w:t>252.55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194.15</w:t>
            </w:r>
          </w:p>
        </w:tc>
        <w:tc>
          <w:tcPr>
            <w:tcW w:w="1361" w:type="dxa"/>
            <w:vAlign w:val="center"/>
          </w:tcPr>
          <w:p>
            <w:pPr>
              <w:pStyle w:val="11"/>
            </w:pPr>
            <w:r>
              <w:t>194.15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194.15</w:t>
            </w:r>
          </w:p>
        </w:tc>
        <w:tc>
          <w:tcPr>
            <w:tcW w:w="1361" w:type="dxa"/>
            <w:vAlign w:val="center"/>
          </w:tcPr>
          <w:p>
            <w:pPr>
              <w:pStyle w:val="11"/>
            </w:pPr>
            <w:r>
              <w:t>194.15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194.15</w:t>
            </w:r>
          </w:p>
        </w:tc>
        <w:tc>
          <w:tcPr>
            <w:tcW w:w="1361" w:type="dxa"/>
            <w:vAlign w:val="center"/>
          </w:tcPr>
          <w:p>
            <w:pPr>
              <w:pStyle w:val="11"/>
            </w:pPr>
            <w:r>
              <w:t>194.15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28.36</w:t>
            </w:r>
          </w:p>
        </w:tc>
        <w:tc>
          <w:tcPr>
            <w:tcW w:w="1361" w:type="dxa"/>
            <w:vAlign w:val="center"/>
          </w:tcPr>
          <w:p>
            <w:pPr>
              <w:pStyle w:val="11"/>
            </w:pPr>
            <w:r>
              <w:t>28.36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27.73</w:t>
            </w:r>
          </w:p>
        </w:tc>
        <w:tc>
          <w:tcPr>
            <w:tcW w:w="1361" w:type="dxa"/>
            <w:vAlign w:val="center"/>
          </w:tcPr>
          <w:p>
            <w:pPr>
              <w:pStyle w:val="11"/>
            </w:pPr>
            <w:r>
              <w:t>27.73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2.79</w:t>
            </w:r>
          </w:p>
        </w:tc>
        <w:tc>
          <w:tcPr>
            <w:tcW w:w="1361" w:type="dxa"/>
            <w:vAlign w:val="center"/>
          </w:tcPr>
          <w:p>
            <w:pPr>
              <w:pStyle w:val="11"/>
            </w:pPr>
            <w:r>
              <w:t>2.79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24.94</w:t>
            </w:r>
          </w:p>
        </w:tc>
        <w:tc>
          <w:tcPr>
            <w:tcW w:w="1361" w:type="dxa"/>
            <w:vAlign w:val="center"/>
          </w:tcPr>
          <w:p>
            <w:pPr>
              <w:pStyle w:val="11"/>
            </w:pPr>
            <w:r>
              <w:t>24.94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3"/>
            </w:pPr>
            <w:r>
              <w:t>9</w:t>
            </w:r>
          </w:p>
        </w:tc>
        <w:tc>
          <w:tcPr>
            <w:tcW w:w="992" w:type="dxa"/>
            <w:vAlign w:val="center"/>
          </w:tcPr>
          <w:p>
            <w:pPr>
              <w:pStyle w:val="12"/>
            </w:pPr>
            <w:r>
              <w:t>20827</w:t>
            </w:r>
          </w:p>
        </w:tc>
        <w:tc>
          <w:tcPr>
            <w:tcW w:w="4535" w:type="dxa"/>
            <w:vAlign w:val="center"/>
          </w:tcPr>
          <w:p>
            <w:pPr>
              <w:pStyle w:val="12"/>
            </w:pPr>
            <w:r>
              <w:t>财政对其他社会保险基金的补助</w:t>
            </w:r>
          </w:p>
        </w:tc>
        <w:tc>
          <w:tcPr>
            <w:tcW w:w="1361" w:type="dxa"/>
            <w:vAlign w:val="center"/>
          </w:tcPr>
          <w:p>
            <w:pPr>
              <w:pStyle w:val="11"/>
            </w:pPr>
            <w:r>
              <w:t>0.63</w:t>
            </w:r>
          </w:p>
        </w:tc>
        <w:tc>
          <w:tcPr>
            <w:tcW w:w="1361" w:type="dxa"/>
            <w:vAlign w:val="center"/>
          </w:tcPr>
          <w:p>
            <w:pPr>
              <w:pStyle w:val="11"/>
            </w:pPr>
            <w:r>
              <w:t>0.63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3"/>
            </w:pPr>
            <w:r>
              <w:t>10</w:t>
            </w:r>
          </w:p>
        </w:tc>
        <w:tc>
          <w:tcPr>
            <w:tcW w:w="992" w:type="dxa"/>
            <w:vAlign w:val="center"/>
          </w:tcPr>
          <w:p>
            <w:pPr>
              <w:pStyle w:val="12"/>
            </w:pPr>
            <w:r>
              <w:t>2082702</w:t>
            </w:r>
          </w:p>
        </w:tc>
        <w:tc>
          <w:tcPr>
            <w:tcW w:w="4535" w:type="dxa"/>
            <w:vAlign w:val="center"/>
          </w:tcPr>
          <w:p>
            <w:pPr>
              <w:pStyle w:val="12"/>
            </w:pPr>
            <w:r>
              <w:t>财政对工伤保险基金的补助</w:t>
            </w:r>
          </w:p>
        </w:tc>
        <w:tc>
          <w:tcPr>
            <w:tcW w:w="1361" w:type="dxa"/>
            <w:vAlign w:val="center"/>
          </w:tcPr>
          <w:p>
            <w:pPr>
              <w:pStyle w:val="11"/>
            </w:pPr>
            <w:r>
              <w:t>0.63</w:t>
            </w:r>
          </w:p>
        </w:tc>
        <w:tc>
          <w:tcPr>
            <w:tcW w:w="1361" w:type="dxa"/>
            <w:vAlign w:val="center"/>
          </w:tcPr>
          <w:p>
            <w:pPr>
              <w:pStyle w:val="11"/>
            </w:pPr>
            <w:r>
              <w:t>0.63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3"/>
            </w:pPr>
            <w:r>
              <w:t>11</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12.77</w:t>
            </w:r>
          </w:p>
        </w:tc>
        <w:tc>
          <w:tcPr>
            <w:tcW w:w="1361" w:type="dxa"/>
            <w:vAlign w:val="center"/>
          </w:tcPr>
          <w:p>
            <w:pPr>
              <w:pStyle w:val="11"/>
            </w:pPr>
            <w:r>
              <w:t>12.77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0.14</w:t>
            </w:r>
          </w:p>
        </w:tc>
        <w:tc>
          <w:tcPr>
            <w:tcW w:w="1361" w:type="dxa"/>
            <w:vAlign w:val="center"/>
          </w:tcPr>
          <w:p>
            <w:pPr>
              <w:pStyle w:val="11"/>
            </w:pPr>
            <w:r>
              <w:t>0.14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2101199</w:t>
            </w:r>
          </w:p>
        </w:tc>
        <w:tc>
          <w:tcPr>
            <w:tcW w:w="4535" w:type="dxa"/>
            <w:vAlign w:val="center"/>
          </w:tcPr>
          <w:p>
            <w:pPr>
              <w:pStyle w:val="12"/>
            </w:pPr>
            <w:r>
              <w:t>其他行政事业单位医疗支出</w:t>
            </w:r>
          </w:p>
        </w:tc>
        <w:tc>
          <w:tcPr>
            <w:tcW w:w="1361" w:type="dxa"/>
            <w:vAlign w:val="center"/>
          </w:tcPr>
          <w:p>
            <w:pPr>
              <w:pStyle w:val="11"/>
            </w:pPr>
            <w:r>
              <w:t>0.14</w:t>
            </w:r>
          </w:p>
        </w:tc>
        <w:tc>
          <w:tcPr>
            <w:tcW w:w="1361" w:type="dxa"/>
            <w:vAlign w:val="center"/>
          </w:tcPr>
          <w:p>
            <w:pPr>
              <w:pStyle w:val="11"/>
            </w:pPr>
            <w:r>
              <w:t>0.14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21012</w:t>
            </w:r>
          </w:p>
        </w:tc>
        <w:tc>
          <w:tcPr>
            <w:tcW w:w="4535" w:type="dxa"/>
            <w:vAlign w:val="center"/>
          </w:tcPr>
          <w:p>
            <w:pPr>
              <w:pStyle w:val="12"/>
            </w:pPr>
            <w:r>
              <w:t>财政对基本医疗保险基金的补助</w:t>
            </w:r>
          </w:p>
        </w:tc>
        <w:tc>
          <w:tcPr>
            <w:tcW w:w="1361" w:type="dxa"/>
            <w:vAlign w:val="center"/>
          </w:tcPr>
          <w:p>
            <w:pPr>
              <w:pStyle w:val="11"/>
            </w:pPr>
            <w:r>
              <w:t>12.63</w:t>
            </w:r>
          </w:p>
        </w:tc>
        <w:tc>
          <w:tcPr>
            <w:tcW w:w="1361" w:type="dxa"/>
            <w:vAlign w:val="center"/>
          </w:tcPr>
          <w:p>
            <w:pPr>
              <w:pStyle w:val="11"/>
            </w:pPr>
            <w:r>
              <w:t>12.63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2101201</w:t>
            </w:r>
          </w:p>
        </w:tc>
        <w:tc>
          <w:tcPr>
            <w:tcW w:w="4535" w:type="dxa"/>
            <w:vAlign w:val="center"/>
          </w:tcPr>
          <w:p>
            <w:pPr>
              <w:pStyle w:val="12"/>
            </w:pPr>
            <w:r>
              <w:t>财政对职工基本医疗保险基金的补助</w:t>
            </w:r>
          </w:p>
        </w:tc>
        <w:tc>
          <w:tcPr>
            <w:tcW w:w="1361" w:type="dxa"/>
            <w:vAlign w:val="center"/>
          </w:tcPr>
          <w:p>
            <w:pPr>
              <w:pStyle w:val="11"/>
            </w:pPr>
            <w:r>
              <w:t>12.63</w:t>
            </w:r>
          </w:p>
        </w:tc>
        <w:tc>
          <w:tcPr>
            <w:tcW w:w="1361" w:type="dxa"/>
            <w:vAlign w:val="center"/>
          </w:tcPr>
          <w:p>
            <w:pPr>
              <w:pStyle w:val="11"/>
            </w:pPr>
            <w:r>
              <w:t>12.63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17.27</w:t>
            </w:r>
          </w:p>
        </w:tc>
        <w:tc>
          <w:tcPr>
            <w:tcW w:w="1361" w:type="dxa"/>
            <w:vAlign w:val="center"/>
          </w:tcPr>
          <w:p>
            <w:pPr>
              <w:pStyle w:val="11"/>
            </w:pPr>
            <w:r>
              <w:t>17.27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17.27</w:t>
            </w:r>
          </w:p>
        </w:tc>
        <w:tc>
          <w:tcPr>
            <w:tcW w:w="1361" w:type="dxa"/>
            <w:vAlign w:val="center"/>
          </w:tcPr>
          <w:p>
            <w:pPr>
              <w:pStyle w:val="11"/>
            </w:pPr>
            <w:r>
              <w:t>17.27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3"/>
            </w:pPr>
            <w:r>
              <w:t>18</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17.27</w:t>
            </w:r>
          </w:p>
        </w:tc>
        <w:tc>
          <w:tcPr>
            <w:tcW w:w="1361" w:type="dxa"/>
            <w:vAlign w:val="center"/>
          </w:tcPr>
          <w:p>
            <w:pPr>
              <w:pStyle w:val="11"/>
            </w:pPr>
            <w:r>
              <w:t>17.27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317中共成安县委机构编制委员会办公室</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252.55</w:t>
            </w:r>
          </w:p>
        </w:tc>
        <w:tc>
          <w:tcPr>
            <w:tcW w:w="3402" w:type="dxa"/>
            <w:vAlign w:val="center"/>
          </w:tcPr>
          <w:p>
            <w:pPr>
              <w:pStyle w:val="12"/>
            </w:pPr>
            <w:r>
              <w:t>一、一般公共服务支出</w:t>
            </w:r>
          </w:p>
        </w:tc>
        <w:tc>
          <w:tcPr>
            <w:tcW w:w="1474" w:type="dxa"/>
            <w:vAlign w:val="center"/>
          </w:tcPr>
          <w:p>
            <w:pPr>
              <w:pStyle w:val="11"/>
            </w:pPr>
            <w:r>
              <w:t>194.15</w:t>
            </w:r>
          </w:p>
        </w:tc>
        <w:tc>
          <w:tcPr>
            <w:tcW w:w="1474" w:type="dxa"/>
            <w:vAlign w:val="center"/>
          </w:tcPr>
          <w:p>
            <w:pPr>
              <w:pStyle w:val="11"/>
            </w:pPr>
            <w:r>
              <w:t>194.15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28.36</w:t>
            </w:r>
          </w:p>
        </w:tc>
        <w:tc>
          <w:tcPr>
            <w:tcW w:w="1474" w:type="dxa"/>
            <w:vAlign w:val="center"/>
          </w:tcPr>
          <w:p>
            <w:pPr>
              <w:pStyle w:val="11"/>
            </w:pPr>
            <w:r>
              <w:t>28.36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12.77</w:t>
            </w:r>
          </w:p>
        </w:tc>
        <w:tc>
          <w:tcPr>
            <w:tcW w:w="1474" w:type="dxa"/>
            <w:vAlign w:val="center"/>
          </w:tcPr>
          <w:p>
            <w:pPr>
              <w:pStyle w:val="11"/>
            </w:pPr>
            <w:r>
              <w:t>12.77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17.27</w:t>
            </w:r>
          </w:p>
        </w:tc>
        <w:tc>
          <w:tcPr>
            <w:tcW w:w="1474" w:type="dxa"/>
            <w:vAlign w:val="center"/>
          </w:tcPr>
          <w:p>
            <w:pPr>
              <w:pStyle w:val="11"/>
            </w:pPr>
            <w:r>
              <w:t>17.27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252.55</w:t>
            </w:r>
          </w:p>
        </w:tc>
        <w:tc>
          <w:tcPr>
            <w:tcW w:w="3402" w:type="dxa"/>
            <w:vAlign w:val="center"/>
          </w:tcPr>
          <w:p>
            <w:pPr>
              <w:pStyle w:val="14"/>
            </w:pPr>
            <w:r>
              <w:t>本年支出合计</w:t>
            </w:r>
          </w:p>
        </w:tc>
        <w:tc>
          <w:tcPr>
            <w:tcW w:w="1474" w:type="dxa"/>
            <w:vAlign w:val="center"/>
          </w:tcPr>
          <w:p>
            <w:pPr>
              <w:pStyle w:val="15"/>
            </w:pPr>
            <w:r>
              <w:t>252.55</w:t>
            </w:r>
          </w:p>
        </w:tc>
        <w:tc>
          <w:tcPr>
            <w:tcW w:w="1474" w:type="dxa"/>
            <w:vAlign w:val="center"/>
          </w:tcPr>
          <w:p>
            <w:pPr>
              <w:pStyle w:val="15"/>
            </w:pPr>
            <w:r>
              <w:t>252.55</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252.55</w:t>
            </w:r>
          </w:p>
        </w:tc>
        <w:tc>
          <w:tcPr>
            <w:tcW w:w="3402" w:type="dxa"/>
            <w:vAlign w:val="center"/>
          </w:tcPr>
          <w:p>
            <w:pPr>
              <w:pStyle w:val="14"/>
            </w:pPr>
            <w:r>
              <w:t>支出总计</w:t>
            </w:r>
          </w:p>
        </w:tc>
        <w:tc>
          <w:tcPr>
            <w:tcW w:w="1474" w:type="dxa"/>
            <w:vAlign w:val="center"/>
          </w:tcPr>
          <w:p>
            <w:pPr>
              <w:pStyle w:val="15"/>
            </w:pPr>
            <w:r>
              <w:t>252.55</w:t>
            </w:r>
          </w:p>
        </w:tc>
        <w:tc>
          <w:tcPr>
            <w:tcW w:w="1474" w:type="dxa"/>
            <w:vAlign w:val="center"/>
          </w:tcPr>
          <w:p>
            <w:pPr>
              <w:pStyle w:val="15"/>
            </w:pPr>
            <w:r>
              <w:t>252.55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317中共成安县委机构编制委员会办公室</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252.55</w:t>
            </w:r>
          </w:p>
        </w:tc>
        <w:tc>
          <w:tcPr>
            <w:tcW w:w="2551" w:type="dxa"/>
            <w:vAlign w:val="center"/>
          </w:tcPr>
          <w:p>
            <w:pPr>
              <w:pStyle w:val="15"/>
            </w:pPr>
            <w:r>
              <w:t>252.55</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194.15</w:t>
            </w:r>
          </w:p>
        </w:tc>
        <w:tc>
          <w:tcPr>
            <w:tcW w:w="2551" w:type="dxa"/>
            <w:vAlign w:val="center"/>
          </w:tcPr>
          <w:p>
            <w:pPr>
              <w:pStyle w:val="11"/>
            </w:pPr>
            <w:r>
              <w:t>194.15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194.15</w:t>
            </w:r>
          </w:p>
        </w:tc>
        <w:tc>
          <w:tcPr>
            <w:tcW w:w="2551" w:type="dxa"/>
            <w:vAlign w:val="center"/>
          </w:tcPr>
          <w:p>
            <w:pPr>
              <w:pStyle w:val="11"/>
            </w:pPr>
            <w:r>
              <w:t>194.15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194.15</w:t>
            </w:r>
          </w:p>
        </w:tc>
        <w:tc>
          <w:tcPr>
            <w:tcW w:w="2551" w:type="dxa"/>
            <w:vAlign w:val="center"/>
          </w:tcPr>
          <w:p>
            <w:pPr>
              <w:pStyle w:val="11"/>
            </w:pPr>
            <w:r>
              <w:t>194.15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28.36</w:t>
            </w:r>
          </w:p>
        </w:tc>
        <w:tc>
          <w:tcPr>
            <w:tcW w:w="2551" w:type="dxa"/>
            <w:vAlign w:val="center"/>
          </w:tcPr>
          <w:p>
            <w:pPr>
              <w:pStyle w:val="11"/>
            </w:pPr>
            <w:r>
              <w:t>28.36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27.73</w:t>
            </w:r>
          </w:p>
        </w:tc>
        <w:tc>
          <w:tcPr>
            <w:tcW w:w="2551" w:type="dxa"/>
            <w:vAlign w:val="center"/>
          </w:tcPr>
          <w:p>
            <w:pPr>
              <w:pStyle w:val="11"/>
            </w:pPr>
            <w:r>
              <w:t>27.73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2.79</w:t>
            </w:r>
          </w:p>
        </w:tc>
        <w:tc>
          <w:tcPr>
            <w:tcW w:w="2551" w:type="dxa"/>
            <w:vAlign w:val="center"/>
          </w:tcPr>
          <w:p>
            <w:pPr>
              <w:pStyle w:val="11"/>
            </w:pPr>
            <w:r>
              <w:t>2.79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24.94</w:t>
            </w:r>
          </w:p>
        </w:tc>
        <w:tc>
          <w:tcPr>
            <w:tcW w:w="2551" w:type="dxa"/>
            <w:vAlign w:val="center"/>
          </w:tcPr>
          <w:p>
            <w:pPr>
              <w:pStyle w:val="11"/>
            </w:pPr>
            <w:r>
              <w:t>24.94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20827</w:t>
            </w:r>
          </w:p>
        </w:tc>
        <w:tc>
          <w:tcPr>
            <w:tcW w:w="4535" w:type="dxa"/>
            <w:vAlign w:val="center"/>
          </w:tcPr>
          <w:p>
            <w:pPr>
              <w:pStyle w:val="12"/>
            </w:pPr>
            <w:r>
              <w:t>财政对其他社会保险基金的补助</w:t>
            </w:r>
          </w:p>
        </w:tc>
        <w:tc>
          <w:tcPr>
            <w:tcW w:w="2551" w:type="dxa"/>
            <w:vAlign w:val="center"/>
          </w:tcPr>
          <w:p>
            <w:pPr>
              <w:pStyle w:val="11"/>
            </w:pPr>
            <w:r>
              <w:t>0.63</w:t>
            </w:r>
          </w:p>
        </w:tc>
        <w:tc>
          <w:tcPr>
            <w:tcW w:w="2551" w:type="dxa"/>
            <w:vAlign w:val="center"/>
          </w:tcPr>
          <w:p>
            <w:pPr>
              <w:pStyle w:val="11"/>
            </w:pPr>
            <w:r>
              <w:t>0.63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2082702</w:t>
            </w:r>
          </w:p>
        </w:tc>
        <w:tc>
          <w:tcPr>
            <w:tcW w:w="4535" w:type="dxa"/>
            <w:vAlign w:val="center"/>
          </w:tcPr>
          <w:p>
            <w:pPr>
              <w:pStyle w:val="12"/>
            </w:pPr>
            <w:r>
              <w:t>财政对工伤保险基金的补助</w:t>
            </w:r>
          </w:p>
        </w:tc>
        <w:tc>
          <w:tcPr>
            <w:tcW w:w="2551" w:type="dxa"/>
            <w:vAlign w:val="center"/>
          </w:tcPr>
          <w:p>
            <w:pPr>
              <w:pStyle w:val="11"/>
            </w:pPr>
            <w:r>
              <w:t>0.63</w:t>
            </w:r>
          </w:p>
        </w:tc>
        <w:tc>
          <w:tcPr>
            <w:tcW w:w="2551" w:type="dxa"/>
            <w:vAlign w:val="center"/>
          </w:tcPr>
          <w:p>
            <w:pPr>
              <w:pStyle w:val="11"/>
            </w:pPr>
            <w:r>
              <w:t>0.63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12.77</w:t>
            </w:r>
          </w:p>
        </w:tc>
        <w:tc>
          <w:tcPr>
            <w:tcW w:w="2551" w:type="dxa"/>
            <w:vAlign w:val="center"/>
          </w:tcPr>
          <w:p>
            <w:pPr>
              <w:pStyle w:val="11"/>
            </w:pPr>
            <w:r>
              <w:t>12.77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0.14</w:t>
            </w:r>
          </w:p>
        </w:tc>
        <w:tc>
          <w:tcPr>
            <w:tcW w:w="2551" w:type="dxa"/>
            <w:vAlign w:val="center"/>
          </w:tcPr>
          <w:p>
            <w:pPr>
              <w:pStyle w:val="11"/>
            </w:pPr>
            <w:r>
              <w:t>0.14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2101199</w:t>
            </w:r>
          </w:p>
        </w:tc>
        <w:tc>
          <w:tcPr>
            <w:tcW w:w="4535" w:type="dxa"/>
            <w:vAlign w:val="center"/>
          </w:tcPr>
          <w:p>
            <w:pPr>
              <w:pStyle w:val="12"/>
            </w:pPr>
            <w:r>
              <w:t>其他行政事业单位医疗支出</w:t>
            </w:r>
          </w:p>
        </w:tc>
        <w:tc>
          <w:tcPr>
            <w:tcW w:w="2551" w:type="dxa"/>
            <w:vAlign w:val="center"/>
          </w:tcPr>
          <w:p>
            <w:pPr>
              <w:pStyle w:val="11"/>
            </w:pPr>
            <w:r>
              <w:t>0.14</w:t>
            </w:r>
          </w:p>
        </w:tc>
        <w:tc>
          <w:tcPr>
            <w:tcW w:w="2551" w:type="dxa"/>
            <w:vAlign w:val="center"/>
          </w:tcPr>
          <w:p>
            <w:pPr>
              <w:pStyle w:val="11"/>
            </w:pPr>
            <w:r>
              <w:t>0.14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21012</w:t>
            </w:r>
          </w:p>
        </w:tc>
        <w:tc>
          <w:tcPr>
            <w:tcW w:w="4535" w:type="dxa"/>
            <w:vAlign w:val="center"/>
          </w:tcPr>
          <w:p>
            <w:pPr>
              <w:pStyle w:val="12"/>
            </w:pPr>
            <w:r>
              <w:t>财政对基本医疗保险基金的补助</w:t>
            </w:r>
          </w:p>
        </w:tc>
        <w:tc>
          <w:tcPr>
            <w:tcW w:w="2551" w:type="dxa"/>
            <w:vAlign w:val="center"/>
          </w:tcPr>
          <w:p>
            <w:pPr>
              <w:pStyle w:val="11"/>
            </w:pPr>
            <w:r>
              <w:t>12.63</w:t>
            </w:r>
          </w:p>
        </w:tc>
        <w:tc>
          <w:tcPr>
            <w:tcW w:w="2551" w:type="dxa"/>
            <w:vAlign w:val="center"/>
          </w:tcPr>
          <w:p>
            <w:pPr>
              <w:pStyle w:val="11"/>
            </w:pPr>
            <w:r>
              <w:t>12.63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2101201</w:t>
            </w:r>
          </w:p>
        </w:tc>
        <w:tc>
          <w:tcPr>
            <w:tcW w:w="4535" w:type="dxa"/>
            <w:vAlign w:val="center"/>
          </w:tcPr>
          <w:p>
            <w:pPr>
              <w:pStyle w:val="12"/>
            </w:pPr>
            <w:r>
              <w:t>财政对职工基本医疗保险基金的补助</w:t>
            </w:r>
          </w:p>
        </w:tc>
        <w:tc>
          <w:tcPr>
            <w:tcW w:w="2551" w:type="dxa"/>
            <w:vAlign w:val="center"/>
          </w:tcPr>
          <w:p>
            <w:pPr>
              <w:pStyle w:val="11"/>
            </w:pPr>
            <w:r>
              <w:t>12.63</w:t>
            </w:r>
          </w:p>
        </w:tc>
        <w:tc>
          <w:tcPr>
            <w:tcW w:w="2551" w:type="dxa"/>
            <w:vAlign w:val="center"/>
          </w:tcPr>
          <w:p>
            <w:pPr>
              <w:pStyle w:val="11"/>
            </w:pPr>
            <w:r>
              <w:t>12.63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17.27</w:t>
            </w:r>
          </w:p>
        </w:tc>
        <w:tc>
          <w:tcPr>
            <w:tcW w:w="2551" w:type="dxa"/>
            <w:vAlign w:val="center"/>
          </w:tcPr>
          <w:p>
            <w:pPr>
              <w:pStyle w:val="11"/>
            </w:pPr>
            <w:r>
              <w:t>17.27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17.27</w:t>
            </w:r>
          </w:p>
        </w:tc>
        <w:tc>
          <w:tcPr>
            <w:tcW w:w="2551" w:type="dxa"/>
            <w:vAlign w:val="center"/>
          </w:tcPr>
          <w:p>
            <w:pPr>
              <w:pStyle w:val="11"/>
            </w:pPr>
            <w:r>
              <w:t>17.27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17.27</w:t>
            </w:r>
          </w:p>
        </w:tc>
        <w:tc>
          <w:tcPr>
            <w:tcW w:w="2551" w:type="dxa"/>
            <w:vAlign w:val="center"/>
          </w:tcPr>
          <w:p>
            <w:pPr>
              <w:pStyle w:val="11"/>
            </w:pPr>
            <w:r>
              <w:t>17.27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317中共成安县委机构编制委员会办公室</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252.55</w:t>
            </w:r>
          </w:p>
        </w:tc>
        <w:tc>
          <w:tcPr>
            <w:tcW w:w="2551" w:type="dxa"/>
            <w:vAlign w:val="center"/>
          </w:tcPr>
          <w:p>
            <w:pPr>
              <w:pStyle w:val="15"/>
            </w:pPr>
            <w:r>
              <w:t>235.23</w:t>
            </w:r>
          </w:p>
        </w:tc>
        <w:tc>
          <w:tcPr>
            <w:tcW w:w="2551" w:type="dxa"/>
            <w:vAlign w:val="center"/>
          </w:tcPr>
          <w:p>
            <w:pPr>
              <w:pStyle w:val="15"/>
            </w:pPr>
            <w:r>
              <w:t>17.32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232.44</w:t>
            </w:r>
          </w:p>
        </w:tc>
        <w:tc>
          <w:tcPr>
            <w:tcW w:w="2551" w:type="dxa"/>
            <w:vAlign w:val="center"/>
          </w:tcPr>
          <w:p>
            <w:pPr>
              <w:pStyle w:val="11"/>
            </w:pPr>
            <w:r>
              <w:t>232.44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98.97</w:t>
            </w:r>
          </w:p>
        </w:tc>
        <w:tc>
          <w:tcPr>
            <w:tcW w:w="2551" w:type="dxa"/>
            <w:vAlign w:val="center"/>
          </w:tcPr>
          <w:p>
            <w:pPr>
              <w:pStyle w:val="11"/>
            </w:pPr>
            <w:r>
              <w:t>98.97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21.41</w:t>
            </w:r>
          </w:p>
        </w:tc>
        <w:tc>
          <w:tcPr>
            <w:tcW w:w="2551" w:type="dxa"/>
            <w:vAlign w:val="center"/>
          </w:tcPr>
          <w:p>
            <w:pPr>
              <w:pStyle w:val="11"/>
            </w:pPr>
            <w:r>
              <w:t>21.41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23.13</w:t>
            </w:r>
          </w:p>
        </w:tc>
        <w:tc>
          <w:tcPr>
            <w:tcW w:w="2551" w:type="dxa"/>
            <w:vAlign w:val="center"/>
          </w:tcPr>
          <w:p>
            <w:pPr>
              <w:pStyle w:val="11"/>
            </w:pPr>
            <w:r>
              <w:t>23.13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33.32</w:t>
            </w:r>
          </w:p>
        </w:tc>
        <w:tc>
          <w:tcPr>
            <w:tcW w:w="2551" w:type="dxa"/>
            <w:vAlign w:val="center"/>
          </w:tcPr>
          <w:p>
            <w:pPr>
              <w:pStyle w:val="11"/>
            </w:pPr>
            <w:r>
              <w:t>33.32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24.94</w:t>
            </w:r>
          </w:p>
        </w:tc>
        <w:tc>
          <w:tcPr>
            <w:tcW w:w="2551" w:type="dxa"/>
            <w:vAlign w:val="center"/>
          </w:tcPr>
          <w:p>
            <w:pPr>
              <w:pStyle w:val="11"/>
            </w:pPr>
            <w:r>
              <w:t>24.94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12.77</w:t>
            </w:r>
          </w:p>
        </w:tc>
        <w:tc>
          <w:tcPr>
            <w:tcW w:w="2551" w:type="dxa"/>
            <w:vAlign w:val="center"/>
          </w:tcPr>
          <w:p>
            <w:pPr>
              <w:pStyle w:val="11"/>
            </w:pPr>
            <w:r>
              <w:t>12.77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0.63</w:t>
            </w:r>
          </w:p>
        </w:tc>
        <w:tc>
          <w:tcPr>
            <w:tcW w:w="2551" w:type="dxa"/>
            <w:vAlign w:val="center"/>
          </w:tcPr>
          <w:p>
            <w:pPr>
              <w:pStyle w:val="11"/>
            </w:pPr>
            <w:r>
              <w:t>0.63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17.27</w:t>
            </w:r>
          </w:p>
        </w:tc>
        <w:tc>
          <w:tcPr>
            <w:tcW w:w="2551" w:type="dxa"/>
            <w:vAlign w:val="center"/>
          </w:tcPr>
          <w:p>
            <w:pPr>
              <w:pStyle w:val="11"/>
            </w:pPr>
            <w:r>
              <w:t>17.27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17.32</w:t>
            </w:r>
          </w:p>
        </w:tc>
        <w:tc>
          <w:tcPr>
            <w:tcW w:w="2551" w:type="dxa"/>
            <w:vAlign w:val="center"/>
          </w:tcPr>
          <w:p>
            <w:pPr>
              <w:pStyle w:val="11"/>
            </w:pPr>
          </w:p>
        </w:tc>
        <w:tc>
          <w:tcPr>
            <w:tcW w:w="2551" w:type="dxa"/>
            <w:vAlign w:val="center"/>
          </w:tcPr>
          <w:p>
            <w:pPr>
              <w:pStyle w:val="11"/>
            </w:pPr>
            <w:r>
              <w:t>17.32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7.32</w:t>
            </w:r>
          </w:p>
        </w:tc>
        <w:tc>
          <w:tcPr>
            <w:tcW w:w="2551" w:type="dxa"/>
            <w:vAlign w:val="center"/>
          </w:tcPr>
          <w:p>
            <w:pPr>
              <w:pStyle w:val="11"/>
            </w:pPr>
          </w:p>
        </w:tc>
        <w:tc>
          <w:tcPr>
            <w:tcW w:w="2551" w:type="dxa"/>
            <w:vAlign w:val="center"/>
          </w:tcPr>
          <w:p>
            <w:pPr>
              <w:pStyle w:val="11"/>
            </w:pPr>
            <w:r>
              <w:t>7.32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2.79</w:t>
            </w:r>
          </w:p>
        </w:tc>
        <w:tc>
          <w:tcPr>
            <w:tcW w:w="2551" w:type="dxa"/>
            <w:vAlign w:val="center"/>
          </w:tcPr>
          <w:p>
            <w:pPr>
              <w:pStyle w:val="11"/>
            </w:pPr>
            <w:r>
              <w:t>2.79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2.79</w:t>
            </w:r>
          </w:p>
        </w:tc>
        <w:tc>
          <w:tcPr>
            <w:tcW w:w="2551" w:type="dxa"/>
            <w:vAlign w:val="center"/>
          </w:tcPr>
          <w:p>
            <w:pPr>
              <w:pStyle w:val="11"/>
            </w:pPr>
            <w:r>
              <w:t>2.79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317中共成安县委机构编制委员会办公室</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317中共成安县委机构编制委员会办公室</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317中共成安县委机构编制委员会办公室</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pPr>
      <w:r>
        <w:rPr>
          <w:rFonts w:ascii="方正书宋_GBK" w:hAnsi="方正书宋_GBK" w:eastAsia="方正书宋_GBK" w:cs="方正书宋_GBK"/>
          <w:color w:val="000000"/>
          <w:sz w:val="21"/>
        </w:rPr>
        <w:t>注：无财政拨款“三公”经费支出预算，空表列示。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中共成安县委机构编制委员会办公室2025年部门预算信息公开情况说明</w:t>
      </w:r>
    </w:p>
    <w:p>
      <w:pPr>
        <w:jc w:val="center"/>
      </w:pPr>
      <w:r>
        <w:rPr>
          <w:rFonts w:ascii="方正小标宋_GBK" w:hAnsi="方正小标宋_GBK" w:eastAsia="方正小标宋_GBK" w:cs="方正小标宋_GBK"/>
          <w:color w:val="000000"/>
          <w:sz w:val="44"/>
        </w:rPr>
        <w:t>中共成安县委机构编制委员会办公室2025年部门预算信息公开情况说明</w:t>
      </w:r>
    </w:p>
    <w:p>
      <w:pPr>
        <w:keepNext w:val="0"/>
        <w:keepLines w:val="0"/>
        <w:pageBreakBefore w:val="0"/>
        <w:widowControl/>
        <w:kinsoku/>
        <w:wordWrap/>
        <w:overflowPunct/>
        <w:topLinePunct w:val="0"/>
        <w:autoSpaceDE/>
        <w:autoSpaceDN/>
        <w:bidi w:val="0"/>
        <w:adjustRightInd/>
        <w:snapToGrid/>
        <w:spacing w:line="579" w:lineRule="exact"/>
        <w:ind w:firstLine="560"/>
        <w:textAlignment w:val="auto"/>
        <w:rPr>
          <w:rFonts w:hint="eastAsia" w:ascii="仿宋_GB2312" w:hAnsi="仿宋_GB2312" w:eastAsia="仿宋_GB2312" w:cs="仿宋_GB2312"/>
        </w:rPr>
      </w:pPr>
      <w:r>
        <w:rPr>
          <w:rFonts w:hint="eastAsia" w:ascii="仿宋_GB2312" w:hAnsi="仿宋_GB2312" w:eastAsia="仿宋_GB2312" w:cs="仿宋_GB2312"/>
          <w:color w:val="000000"/>
          <w:sz w:val="28"/>
        </w:rPr>
        <w:t>按照《中华人民共和国预算法》、《地方预决算公开操作规程》和《关于进一步推进预算公开工作的实施意见》规定，现将中共成安县委机构编制委员会办公室2025年部门预算公开如下：</w:t>
      </w:r>
    </w:p>
    <w:p>
      <w:pPr>
        <w:keepNext w:val="0"/>
        <w:keepLines w:val="0"/>
        <w:pageBreakBefore w:val="0"/>
        <w:widowControl/>
        <w:numPr>
          <w:ilvl w:val="0"/>
          <w:numId w:val="1"/>
        </w:numPr>
        <w:kinsoku/>
        <w:wordWrap/>
        <w:overflowPunct/>
        <w:topLinePunct w:val="0"/>
        <w:autoSpaceDE/>
        <w:autoSpaceDN/>
        <w:bidi w:val="0"/>
        <w:adjustRightInd/>
        <w:snapToGrid/>
        <w:spacing w:before="10" w:after="10" w:line="579" w:lineRule="exact"/>
        <w:ind w:firstLine="640"/>
        <w:textAlignment w:val="auto"/>
        <w:outlineLvl w:val="2"/>
        <w:rPr>
          <w:rFonts w:ascii="黑体" w:hAnsi="黑体" w:eastAsia="黑体" w:cs="黑体"/>
          <w:color w:val="000000"/>
          <w:sz w:val="32"/>
        </w:rPr>
      </w:pPr>
      <w:bookmarkStart w:id="9" w:name="_Toc_3_3_0000000010"/>
      <w:r>
        <w:rPr>
          <w:rFonts w:ascii="黑体" w:hAnsi="黑体" w:eastAsia="黑体" w:cs="黑体"/>
          <w:color w:val="000000"/>
          <w:sz w:val="32"/>
        </w:rPr>
        <w:t>部门职责及机构设置情况</w:t>
      </w:r>
      <w:bookmarkEnd w:id="9"/>
    </w:p>
    <w:p>
      <w:pPr>
        <w:keepNext w:val="0"/>
        <w:keepLines w:val="0"/>
        <w:pageBreakBefore w:val="0"/>
        <w:widowControl/>
        <w:numPr>
          <w:numId w:val="0"/>
        </w:numPr>
        <w:kinsoku/>
        <w:wordWrap/>
        <w:overflowPunct/>
        <w:topLinePunct w:val="0"/>
        <w:autoSpaceDE/>
        <w:autoSpaceDN/>
        <w:bidi w:val="0"/>
        <w:adjustRightInd/>
        <w:snapToGrid/>
        <w:spacing w:before="10" w:after="10" w:line="579" w:lineRule="exact"/>
        <w:ind w:firstLine="562" w:firstLineChars="200"/>
        <w:textAlignment w:val="auto"/>
        <w:outlineLvl w:val="2"/>
        <w:rPr>
          <w:rFonts w:hint="eastAsia" w:ascii="仿宋_GB2312" w:hAnsi="仿宋_GB2312" w:eastAsia="仿宋_GB2312" w:cs="仿宋_GB2312"/>
          <w:color w:val="000000"/>
          <w:sz w:val="28"/>
        </w:rPr>
      </w:pPr>
      <w:r>
        <w:rPr>
          <w:rFonts w:hint="eastAsia" w:ascii="仿宋_GB2312" w:hAnsi="仿宋_GB2312" w:eastAsia="仿宋_GB2312" w:cs="仿宋_GB2312"/>
          <w:b/>
          <w:bCs/>
          <w:color w:val="000000"/>
          <w:sz w:val="28"/>
        </w:rPr>
        <w:t>部门职责</w:t>
      </w:r>
      <w:r>
        <w:rPr>
          <w:rFonts w:hint="eastAsia" w:ascii="仿宋_GB2312" w:hAnsi="仿宋_GB2312" w:eastAsia="仿宋_GB2312" w:cs="仿宋_GB2312"/>
          <w:color w:val="000000"/>
          <w:sz w:val="28"/>
        </w:rPr>
        <w:t>：中共成安县委机构编制委员会办公室是县委工作机构，属行政机构，列县委序列，在县委机构编制委员会的领导下负责全县行政管理体制改革、机构改革、机构编制日常管理、行政审批制度改革、机关和编办管理的群团统一社会信用代码赋码以及事业单位登记管理工作。</w:t>
      </w:r>
    </w:p>
    <w:p>
      <w:pPr>
        <w:keepNext w:val="0"/>
        <w:keepLines w:val="0"/>
        <w:pageBreakBefore w:val="0"/>
        <w:widowControl/>
        <w:kinsoku/>
        <w:wordWrap/>
        <w:overflowPunct/>
        <w:topLinePunct w:val="0"/>
        <w:autoSpaceDE/>
        <w:autoSpaceDN/>
        <w:bidi w:val="0"/>
        <w:adjustRightInd/>
        <w:snapToGrid/>
        <w:spacing w:line="579" w:lineRule="exact"/>
        <w:ind w:firstLine="560"/>
        <w:textAlignment w:val="auto"/>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中共成安县委机构编制委员会办公室，预算编码是317，3个</w:t>
      </w:r>
      <w:r>
        <w:rPr>
          <w:rFonts w:hint="eastAsia" w:ascii="仿宋_GB2312" w:hAnsi="仿宋_GB2312" w:eastAsia="仿宋_GB2312" w:cs="仿宋_GB2312"/>
          <w:color w:val="000000"/>
          <w:sz w:val="28"/>
          <w:lang w:val="en-US" w:eastAsia="zh-CN"/>
        </w:rPr>
        <w:t>内设</w:t>
      </w:r>
      <w:r>
        <w:rPr>
          <w:rFonts w:hint="eastAsia" w:ascii="仿宋_GB2312" w:hAnsi="仿宋_GB2312" w:eastAsia="仿宋_GB2312" w:cs="仿宋_GB2312"/>
          <w:color w:val="000000"/>
          <w:sz w:val="28"/>
        </w:rPr>
        <w:t>机构。</w:t>
      </w:r>
    </w:p>
    <w:p>
      <w:pPr>
        <w:keepNext w:val="0"/>
        <w:keepLines w:val="0"/>
        <w:pageBreakBefore w:val="0"/>
        <w:widowControl/>
        <w:kinsoku/>
        <w:wordWrap/>
        <w:overflowPunct/>
        <w:topLinePunct w:val="0"/>
        <w:autoSpaceDE/>
        <w:autoSpaceDN/>
        <w:bidi w:val="0"/>
        <w:adjustRightInd/>
        <w:snapToGrid/>
        <w:spacing w:line="579" w:lineRule="exact"/>
        <w:ind w:firstLine="560"/>
        <w:textAlignment w:val="auto"/>
        <w:rPr>
          <w:rFonts w:hint="eastAsia" w:ascii="楷体_GB2312" w:hAnsi="楷体_GB2312" w:eastAsia="楷体_GB2312" w:cs="楷体_GB2312"/>
          <w:b/>
          <w:bCs/>
          <w:color w:val="000000"/>
          <w:sz w:val="28"/>
        </w:rPr>
      </w:pPr>
      <w:r>
        <w:rPr>
          <w:rFonts w:hint="eastAsia" w:ascii="楷体_GB2312" w:hAnsi="楷体_GB2312" w:eastAsia="楷体_GB2312" w:cs="楷体_GB2312"/>
          <w:b/>
          <w:bCs/>
          <w:color w:val="000000"/>
          <w:sz w:val="28"/>
        </w:rPr>
        <w:t>1、综合股</w:t>
      </w:r>
    </w:p>
    <w:p>
      <w:pPr>
        <w:keepNext w:val="0"/>
        <w:keepLines w:val="0"/>
        <w:pageBreakBefore w:val="0"/>
        <w:widowControl/>
        <w:kinsoku/>
        <w:wordWrap/>
        <w:overflowPunct/>
        <w:topLinePunct w:val="0"/>
        <w:autoSpaceDE/>
        <w:autoSpaceDN/>
        <w:bidi w:val="0"/>
        <w:adjustRightInd/>
        <w:snapToGrid/>
        <w:spacing w:line="579" w:lineRule="exact"/>
        <w:ind w:firstLine="560"/>
        <w:textAlignment w:val="auto"/>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主要负责：机关文电、会务、保密机要、档案、财务、后勤等机关日常运转和宣传、信息、安全、提案、信访等工作；承担机关政务公开和新闻发布、新闻应急工作；负责起草综合性文件；组织重大和全局性调查研究；管理全县行政编制、政法专项编制和事业编制总额，协调有关股室提出对编制总额分配、调整的意见；负责县直机关各单位和事业单位《机构编制管理证》登记管理，股级领导职数审核；组织机构编制核查工作；负责机构编制实名制管理工作；负责县直机关事业单位编制使用核准；审核机关事业单位军转干部编制事宜；指导机构编制信息化建设和统计工作；指导全县党政机关、事业单位和其他非营利性单位网上名称管理工作；拟订机关和所属单位内部管理规章制度；负责综合协调、督促检查等工作。</w:t>
      </w:r>
    </w:p>
    <w:p>
      <w:pPr>
        <w:keepNext w:val="0"/>
        <w:keepLines w:val="0"/>
        <w:pageBreakBefore w:val="0"/>
        <w:widowControl/>
        <w:kinsoku/>
        <w:wordWrap/>
        <w:overflowPunct/>
        <w:topLinePunct w:val="0"/>
        <w:autoSpaceDE/>
        <w:autoSpaceDN/>
        <w:bidi w:val="0"/>
        <w:adjustRightInd/>
        <w:snapToGrid/>
        <w:spacing w:line="579" w:lineRule="exact"/>
        <w:ind w:firstLine="560"/>
        <w:textAlignment w:val="auto"/>
        <w:rPr>
          <w:rFonts w:hint="eastAsia" w:ascii="楷体_GB2312" w:hAnsi="楷体_GB2312" w:eastAsia="楷体_GB2312" w:cs="楷体_GB2312"/>
          <w:b/>
          <w:bCs/>
          <w:color w:val="000000"/>
          <w:sz w:val="28"/>
        </w:rPr>
      </w:pPr>
      <w:r>
        <w:rPr>
          <w:rFonts w:hint="eastAsia" w:ascii="楷体_GB2312" w:hAnsi="楷体_GB2312" w:eastAsia="楷体_GB2312" w:cs="楷体_GB2312"/>
          <w:b/>
          <w:bCs/>
          <w:color w:val="000000"/>
          <w:sz w:val="28"/>
        </w:rPr>
        <w:t>2、机构编制股</w:t>
      </w:r>
    </w:p>
    <w:p>
      <w:pPr>
        <w:keepNext w:val="0"/>
        <w:keepLines w:val="0"/>
        <w:pageBreakBefore w:val="0"/>
        <w:widowControl/>
        <w:kinsoku/>
        <w:wordWrap/>
        <w:overflowPunct/>
        <w:topLinePunct w:val="0"/>
        <w:autoSpaceDE/>
        <w:autoSpaceDN/>
        <w:bidi w:val="0"/>
        <w:adjustRightInd/>
        <w:snapToGrid/>
        <w:spacing w:line="579" w:lineRule="exact"/>
        <w:ind w:firstLine="560"/>
        <w:textAlignment w:val="auto"/>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主要负责：监督实施全县行政管理体制改革的政策和地方性法规；研究行政管理体制改革的重大问题，指导全县行政管理体制改革；负责行政执法体制改革工作；负责县开发区（园区）行政管理体制和机构设置工作；协调推进机构编制科学化、规范化、法制化建设；承担有关规范性文件的合法性审核和法律法规政策征求意见的回复工作；参与综合性文件的起草；承办有关行政复议和行政应诉工作，负责机关和所属事业单位法制化建设有关工作；负责机构编制研究工作；负责县委各单位职责分工与职能调整；负责县纪委监察委机关及其派驻纪检监察组、县委各单位、县人大机关、县政协机关、县政法机关、县级人民团体机关机构改革意见的拟订、“三定”规定的审核和机构编制管理工作；负责提出市委编办下达的政法专项编制分配使用。</w:t>
      </w:r>
    </w:p>
    <w:p>
      <w:pPr>
        <w:keepNext w:val="0"/>
        <w:keepLines w:val="0"/>
        <w:pageBreakBefore w:val="0"/>
        <w:widowControl/>
        <w:kinsoku/>
        <w:wordWrap/>
        <w:overflowPunct/>
        <w:topLinePunct w:val="0"/>
        <w:autoSpaceDE/>
        <w:autoSpaceDN/>
        <w:bidi w:val="0"/>
        <w:adjustRightInd/>
        <w:snapToGrid/>
        <w:spacing w:line="579" w:lineRule="exact"/>
        <w:ind w:firstLine="560"/>
        <w:textAlignment w:val="auto"/>
        <w:rPr>
          <w:rFonts w:hint="eastAsia" w:ascii="楷体_GB2312" w:hAnsi="楷体_GB2312" w:eastAsia="楷体_GB2312" w:cs="楷体_GB2312"/>
          <w:b/>
          <w:bCs/>
          <w:color w:val="000000"/>
          <w:sz w:val="28"/>
        </w:rPr>
      </w:pPr>
      <w:r>
        <w:rPr>
          <w:rFonts w:hint="eastAsia" w:ascii="楷体_GB2312" w:hAnsi="楷体_GB2312" w:eastAsia="楷体_GB2312" w:cs="楷体_GB2312"/>
          <w:b/>
          <w:bCs/>
          <w:color w:val="000000"/>
          <w:sz w:val="28"/>
        </w:rPr>
        <w:t>3、事业单位登记管理股（成安县事业单位登记管理局）</w:t>
      </w:r>
    </w:p>
    <w:p>
      <w:pPr>
        <w:keepNext w:val="0"/>
        <w:keepLines w:val="0"/>
        <w:pageBreakBefore w:val="0"/>
        <w:widowControl/>
        <w:kinsoku/>
        <w:wordWrap/>
        <w:overflowPunct/>
        <w:topLinePunct w:val="0"/>
        <w:autoSpaceDE/>
        <w:autoSpaceDN/>
        <w:bidi w:val="0"/>
        <w:adjustRightInd/>
        <w:snapToGrid/>
        <w:spacing w:line="579" w:lineRule="exact"/>
        <w:ind w:firstLine="560"/>
        <w:textAlignment w:val="auto"/>
        <w:rPr>
          <w:rFonts w:hint="eastAsia" w:ascii="仿宋_GB2312" w:hAnsi="仿宋_GB2312" w:eastAsia="仿宋_GB2312" w:cs="仿宋_GB2312"/>
          <w:lang w:eastAsia="zh-CN"/>
        </w:rPr>
      </w:pPr>
      <w:r>
        <w:rPr>
          <w:rFonts w:hint="eastAsia" w:ascii="仿宋_GB2312" w:hAnsi="仿宋_GB2312" w:eastAsia="仿宋_GB2312" w:cs="仿宋_GB2312"/>
          <w:color w:val="000000"/>
          <w:sz w:val="28"/>
        </w:rPr>
        <w:t>主要负责：指导监督事业单位贯彻落实《事业单位登记管理暂行条例》和《实施细则》，依法查处违反事业单位登记管理规定的行为；负责本县管辖范围内和市事业单位登记管理机关授权的事业单位登记管理工作；负责组织实施事业单位法人年度报告公开和法人治理结构工作；组织实施全县事业单位网上登记管理系统和信息管理工作；开展有关事业单位登记管理信息的社会服务；承担县直机关和群团统一社会信用代码赋码证书发放和管理工作</w:t>
      </w:r>
      <w:r>
        <w:rPr>
          <w:rFonts w:hint="eastAsia" w:ascii="仿宋_GB2312" w:hAnsi="仿宋_GB2312" w:eastAsia="仿宋_GB2312" w:cs="仿宋_GB2312"/>
          <w:color w:val="000000"/>
          <w:sz w:val="28"/>
          <w:lang w:eastAsia="zh-CN"/>
        </w:rPr>
        <w:t>。</w:t>
      </w:r>
    </w:p>
    <w:p>
      <w:pPr>
        <w:pStyle w:val="17"/>
      </w:pPr>
    </w:p>
    <w:p>
      <w:pPr>
        <w:ind w:firstLine="640"/>
      </w:pPr>
      <w:r>
        <w:rPr>
          <w:rFonts w:hint="eastAsia" w:ascii="楷体_GB2312" w:hAnsi="楷体_GB2312" w:eastAsia="楷体_GB2312" w:cs="楷体_GB2312"/>
          <w:b/>
          <w:color w:val="000000"/>
          <w:sz w:val="32"/>
        </w:rPr>
        <w:t>机构设置</w:t>
      </w:r>
      <w:r>
        <w:rPr>
          <w:rFonts w:ascii="方正楷体_GBK" w:hAnsi="方正楷体_GBK" w:eastAsia="方正楷体_GBK" w:cs="方正楷体_GBK"/>
          <w:b/>
          <w:color w:val="000000"/>
          <w:sz w:val="32"/>
        </w:rPr>
        <w:t>：</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中共成安县委机构编制委员会办公室(本级)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keepNext w:val="0"/>
        <w:keepLines w:val="0"/>
        <w:pageBreakBefore w:val="0"/>
        <w:widowControl/>
        <w:kinsoku/>
        <w:wordWrap/>
        <w:overflowPunct/>
        <w:topLinePunct w:val="0"/>
        <w:autoSpaceDE/>
        <w:autoSpaceDN/>
        <w:bidi w:val="0"/>
        <w:adjustRightInd/>
        <w:snapToGrid/>
        <w:spacing w:before="10" w:after="10" w:line="579" w:lineRule="exact"/>
        <w:ind w:firstLine="640"/>
        <w:textAlignment w:val="auto"/>
        <w:outlineLvl w:val="2"/>
      </w:pPr>
      <w:bookmarkStart w:id="10" w:name="_Toc_3_3_0000000011"/>
      <w:r>
        <w:rPr>
          <w:rFonts w:ascii="黑体" w:hAnsi="黑体" w:eastAsia="黑体" w:cs="黑体"/>
          <w:color w:val="000000"/>
          <w:sz w:val="32"/>
        </w:rPr>
        <w:t>二、部门预算安排的总体情况</w:t>
      </w:r>
      <w:bookmarkEnd w:id="10"/>
    </w:p>
    <w:p>
      <w:pPr>
        <w:keepNext w:val="0"/>
        <w:keepLines w:val="0"/>
        <w:pageBreakBefore w:val="0"/>
        <w:widowControl/>
        <w:numPr>
          <w:ilvl w:val="0"/>
          <w:numId w:val="0"/>
        </w:numPr>
        <w:kinsoku/>
        <w:wordWrap/>
        <w:overflowPunct/>
        <w:topLinePunct w:val="0"/>
        <w:autoSpaceDE/>
        <w:autoSpaceDN/>
        <w:bidi w:val="0"/>
        <w:adjustRightInd/>
        <w:snapToGrid/>
        <w:spacing w:before="10" w:after="10" w:line="579" w:lineRule="exact"/>
        <w:ind w:firstLine="560" w:firstLineChars="200"/>
        <w:textAlignment w:val="auto"/>
        <w:outlineLvl w:val="2"/>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按照预算管理有关规定，目前我</w:t>
      </w:r>
      <w:r>
        <w:rPr>
          <w:rFonts w:hint="eastAsia" w:ascii="仿宋_GB2312" w:hAnsi="仿宋_GB2312" w:eastAsia="仿宋_GB2312" w:cs="仿宋_GB2312"/>
          <w:color w:val="000000"/>
          <w:sz w:val="28"/>
          <w:szCs w:val="28"/>
          <w:lang w:eastAsia="zh-CN"/>
        </w:rPr>
        <w:t>单位</w:t>
      </w:r>
      <w:r>
        <w:rPr>
          <w:rFonts w:hint="eastAsia" w:ascii="仿宋_GB2312" w:hAnsi="仿宋_GB2312" w:eastAsia="仿宋_GB2312" w:cs="仿宋_GB2312"/>
          <w:color w:val="000000"/>
          <w:sz w:val="28"/>
          <w:szCs w:val="28"/>
        </w:rPr>
        <w:t>预算的编制实行综合预算管理，即全部收入和支出都反映在预算中。中共成</w:t>
      </w:r>
      <w:r>
        <w:rPr>
          <w:rFonts w:hint="eastAsia" w:ascii="仿宋_GB2312" w:hAnsi="仿宋_GB2312" w:eastAsia="仿宋_GB2312" w:cs="仿宋_GB2312"/>
          <w:color w:val="auto"/>
          <w:sz w:val="28"/>
          <w:szCs w:val="28"/>
        </w:rPr>
        <w:t>安县委机构编制委员会办公室机关及所属事业单位的收支包含在</w:t>
      </w:r>
      <w:r>
        <w:rPr>
          <w:rFonts w:hint="eastAsia" w:ascii="仿宋_GB2312" w:hAnsi="仿宋_GB2312" w:eastAsia="仿宋_GB2312" w:cs="仿宋_GB2312"/>
          <w:color w:val="auto"/>
          <w:sz w:val="28"/>
          <w:szCs w:val="28"/>
          <w:lang w:eastAsia="zh-CN"/>
        </w:rPr>
        <w:t>单位</w:t>
      </w:r>
      <w:r>
        <w:rPr>
          <w:rFonts w:hint="eastAsia" w:ascii="仿宋_GB2312" w:hAnsi="仿宋_GB2312" w:eastAsia="仿宋_GB2312" w:cs="仿宋_GB2312"/>
          <w:color w:val="auto"/>
          <w:sz w:val="28"/>
          <w:szCs w:val="28"/>
        </w:rPr>
        <w:t>预算中。</w:t>
      </w:r>
    </w:p>
    <w:p>
      <w:pPr>
        <w:keepNext w:val="0"/>
        <w:keepLines w:val="0"/>
        <w:pageBreakBefore w:val="0"/>
        <w:widowControl/>
        <w:kinsoku/>
        <w:wordWrap/>
        <w:overflowPunct/>
        <w:topLinePunct w:val="0"/>
        <w:autoSpaceDE/>
        <w:autoSpaceDN/>
        <w:bidi w:val="0"/>
        <w:adjustRightInd/>
        <w:snapToGrid/>
        <w:spacing w:line="579" w:lineRule="exact"/>
        <w:ind w:firstLine="640"/>
        <w:textAlignment w:val="auto"/>
        <w:rPr>
          <w:rFonts w:hint="eastAsia" w:ascii="楷体_GB2312" w:hAnsi="楷体_GB2312" w:eastAsia="楷体_GB2312" w:cs="楷体_GB2312"/>
          <w:b/>
          <w:color w:val="auto"/>
          <w:sz w:val="28"/>
          <w:szCs w:val="28"/>
        </w:rPr>
      </w:pPr>
      <w:r>
        <w:rPr>
          <w:rFonts w:hint="eastAsia" w:ascii="楷体_GB2312" w:hAnsi="楷体_GB2312" w:eastAsia="楷体_GB2312" w:cs="楷体_GB2312"/>
          <w:b/>
          <w:color w:val="auto"/>
          <w:sz w:val="28"/>
          <w:szCs w:val="28"/>
        </w:rPr>
        <w:t>1、收入说明</w:t>
      </w:r>
    </w:p>
    <w:p>
      <w:pPr>
        <w:keepNext w:val="0"/>
        <w:keepLines w:val="0"/>
        <w:pageBreakBefore w:val="0"/>
        <w:widowControl/>
        <w:kinsoku/>
        <w:wordWrap/>
        <w:overflowPunct/>
        <w:topLinePunct w:val="0"/>
        <w:autoSpaceDE/>
        <w:autoSpaceDN/>
        <w:bidi w:val="0"/>
        <w:adjustRightInd/>
        <w:snapToGrid/>
        <w:spacing w:line="579" w:lineRule="exact"/>
        <w:ind w:firstLine="640"/>
        <w:textAlignment w:val="auto"/>
        <w:rPr>
          <w:rFonts w:hint="eastAsia" w:ascii="仿宋_GB2312" w:hAnsi="仿宋_GB2312" w:eastAsia="仿宋_GB2312" w:cs="仿宋_GB2312"/>
          <w:bCs/>
          <w:color w:val="auto"/>
          <w:kern w:val="0"/>
          <w:sz w:val="28"/>
          <w:szCs w:val="28"/>
          <w:lang w:bidi="ar"/>
        </w:rPr>
      </w:pPr>
      <w:r>
        <w:rPr>
          <w:rFonts w:hint="eastAsia" w:ascii="仿宋_GB2312" w:hAnsi="仿宋_GB2312" w:eastAsia="仿宋_GB2312" w:cs="仿宋_GB2312"/>
          <w:color w:val="auto"/>
          <w:sz w:val="28"/>
          <w:szCs w:val="28"/>
          <w:lang w:val="en-US" w:eastAsia="zh-CN"/>
        </w:rPr>
        <w:t>反映本单位当年全部收入。</w:t>
      </w:r>
      <w:r>
        <w:rPr>
          <w:rFonts w:hint="eastAsia" w:ascii="仿宋_GB2312" w:hAnsi="仿宋_GB2312" w:eastAsia="仿宋_GB2312" w:cs="仿宋_GB2312"/>
          <w:color w:val="auto"/>
          <w:sz w:val="28"/>
          <w:szCs w:val="28"/>
          <w:lang w:eastAsia="zh-CN"/>
        </w:rPr>
        <w:t>202</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年预算收入252.55万元，其中：一般公共预算收入252.55万元，政府性基金收入0万元，国有资本经营收入0万元，事业收入0万元，其他收入0万元。</w:t>
      </w:r>
    </w:p>
    <w:p>
      <w:pPr>
        <w:keepNext w:val="0"/>
        <w:keepLines w:val="0"/>
        <w:pageBreakBefore w:val="0"/>
        <w:widowControl/>
        <w:kinsoku/>
        <w:wordWrap/>
        <w:overflowPunct/>
        <w:topLinePunct w:val="0"/>
        <w:autoSpaceDE/>
        <w:autoSpaceDN/>
        <w:bidi w:val="0"/>
        <w:adjustRightInd/>
        <w:snapToGrid/>
        <w:spacing w:line="579" w:lineRule="exact"/>
        <w:ind w:firstLine="640"/>
        <w:textAlignment w:val="auto"/>
        <w:rPr>
          <w:rFonts w:hint="eastAsia" w:ascii="楷体_GB2312" w:hAnsi="楷体_GB2312" w:eastAsia="楷体_GB2312" w:cs="楷体_GB2312"/>
          <w:b/>
          <w:color w:val="auto"/>
          <w:sz w:val="28"/>
          <w:szCs w:val="28"/>
        </w:rPr>
      </w:pPr>
      <w:r>
        <w:rPr>
          <w:rFonts w:hint="eastAsia" w:ascii="楷体_GB2312" w:hAnsi="楷体_GB2312" w:eastAsia="楷体_GB2312" w:cs="楷体_GB2312"/>
          <w:b/>
          <w:color w:val="auto"/>
          <w:sz w:val="28"/>
          <w:szCs w:val="28"/>
        </w:rPr>
        <w:t>2、支出说明</w:t>
      </w:r>
    </w:p>
    <w:p>
      <w:pPr>
        <w:keepNext w:val="0"/>
        <w:keepLines w:val="0"/>
        <w:pageBreakBefore w:val="0"/>
        <w:widowControl/>
        <w:kinsoku/>
        <w:wordWrap/>
        <w:overflowPunct/>
        <w:topLinePunct w:val="0"/>
        <w:autoSpaceDE/>
        <w:autoSpaceDN/>
        <w:bidi w:val="0"/>
        <w:adjustRightInd/>
        <w:snapToGrid/>
        <w:spacing w:line="579" w:lineRule="exact"/>
        <w:ind w:firstLine="640"/>
        <w:textAlignment w:val="auto"/>
        <w:rPr>
          <w:rFonts w:hint="eastAsia" w:ascii="仿宋_GB2312" w:hAnsi="仿宋_GB2312" w:eastAsia="仿宋_GB2312" w:cs="仿宋_GB2312"/>
          <w:bCs/>
          <w:color w:val="auto"/>
          <w:kern w:val="0"/>
          <w:sz w:val="28"/>
          <w:szCs w:val="28"/>
          <w:lang w:bidi="ar"/>
        </w:rPr>
      </w:pPr>
      <w:r>
        <w:rPr>
          <w:rFonts w:hint="eastAsia" w:ascii="仿宋_GB2312" w:hAnsi="仿宋_GB2312" w:eastAsia="仿宋_GB2312" w:cs="仿宋_GB2312"/>
          <w:color w:val="auto"/>
          <w:sz w:val="28"/>
          <w:szCs w:val="28"/>
          <w:lang w:val="en-US" w:eastAsia="zh-CN"/>
        </w:rPr>
        <w:t>收支预算总表支出栏、基本支出表、项目支出表按经济分类和支出功能分类科目编制，反映中共成安县委机构编制委员会办公室年度单位预算中支出预算的总体情况。</w:t>
      </w:r>
      <w:r>
        <w:rPr>
          <w:rFonts w:hint="eastAsia" w:ascii="仿宋_GB2312" w:hAnsi="仿宋_GB2312" w:eastAsia="仿宋_GB2312" w:cs="仿宋_GB2312"/>
          <w:color w:val="auto"/>
          <w:sz w:val="28"/>
          <w:szCs w:val="28"/>
          <w:lang w:eastAsia="zh-CN"/>
        </w:rPr>
        <w:t>202</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年支出预算252.55万元，其中基本支出252.55万元，包括人员经费235.23</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万元和日常公用经费 17.32万元。</w:t>
      </w:r>
    </w:p>
    <w:p>
      <w:pPr>
        <w:keepNext w:val="0"/>
        <w:keepLines w:val="0"/>
        <w:pageBreakBefore w:val="0"/>
        <w:widowControl/>
        <w:kinsoku/>
        <w:wordWrap/>
        <w:overflowPunct/>
        <w:topLinePunct w:val="0"/>
        <w:autoSpaceDE/>
        <w:autoSpaceDN/>
        <w:bidi w:val="0"/>
        <w:adjustRightInd/>
        <w:snapToGrid/>
        <w:spacing w:line="579" w:lineRule="exact"/>
        <w:ind w:firstLine="640"/>
        <w:textAlignment w:val="auto"/>
        <w:rPr>
          <w:rFonts w:hint="eastAsia" w:ascii="楷体_GB2312" w:hAnsi="楷体_GB2312" w:eastAsia="楷体_GB2312" w:cs="楷体_GB2312"/>
          <w:color w:val="auto"/>
          <w:sz w:val="28"/>
          <w:szCs w:val="28"/>
        </w:rPr>
      </w:pPr>
      <w:r>
        <w:rPr>
          <w:rFonts w:hint="eastAsia" w:ascii="楷体_GB2312" w:hAnsi="楷体_GB2312" w:eastAsia="楷体_GB2312" w:cs="楷体_GB2312"/>
          <w:b/>
          <w:color w:val="auto"/>
          <w:sz w:val="28"/>
          <w:szCs w:val="28"/>
        </w:rPr>
        <w:t>3、比上年增减变化情况</w:t>
      </w:r>
    </w:p>
    <w:p>
      <w:pPr>
        <w:pStyle w:val="18"/>
        <w:keepNext w:val="0"/>
        <w:keepLines w:val="0"/>
        <w:pageBreakBefore w:val="0"/>
        <w:widowControl/>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lang w:eastAsia="zh-CN"/>
        </w:rPr>
        <w:t>202</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年预算收支安排万元252.55</w:t>
      </w:r>
      <w:r>
        <w:rPr>
          <w:rFonts w:hint="eastAsia" w:ascii="仿宋_GB2312" w:hAnsi="仿宋_GB2312" w:eastAsia="仿宋_GB2312" w:cs="仿宋_GB2312"/>
          <w:color w:val="auto"/>
          <w:sz w:val="28"/>
          <w:szCs w:val="28"/>
          <w:lang w:val="en-US" w:eastAsia="zh-CN"/>
        </w:rPr>
        <w:t>万元</w:t>
      </w:r>
      <w:r>
        <w:rPr>
          <w:rFonts w:hint="eastAsia" w:ascii="仿宋_GB2312" w:hAnsi="仿宋_GB2312" w:eastAsia="仿宋_GB2312" w:cs="仿宋_GB2312"/>
          <w:color w:val="auto"/>
          <w:sz w:val="28"/>
          <w:szCs w:val="28"/>
        </w:rPr>
        <w:t>，较</w:t>
      </w:r>
      <w:r>
        <w:rPr>
          <w:rFonts w:hint="eastAsia" w:ascii="仿宋_GB2312" w:hAnsi="仿宋_GB2312" w:eastAsia="仿宋_GB2312" w:cs="仿宋_GB2312"/>
          <w:color w:val="auto"/>
          <w:sz w:val="28"/>
          <w:szCs w:val="28"/>
          <w:lang w:eastAsia="zh-CN"/>
        </w:rPr>
        <w:t>202</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年预算</w:t>
      </w:r>
      <w:r>
        <w:rPr>
          <w:rFonts w:hint="eastAsia" w:ascii="仿宋_GB2312" w:hAnsi="仿宋_GB2312" w:eastAsia="仿宋_GB2312" w:cs="仿宋_GB2312"/>
          <w:color w:val="auto"/>
          <w:sz w:val="28"/>
          <w:szCs w:val="28"/>
          <w:lang w:val="en-US" w:eastAsia="zh-CN"/>
        </w:rPr>
        <w:t>增加15.01</w:t>
      </w:r>
      <w:r>
        <w:rPr>
          <w:rFonts w:hint="eastAsia" w:ascii="仿宋_GB2312" w:hAnsi="仿宋_GB2312" w:eastAsia="仿宋_GB2312" w:cs="仿宋_GB2312"/>
          <w:color w:val="auto"/>
          <w:sz w:val="28"/>
          <w:szCs w:val="28"/>
        </w:rPr>
        <w:t>万元，</w:t>
      </w:r>
      <w:r>
        <w:rPr>
          <w:rFonts w:hint="eastAsia" w:ascii="仿宋_GB2312" w:hAnsi="仿宋_GB2312" w:eastAsia="仿宋_GB2312" w:cs="仿宋_GB2312"/>
          <w:color w:val="auto"/>
          <w:sz w:val="28"/>
          <w:szCs w:val="28"/>
          <w:lang w:val="en-US" w:eastAsia="zh-CN"/>
        </w:rPr>
        <w:t>其中：基本支出增加15.01万元，主要为新增人员以及人员正常晋级增加工资津补贴、社会保险和住房公积金。项目支出</w:t>
      </w:r>
      <w:r>
        <w:rPr>
          <w:rFonts w:hint="eastAsia" w:ascii="仿宋_GB2312" w:hAnsi="仿宋_GB2312" w:eastAsia="仿宋_GB2312" w:cs="仿宋_GB2312"/>
          <w:bCs/>
          <w:color w:val="auto"/>
          <w:kern w:val="0"/>
          <w:sz w:val="28"/>
          <w:szCs w:val="28"/>
          <w:lang w:val="en-US" w:eastAsia="zh-CN" w:bidi="ar"/>
        </w:rPr>
        <w:t>与</w:t>
      </w:r>
      <w:r>
        <w:rPr>
          <w:rFonts w:hint="eastAsia" w:ascii="仿宋_GB2312" w:hAnsi="仿宋_GB2312" w:eastAsia="仿宋_GB2312" w:cs="仿宋_GB2312"/>
          <w:bCs/>
          <w:color w:val="auto"/>
          <w:kern w:val="0"/>
          <w:sz w:val="28"/>
          <w:szCs w:val="28"/>
          <w:lang w:bidi="ar"/>
        </w:rPr>
        <w:t>去年</w:t>
      </w:r>
      <w:r>
        <w:rPr>
          <w:rFonts w:hint="eastAsia" w:ascii="仿宋_GB2312" w:hAnsi="仿宋_GB2312" w:eastAsia="仿宋_GB2312" w:cs="仿宋_GB2312"/>
          <w:bCs/>
          <w:color w:val="auto"/>
          <w:kern w:val="0"/>
          <w:sz w:val="28"/>
          <w:szCs w:val="28"/>
          <w:lang w:val="en-US" w:eastAsia="zh-CN" w:bidi="ar"/>
        </w:rPr>
        <w:t>一致，均为0</w:t>
      </w:r>
      <w:r>
        <w:rPr>
          <w:rFonts w:hint="eastAsia" w:ascii="仿宋_GB2312" w:hAnsi="仿宋_GB2312" w:eastAsia="仿宋_GB2312" w:cs="仿宋_GB2312"/>
          <w:color w:val="auto"/>
          <w:kern w:val="0"/>
          <w:sz w:val="28"/>
          <w:szCs w:val="28"/>
        </w:rPr>
        <w:t>。</w:t>
      </w:r>
    </w:p>
    <w:p>
      <w:pPr>
        <w:keepNext w:val="0"/>
        <w:keepLines w:val="0"/>
        <w:pageBreakBefore w:val="0"/>
        <w:widowControl/>
        <w:kinsoku/>
        <w:wordWrap/>
        <w:overflowPunct/>
        <w:topLinePunct w:val="0"/>
        <w:autoSpaceDE/>
        <w:autoSpaceDN/>
        <w:bidi w:val="0"/>
        <w:adjustRightInd/>
        <w:snapToGrid/>
        <w:spacing w:before="10" w:after="10" w:line="579" w:lineRule="exact"/>
        <w:ind w:firstLine="640"/>
        <w:textAlignment w:val="auto"/>
        <w:outlineLvl w:val="2"/>
      </w:pPr>
      <w:bookmarkStart w:id="11" w:name="_Toc_3_3_0000000012"/>
      <w:r>
        <w:rPr>
          <w:rFonts w:ascii="黑体" w:hAnsi="黑体" w:eastAsia="黑体" w:cs="黑体"/>
          <w:color w:val="000000"/>
          <w:sz w:val="32"/>
        </w:rPr>
        <w:t>三、机关运行经费安排情况</w:t>
      </w:r>
      <w:bookmarkEnd w:id="11"/>
    </w:p>
    <w:p>
      <w:pPr>
        <w:pStyle w:val="30"/>
        <w:keepNext w:val="0"/>
        <w:keepLines w:val="0"/>
        <w:pageBreakBefore w:val="0"/>
        <w:widowControl/>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color w:val="auto"/>
          <w:kern w:val="0"/>
          <w:sz w:val="28"/>
          <w:szCs w:val="28"/>
          <w:lang w:val="en-US" w:eastAsia="zh-CN" w:bidi="ar"/>
        </w:rPr>
        <w:t>2025年，我单位机关运行经费共计安排17.32万元，主要用于车补、日常维修、网络运行维护、办公耗材、文件印刷等日常运行支出。</w:t>
      </w:r>
    </w:p>
    <w:p>
      <w:pPr>
        <w:keepNext w:val="0"/>
        <w:keepLines w:val="0"/>
        <w:pageBreakBefore w:val="0"/>
        <w:widowControl/>
        <w:kinsoku/>
        <w:wordWrap/>
        <w:overflowPunct/>
        <w:topLinePunct w:val="0"/>
        <w:autoSpaceDE/>
        <w:autoSpaceDN/>
        <w:bidi w:val="0"/>
        <w:adjustRightInd/>
        <w:snapToGrid/>
        <w:spacing w:before="10" w:after="10" w:line="579" w:lineRule="exact"/>
        <w:ind w:firstLine="640"/>
        <w:textAlignment w:val="auto"/>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31"/>
        <w:keepNext w:val="0"/>
        <w:keepLines w:val="0"/>
        <w:pageBreakBefore w:val="0"/>
        <w:widowControl/>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color w:val="auto"/>
          <w:kern w:val="0"/>
          <w:sz w:val="28"/>
          <w:szCs w:val="28"/>
          <w:lang w:val="en-US" w:eastAsia="zh-CN" w:bidi="ar"/>
        </w:rPr>
        <w:t>2025年，我单位财政拨款“三公”经费预算安排0万元，其中因公出国（境）费0万元；公务用车购置及运维费0万元（其中：公务用车购置费为 0 万元，公务用车运维费0万元)；公务接待费0万元。与上年持。</w:t>
      </w:r>
    </w:p>
    <w:p>
      <w:pPr>
        <w:keepNext w:val="0"/>
        <w:keepLines w:val="0"/>
        <w:pageBreakBefore w:val="0"/>
        <w:widowControl/>
        <w:kinsoku/>
        <w:wordWrap/>
        <w:overflowPunct/>
        <w:topLinePunct w:val="0"/>
        <w:autoSpaceDE/>
        <w:autoSpaceDN/>
        <w:bidi w:val="0"/>
        <w:adjustRightInd/>
        <w:snapToGrid/>
        <w:spacing w:before="10" w:after="10" w:line="579" w:lineRule="exact"/>
        <w:ind w:firstLine="640"/>
        <w:textAlignment w:val="auto"/>
        <w:outlineLvl w:val="2"/>
      </w:pPr>
      <w:bookmarkStart w:id="13" w:name="_Toc_3_3_0000000014"/>
      <w:r>
        <w:rPr>
          <w:rFonts w:ascii="黑体" w:hAnsi="黑体" w:eastAsia="黑体" w:cs="黑体"/>
          <w:color w:val="000000"/>
          <w:sz w:val="32"/>
        </w:rPr>
        <w:t>五、部门整体绩效目标</w:t>
      </w:r>
      <w:bookmarkEnd w:id="13"/>
    </w:p>
    <w:p>
      <w:pPr>
        <w:keepNext w:val="0"/>
        <w:keepLines w:val="0"/>
        <w:pageBreakBefore w:val="0"/>
        <w:widowControl/>
        <w:kinsoku/>
        <w:wordWrap/>
        <w:overflowPunct/>
        <w:topLinePunct w:val="0"/>
        <w:autoSpaceDE/>
        <w:autoSpaceDN/>
        <w:bidi w:val="0"/>
        <w:adjustRightInd/>
        <w:snapToGrid/>
        <w:spacing w:line="579" w:lineRule="exact"/>
        <w:ind w:firstLine="56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color w:val="000000"/>
          <w:sz w:val="28"/>
          <w:szCs w:val="28"/>
        </w:rPr>
        <w:t>（一）总体绩效目标</w:t>
      </w:r>
    </w:p>
    <w:p>
      <w:pPr>
        <w:spacing w:line="50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坚持以习近平新时代中国特色社会主义思想为指导，深入贯彻党的二十大和二十届二中全会精神，认真落实省委</w:t>
      </w:r>
      <w:r>
        <w:rPr>
          <w:rFonts w:hint="eastAsia" w:ascii="仿宋_GB2312" w:hAnsi="仿宋_GB2312" w:eastAsia="仿宋_GB2312" w:cs="仿宋_GB2312"/>
          <w:color w:val="000000"/>
          <w:sz w:val="28"/>
          <w:szCs w:val="28"/>
          <w:lang w:val="en-US" w:eastAsia="zh-CN"/>
        </w:rPr>
        <w:t>十</w:t>
      </w:r>
      <w:r>
        <w:rPr>
          <w:rFonts w:hint="eastAsia" w:ascii="仿宋_GB2312" w:hAnsi="仿宋_GB2312" w:eastAsia="仿宋_GB2312" w:cs="仿宋_GB2312"/>
          <w:color w:val="000000"/>
          <w:sz w:val="28"/>
          <w:szCs w:val="28"/>
        </w:rPr>
        <w:t>届三次、四次、五次全会精神，按照省委和中央编办部署安排，以坚持和加强党的全面领导为统领，以谋划推进机构改革为主线，解放思想、奋发进取，统筹推进完善党政机构职能体系、深化机构改革和体制机制改革、优化机构编制资源配置等工作，持续推动新时代机构编制工作高质量发展，为加快建设经济强</w:t>
      </w:r>
      <w:r>
        <w:rPr>
          <w:rFonts w:hint="eastAsia" w:ascii="仿宋_GB2312" w:hAnsi="仿宋_GB2312" w:eastAsia="仿宋_GB2312" w:cs="仿宋_GB2312"/>
          <w:color w:val="000000"/>
          <w:sz w:val="28"/>
          <w:szCs w:val="28"/>
          <w:lang w:val="en-US" w:eastAsia="zh-CN"/>
        </w:rPr>
        <w:t>县</w:t>
      </w:r>
      <w:r>
        <w:rPr>
          <w:rFonts w:hint="eastAsia" w:ascii="仿宋_GB2312" w:hAnsi="仿宋_GB2312" w:eastAsia="仿宋_GB2312" w:cs="仿宋_GB2312"/>
          <w:color w:val="000000"/>
          <w:sz w:val="28"/>
          <w:szCs w:val="28"/>
        </w:rPr>
        <w:t>、美丽</w:t>
      </w:r>
      <w:r>
        <w:rPr>
          <w:rFonts w:hint="eastAsia" w:ascii="仿宋_GB2312" w:hAnsi="仿宋_GB2312" w:eastAsia="仿宋_GB2312" w:cs="仿宋_GB2312"/>
          <w:color w:val="000000"/>
          <w:sz w:val="28"/>
          <w:szCs w:val="28"/>
          <w:lang w:val="en-US" w:eastAsia="zh-CN"/>
        </w:rPr>
        <w:t>成安</w:t>
      </w:r>
      <w:r>
        <w:rPr>
          <w:rFonts w:hint="eastAsia" w:ascii="仿宋_GB2312" w:hAnsi="仿宋_GB2312" w:eastAsia="仿宋_GB2312" w:cs="仿宋_GB2312"/>
          <w:color w:val="000000"/>
          <w:sz w:val="28"/>
          <w:szCs w:val="28"/>
        </w:rPr>
        <w:t>提供体制机制保障。</w:t>
      </w:r>
    </w:p>
    <w:p>
      <w:pPr>
        <w:keepNext w:val="0"/>
        <w:keepLines w:val="0"/>
        <w:pageBreakBefore w:val="0"/>
        <w:widowControl/>
        <w:kinsoku/>
        <w:wordWrap/>
        <w:overflowPunct/>
        <w:topLinePunct w:val="0"/>
        <w:autoSpaceDE/>
        <w:autoSpaceDN/>
        <w:bidi w:val="0"/>
        <w:adjustRightInd/>
        <w:snapToGrid/>
        <w:spacing w:line="579" w:lineRule="exact"/>
        <w:ind w:firstLine="56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color w:val="000000"/>
          <w:sz w:val="28"/>
          <w:szCs w:val="28"/>
        </w:rPr>
        <w:t>（二）分项绩效目标</w:t>
      </w:r>
    </w:p>
    <w:p>
      <w:pPr>
        <w:pStyle w:val="2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1.党政机构职能体系持续完善 </w:t>
      </w:r>
    </w:p>
    <w:p>
      <w:pPr>
        <w:pStyle w:val="2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绩效目标：</w:t>
      </w:r>
      <w:r>
        <w:rPr>
          <w:rFonts w:hint="eastAsia" w:ascii="仿宋_GB2312" w:hAnsi="仿宋_GB2312" w:eastAsia="仿宋_GB2312" w:cs="仿宋_GB2312"/>
          <w:sz w:val="28"/>
          <w:szCs w:val="28"/>
          <w:lang w:val="en-US" w:eastAsia="zh-CN"/>
        </w:rPr>
        <w:t>县</w:t>
      </w:r>
      <w:r>
        <w:rPr>
          <w:rFonts w:hint="eastAsia" w:ascii="仿宋_GB2312" w:hAnsi="仿宋_GB2312" w:eastAsia="仿宋_GB2312" w:cs="仿宋_GB2312"/>
          <w:sz w:val="28"/>
          <w:szCs w:val="28"/>
        </w:rPr>
        <w:t>直“三定”规定有效落实。稳妥有序做好县改革方案</w:t>
      </w:r>
      <w:r>
        <w:rPr>
          <w:rFonts w:hint="eastAsia" w:ascii="仿宋_GB2312" w:hAnsi="仿宋_GB2312" w:eastAsia="仿宋_GB2312" w:cs="仿宋_GB2312"/>
          <w:sz w:val="28"/>
          <w:szCs w:val="28"/>
          <w:lang w:val="en-US" w:eastAsia="zh-CN"/>
        </w:rPr>
        <w:t>制定</w:t>
      </w:r>
      <w:r>
        <w:rPr>
          <w:rFonts w:hint="eastAsia" w:ascii="仿宋_GB2312" w:hAnsi="仿宋_GB2312" w:eastAsia="仿宋_GB2312" w:cs="仿宋_GB2312"/>
          <w:sz w:val="28"/>
          <w:szCs w:val="28"/>
        </w:rPr>
        <w:t xml:space="preserve">、编制精简、机构组建和人员转隶等工作，确保新机构有效承接职责。 </w:t>
      </w:r>
    </w:p>
    <w:p>
      <w:pPr>
        <w:pStyle w:val="2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绩效指标：及时调整优化</w:t>
      </w:r>
      <w:r>
        <w:rPr>
          <w:rFonts w:hint="eastAsia" w:ascii="仿宋_GB2312" w:hAnsi="仿宋_GB2312" w:eastAsia="仿宋_GB2312" w:cs="仿宋_GB2312"/>
          <w:sz w:val="28"/>
          <w:szCs w:val="28"/>
          <w:lang w:val="en-US" w:eastAsia="zh-CN"/>
        </w:rPr>
        <w:t>县</w:t>
      </w:r>
      <w:r>
        <w:rPr>
          <w:rFonts w:hint="eastAsia" w:ascii="仿宋_GB2312" w:hAnsi="仿宋_GB2312" w:eastAsia="仿宋_GB2312" w:cs="仿宋_GB2312"/>
          <w:sz w:val="28"/>
          <w:szCs w:val="28"/>
        </w:rPr>
        <w:t>直有关</w:t>
      </w:r>
      <w:r>
        <w:rPr>
          <w:rFonts w:hint="eastAsia" w:ascii="仿宋_GB2312" w:hAnsi="仿宋_GB2312" w:eastAsia="仿宋_GB2312" w:cs="仿宋_GB2312"/>
          <w:sz w:val="28"/>
          <w:szCs w:val="28"/>
          <w:lang w:eastAsia="zh-CN"/>
        </w:rPr>
        <w:t>单位</w:t>
      </w:r>
      <w:r>
        <w:rPr>
          <w:rFonts w:hint="eastAsia" w:ascii="仿宋_GB2312" w:hAnsi="仿宋_GB2312" w:eastAsia="仿宋_GB2312" w:cs="仿宋_GB2312"/>
          <w:sz w:val="28"/>
          <w:szCs w:val="28"/>
        </w:rPr>
        <w:t>职能配置、内设机构和人员编制。对</w:t>
      </w:r>
      <w:r>
        <w:rPr>
          <w:rFonts w:hint="eastAsia" w:ascii="仿宋_GB2312" w:hAnsi="仿宋_GB2312" w:eastAsia="仿宋_GB2312" w:cs="仿宋_GB2312"/>
          <w:sz w:val="28"/>
          <w:szCs w:val="28"/>
          <w:lang w:val="en-US" w:eastAsia="zh-CN"/>
        </w:rPr>
        <w:t>县</w:t>
      </w:r>
      <w:r>
        <w:rPr>
          <w:rFonts w:hint="eastAsia" w:ascii="仿宋_GB2312" w:hAnsi="仿宋_GB2312" w:eastAsia="仿宋_GB2312" w:cs="仿宋_GB2312"/>
          <w:sz w:val="28"/>
          <w:szCs w:val="28"/>
        </w:rPr>
        <w:t xml:space="preserve">机构改革情况进行调研检查和验收评估，盘活用好精简编制，制定分配使用办法。 </w:t>
      </w:r>
    </w:p>
    <w:p>
      <w:pPr>
        <w:pStyle w:val="2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2.机构编制资源统筹配置更加优化 </w:t>
      </w:r>
    </w:p>
    <w:p>
      <w:pPr>
        <w:pStyle w:val="2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绩效目标：机构编制动态调整力度不断加大，编制资源效益更加明显，控编减编工作开展扎实有效。建立健全机构</w:t>
      </w:r>
    </w:p>
    <w:p>
      <w:pPr>
        <w:pStyle w:val="22"/>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编制</w:t>
      </w:r>
      <w:r>
        <w:rPr>
          <w:rFonts w:hint="eastAsia" w:ascii="仿宋_GB2312" w:hAnsi="仿宋_GB2312" w:eastAsia="仿宋_GB2312" w:cs="仿宋_GB2312"/>
          <w:sz w:val="28"/>
          <w:szCs w:val="28"/>
          <w:lang w:eastAsia="zh-CN"/>
        </w:rPr>
        <w:t>单位</w:t>
      </w:r>
      <w:r>
        <w:rPr>
          <w:rFonts w:hint="eastAsia" w:ascii="仿宋_GB2312" w:hAnsi="仿宋_GB2312" w:eastAsia="仿宋_GB2312" w:cs="仿宋_GB2312"/>
          <w:sz w:val="28"/>
          <w:szCs w:val="28"/>
        </w:rPr>
        <w:t>与有关</w:t>
      </w:r>
      <w:r>
        <w:rPr>
          <w:rFonts w:hint="eastAsia" w:ascii="仿宋_GB2312" w:hAnsi="仿宋_GB2312" w:eastAsia="仿宋_GB2312" w:cs="仿宋_GB2312"/>
          <w:sz w:val="28"/>
          <w:szCs w:val="28"/>
          <w:lang w:eastAsia="zh-CN"/>
        </w:rPr>
        <w:t>单位</w:t>
      </w:r>
      <w:r>
        <w:rPr>
          <w:rFonts w:hint="eastAsia" w:ascii="仿宋_GB2312" w:hAnsi="仿宋_GB2312" w:eastAsia="仿宋_GB2312" w:cs="仿宋_GB2312"/>
          <w:sz w:val="28"/>
          <w:szCs w:val="28"/>
        </w:rPr>
        <w:t xml:space="preserve">之间的协调配合约束机制，受理违反机构编制法规、纪律检举和控告及时，处置高效。 </w:t>
      </w:r>
    </w:p>
    <w:p>
      <w:pPr>
        <w:pStyle w:val="2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绩效指标：探索建立“周转池”制度，财政供养人员实现只减不增，管理手段升级、职能任务弱化、机构重复设置的单位实现机构编制适度精简。及时受理“12310”举报电话举报，受理率达到 100%，全年案件办结率大于 90%，《中国共产党机构编制工作条例》得到全面有效落实。 </w:t>
      </w:r>
    </w:p>
    <w:p>
      <w:pPr>
        <w:pStyle w:val="2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3.机构编制管理更加规范高效 </w:t>
      </w:r>
    </w:p>
    <w:p>
      <w:pPr>
        <w:pStyle w:val="2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绩效目标：实现</w:t>
      </w:r>
      <w:r>
        <w:rPr>
          <w:rFonts w:hint="eastAsia" w:ascii="仿宋_GB2312" w:hAnsi="仿宋_GB2312" w:eastAsia="仿宋_GB2312" w:cs="仿宋_GB2312"/>
          <w:sz w:val="28"/>
          <w:szCs w:val="28"/>
          <w:lang w:val="en-US" w:eastAsia="zh-CN"/>
        </w:rPr>
        <w:t>县</w:t>
      </w:r>
      <w:r>
        <w:rPr>
          <w:rFonts w:hint="eastAsia" w:ascii="仿宋_GB2312" w:hAnsi="仿宋_GB2312" w:eastAsia="仿宋_GB2312" w:cs="仿宋_GB2312"/>
          <w:sz w:val="28"/>
          <w:szCs w:val="28"/>
        </w:rPr>
        <w:t>本级</w:t>
      </w:r>
      <w:r>
        <w:rPr>
          <w:rFonts w:hint="eastAsia" w:ascii="仿宋_GB2312" w:hAnsi="仿宋_GB2312" w:eastAsia="仿宋_GB2312" w:cs="仿宋_GB2312"/>
          <w:sz w:val="28"/>
          <w:szCs w:val="28"/>
          <w:lang w:eastAsia="zh-CN"/>
        </w:rPr>
        <w:t>单位</w:t>
      </w:r>
      <w:r>
        <w:rPr>
          <w:rFonts w:hint="eastAsia" w:ascii="仿宋_GB2312" w:hAnsi="仿宋_GB2312" w:eastAsia="仿宋_GB2312" w:cs="仿宋_GB2312"/>
          <w:sz w:val="28"/>
          <w:szCs w:val="28"/>
        </w:rPr>
        <w:t>用编申请、出入编业务网上办理。扎实开展机构改革、体制机制和职责调整等机构编制研究，机关事业单位统一社会信用代码工作高标准完成，事业单位登记管理工作扎实推进。</w:t>
      </w:r>
    </w:p>
    <w:p>
      <w:pPr>
        <w:pStyle w:val="22"/>
        <w:keepNext w:val="0"/>
        <w:keepLines w:val="0"/>
        <w:pageBreakBefore w:val="0"/>
        <w:widowControl/>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绩效指标：完成全</w:t>
      </w:r>
      <w:r>
        <w:rPr>
          <w:rFonts w:hint="eastAsia" w:ascii="仿宋_GB2312" w:hAnsi="仿宋_GB2312" w:eastAsia="仿宋_GB2312" w:cs="仿宋_GB2312"/>
          <w:sz w:val="28"/>
          <w:szCs w:val="28"/>
          <w:lang w:val="en-US" w:eastAsia="zh-CN"/>
        </w:rPr>
        <w:t>县</w:t>
      </w:r>
      <w:r>
        <w:rPr>
          <w:rFonts w:hint="eastAsia" w:ascii="仿宋_GB2312" w:hAnsi="仿宋_GB2312" w:eastAsia="仿宋_GB2312" w:cs="仿宋_GB2312"/>
          <w:sz w:val="28"/>
          <w:szCs w:val="28"/>
        </w:rPr>
        <w:t>机构编制实名制数据 1 至 12 月份人员信息数据更新。组织开展机构和行政体制改革，以及机构编制管理课题研究。</w:t>
      </w:r>
    </w:p>
    <w:p>
      <w:pPr>
        <w:keepNext w:val="0"/>
        <w:keepLines w:val="0"/>
        <w:pageBreakBefore w:val="0"/>
        <w:widowControl/>
        <w:kinsoku/>
        <w:wordWrap/>
        <w:overflowPunct/>
        <w:topLinePunct w:val="0"/>
        <w:autoSpaceDE/>
        <w:autoSpaceDN/>
        <w:bidi w:val="0"/>
        <w:adjustRightInd/>
        <w:snapToGrid/>
        <w:spacing w:line="579" w:lineRule="exact"/>
        <w:ind w:firstLine="56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color w:val="000000"/>
          <w:sz w:val="28"/>
          <w:szCs w:val="28"/>
        </w:rPr>
        <w:t>（三）工作保障措施</w:t>
      </w:r>
    </w:p>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加强组织领导，完善绩效制度。成立由办主要领导同志任组长的预算绩效工作领导小组，分设办机关、电子政务中心和研究中心三个业务小组，建立统筹协调、分工协作、密切配合、合力推进的工作机制。将事前论证、目标管理、运行监控、绩效评价、结果应用等各项措施，贯穿于预算管理的全过程，建立健全机构编制预算绩效管理制度。围绕年度总体绩效目标和分类绩效目标，细化工作方案，明确责任主体、实施进度监控，确保绩效目标如期完成。 </w:t>
      </w:r>
    </w:p>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2.分解细化责任，狠抓任务落实。按照“谁花钱、谁负责”的原则，明确各处、中心预算绩效管理职责。充分调动项目主管</w:t>
      </w:r>
      <w:r>
        <w:rPr>
          <w:rFonts w:hint="eastAsia" w:ascii="仿宋_GB2312" w:hAnsi="仿宋_GB2312" w:eastAsia="仿宋_GB2312" w:cs="仿宋_GB2312"/>
          <w:sz w:val="28"/>
          <w:szCs w:val="28"/>
          <w:lang w:val="en-US" w:eastAsia="zh-CN"/>
        </w:rPr>
        <w:t>科室</w:t>
      </w:r>
      <w:r>
        <w:rPr>
          <w:rFonts w:hint="eastAsia" w:ascii="仿宋_GB2312" w:hAnsi="仿宋_GB2312" w:eastAsia="仿宋_GB2312" w:cs="仿宋_GB2312"/>
          <w:sz w:val="28"/>
          <w:szCs w:val="28"/>
        </w:rPr>
        <w:t>的积极性和主动性，由业务</w:t>
      </w:r>
      <w:r>
        <w:rPr>
          <w:rFonts w:hint="eastAsia" w:ascii="仿宋_GB2312" w:hAnsi="仿宋_GB2312" w:eastAsia="仿宋_GB2312" w:cs="仿宋_GB2312"/>
          <w:sz w:val="28"/>
          <w:szCs w:val="28"/>
          <w:lang w:val="en-US" w:eastAsia="zh-CN"/>
        </w:rPr>
        <w:t>科室</w:t>
      </w:r>
      <w:r>
        <w:rPr>
          <w:rFonts w:hint="eastAsia" w:ascii="仿宋_GB2312" w:hAnsi="仿宋_GB2312" w:eastAsia="仿宋_GB2312" w:cs="仿宋_GB2312"/>
          <w:sz w:val="28"/>
          <w:szCs w:val="28"/>
        </w:rPr>
        <w:t xml:space="preserve">负责科学制定分管项目和内容的中期、终期绩效目标和评价指标，动态收集评估数据信息，开展预算绩效中期绩效评估、终期评价，落实整改措施。按照领导小组批示，开展分管项目及内容的预算绩效管理具体工作，实现定项目就要抓绩效、分资金就要管绩效，确保财务与业务工作紧密衔接，相互促进。 </w:t>
      </w:r>
    </w:p>
    <w:p>
      <w:pPr>
        <w:pStyle w:val="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3.强化预算执行，确保支出进度。强化财政预算执行的刚性约束，及时启动项目和资金支付，加快履行政府采购程序，优化</w:t>
      </w:r>
      <w:r>
        <w:rPr>
          <w:rFonts w:hint="eastAsia" w:ascii="仿宋_GB2312" w:hAnsi="仿宋_GB2312" w:eastAsia="仿宋_GB2312" w:cs="仿宋_GB2312"/>
          <w:sz w:val="28"/>
          <w:szCs w:val="28"/>
          <w:lang w:eastAsia="zh-CN"/>
        </w:rPr>
        <w:t>单位</w:t>
      </w:r>
      <w:r>
        <w:rPr>
          <w:rFonts w:hint="eastAsia" w:ascii="仿宋_GB2312" w:hAnsi="仿宋_GB2312" w:eastAsia="仿宋_GB2312" w:cs="仿宋_GB2312"/>
          <w:sz w:val="28"/>
          <w:szCs w:val="28"/>
        </w:rPr>
        <w:t xml:space="preserve">预算支出结构，创新财政资金支出思路，合理改进支出方式，确保按照时间节点完成支出任务，提高财政资金使用效率。 </w:t>
      </w:r>
    </w:p>
    <w:p>
      <w:pPr>
        <w:pStyle w:val="23"/>
        <w:keepNext w:val="0"/>
        <w:keepLines w:val="0"/>
        <w:pageBreakBefore w:val="0"/>
        <w:widowControl/>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4.加大公开力度，提升评价效果。借鉴</w:t>
      </w:r>
      <w:r>
        <w:rPr>
          <w:rFonts w:hint="eastAsia" w:ascii="仿宋_GB2312" w:hAnsi="仿宋_GB2312" w:eastAsia="仿宋_GB2312" w:cs="仿宋_GB2312"/>
          <w:sz w:val="28"/>
          <w:szCs w:val="28"/>
          <w:lang w:val="en-US" w:eastAsia="zh-CN"/>
        </w:rPr>
        <w:t>县</w:t>
      </w:r>
      <w:r>
        <w:rPr>
          <w:rFonts w:hint="eastAsia" w:ascii="仿宋_GB2312" w:hAnsi="仿宋_GB2312" w:eastAsia="仿宋_GB2312" w:cs="仿宋_GB2312"/>
          <w:sz w:val="28"/>
          <w:szCs w:val="28"/>
        </w:rPr>
        <w:t>直</w:t>
      </w:r>
      <w:r>
        <w:rPr>
          <w:rFonts w:hint="eastAsia" w:ascii="仿宋_GB2312" w:hAnsi="仿宋_GB2312" w:eastAsia="仿宋_GB2312" w:cs="仿宋_GB2312"/>
          <w:sz w:val="28"/>
          <w:szCs w:val="28"/>
          <w:lang w:eastAsia="zh-CN"/>
        </w:rPr>
        <w:t>单位</w:t>
      </w:r>
      <w:r>
        <w:rPr>
          <w:rFonts w:hint="eastAsia" w:ascii="仿宋_GB2312" w:hAnsi="仿宋_GB2312" w:eastAsia="仿宋_GB2312" w:cs="仿宋_GB2312"/>
          <w:sz w:val="28"/>
          <w:szCs w:val="28"/>
        </w:rPr>
        <w:t>先进绩效评价经验，成立专门的评价工作小组，制定科学评价办法，对项目资金支出的经济性、效率性以及绩效目标的实现程度全方位评价，及时发现实施中存在的问题，并研究解决对策。评价过程要最大程度地实行信息公开，运用各种有效手段促进预算绩效工作扎实推进，做到程序规范、方法合理、结果可信。</w:t>
      </w:r>
    </w:p>
    <w:p>
      <w:pPr>
        <w:pStyle w:val="23"/>
        <w:keepNext w:val="0"/>
        <w:keepLines w:val="0"/>
        <w:pageBreakBefore w:val="0"/>
        <w:widowControl/>
        <w:kinsoku/>
        <w:wordWrap/>
        <w:overflowPunct/>
        <w:topLinePunct w:val="0"/>
        <w:autoSpaceDE/>
        <w:autoSpaceDN/>
        <w:bidi w:val="0"/>
        <w:adjustRightInd/>
        <w:snapToGrid/>
        <w:spacing w:line="579" w:lineRule="exact"/>
        <w:ind w:left="0" w:leftChars="0" w:firstLine="0" w:firstLineChars="0"/>
        <w:textAlignment w:val="auto"/>
        <w:rPr>
          <w:rFonts w:hint="eastAsia" w:ascii="仿宋_GB2312" w:hAnsi="仿宋_GB2312" w:eastAsia="仿宋_GB2312" w:cs="仿宋_GB2312"/>
          <w:sz w:val="28"/>
          <w:szCs w:val="28"/>
        </w:rPr>
        <w:sectPr>
          <w:pgSz w:w="16840" w:h="11900" w:orient="landscape"/>
          <w:pgMar w:top="1361" w:right="1020" w:bottom="1361"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before="10" w:after="10" w:line="579" w:lineRule="exact"/>
        <w:ind w:firstLine="640"/>
        <w:textAlignment w:val="auto"/>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keepNext w:val="0"/>
        <w:keepLines w:val="0"/>
        <w:pageBreakBefore w:val="0"/>
        <w:widowControl/>
        <w:kinsoku/>
        <w:wordWrap/>
        <w:overflowPunct/>
        <w:topLinePunct w:val="0"/>
        <w:autoSpaceDE/>
        <w:autoSpaceDN/>
        <w:bidi w:val="0"/>
        <w:adjustRightInd/>
        <w:snapToGrid/>
        <w:spacing w:before="10" w:after="10" w:line="579" w:lineRule="exact"/>
        <w:ind w:firstLine="1302" w:firstLineChars="465"/>
        <w:textAlignment w:val="auto"/>
        <w:outlineLvl w:val="2"/>
        <w:rPr>
          <w:rFonts w:hint="eastAsia" w:ascii="仿宋_GB2312" w:hAnsi="仿宋_GB2312" w:eastAsia="仿宋_GB2312" w:cs="仿宋_GB2312"/>
          <w:sz w:val="28"/>
          <w:szCs w:val="28"/>
          <w:lang w:val="en-US" w:eastAsia="zh-CN" w:bidi="ar-SA"/>
        </w:rPr>
      </w:pPr>
      <w:r>
        <w:rPr>
          <w:rFonts w:hint="eastAsia" w:ascii="仿宋_GB2312" w:hAnsi="仿宋_GB2312" w:eastAsia="仿宋_GB2312" w:cs="仿宋_GB2312"/>
          <w:sz w:val="28"/>
          <w:szCs w:val="28"/>
          <w:lang w:val="en-US" w:eastAsia="zh-CN" w:bidi="ar-SA"/>
        </w:rPr>
        <w:t>我部门无主管的专项资金预算</w:t>
      </w:r>
    </w:p>
    <w:p>
      <w:pPr>
        <w:keepNext w:val="0"/>
        <w:keepLines w:val="0"/>
        <w:pageBreakBefore w:val="0"/>
        <w:widowControl/>
        <w:kinsoku/>
        <w:wordWrap/>
        <w:overflowPunct/>
        <w:topLinePunct w:val="0"/>
        <w:autoSpaceDE/>
        <w:autoSpaceDN/>
        <w:bidi w:val="0"/>
        <w:adjustRightInd/>
        <w:snapToGrid/>
        <w:spacing w:before="10" w:after="10" w:line="579" w:lineRule="exact"/>
        <w:ind w:firstLine="1302" w:firstLineChars="465"/>
        <w:textAlignment w:val="auto"/>
        <w:outlineLvl w:val="2"/>
        <w:rPr>
          <w:rFonts w:hint="eastAsia" w:ascii="仿宋_GB2312" w:hAnsi="仿宋_GB2312" w:eastAsia="仿宋_GB2312" w:cs="仿宋_GB2312"/>
          <w:sz w:val="28"/>
          <w:szCs w:val="28"/>
          <w:lang w:val="en-US" w:eastAsia="zh-CN" w:bidi="ar-SA"/>
        </w:rPr>
        <w:sectPr>
          <w:pgSz w:w="16840" w:h="11900" w:orient="landscape"/>
          <w:pgMar w:top="1361" w:right="1020" w:bottom="1134" w:left="1020" w:header="720" w:footer="720" w:gutter="0"/>
          <w:cols w:space="720" w:num="1"/>
        </w:sectPr>
      </w:pPr>
    </w:p>
    <w:p>
      <w:pPr>
        <w:numPr>
          <w:numId w:val="0"/>
        </w:numPr>
        <w:spacing w:before="10" w:after="10" w:line="360" w:lineRule="auto"/>
        <w:ind w:firstLine="640" w:firstLineChars="200"/>
        <w:outlineLvl w:val="2"/>
        <w:rPr>
          <w:rFonts w:hint="default" w:ascii="仿宋_GB2312" w:hAnsi="仿宋_GB2312" w:eastAsia="仿宋_GB2312" w:cs="仿宋_GB2312"/>
          <w:sz w:val="28"/>
          <w:szCs w:val="28"/>
          <w:lang w:val="en-US" w:eastAsia="zh-CN" w:bidi="ar-SA"/>
        </w:rPr>
      </w:pPr>
      <w:bookmarkStart w:id="15" w:name="_Toc_3_3_0000000016"/>
      <w:r>
        <w:rPr>
          <w:rFonts w:hint="eastAsia" w:ascii="黑体" w:hAnsi="黑体" w:eastAsia="黑体" w:cs="黑体"/>
          <w:color w:val="000000"/>
          <w:sz w:val="32"/>
          <w:lang w:val="en-US" w:eastAsia="zh-CN"/>
        </w:rPr>
        <w:t>七、</w:t>
      </w:r>
      <w:r>
        <w:rPr>
          <w:rFonts w:ascii="黑体" w:hAnsi="黑体" w:eastAsia="黑体" w:cs="黑体"/>
          <w:color w:val="000000"/>
          <w:sz w:val="32"/>
        </w:rPr>
        <w:t>部门项目预算安排情况及绩效目标</w:t>
      </w:r>
      <w:bookmarkEnd w:id="15"/>
    </w:p>
    <w:p>
      <w:pPr>
        <w:numPr>
          <w:numId w:val="0"/>
        </w:numPr>
        <w:spacing w:before="10" w:after="10" w:line="360" w:lineRule="auto"/>
        <w:ind w:firstLine="1400" w:firstLineChars="500"/>
        <w:outlineLvl w:val="2"/>
        <w:rPr>
          <w:rFonts w:hint="default" w:ascii="仿宋_GB2312" w:hAnsi="仿宋_GB2312" w:eastAsia="仿宋_GB2312" w:cs="仿宋_GB2312"/>
          <w:sz w:val="28"/>
          <w:szCs w:val="28"/>
          <w:lang w:val="en-US" w:eastAsia="zh-CN" w:bidi="ar-SA"/>
        </w:rPr>
        <w:sectPr>
          <w:pgSz w:w="16840" w:h="11900" w:orient="landscape"/>
          <w:pgMar w:top="1361" w:right="1020" w:bottom="1134" w:left="1020" w:header="720" w:footer="720" w:gutter="0"/>
          <w:cols w:space="720" w:num="1"/>
        </w:sectPr>
      </w:pPr>
      <w:r>
        <w:rPr>
          <w:rFonts w:hint="eastAsia" w:ascii="仿宋_GB2312" w:hAnsi="仿宋_GB2312" w:eastAsia="仿宋_GB2312" w:cs="仿宋_GB2312"/>
          <w:sz w:val="28"/>
          <w:szCs w:val="28"/>
          <w:lang w:val="en-US" w:eastAsia="zh-CN" w:bidi="ar-SA"/>
        </w:rPr>
        <w:t>注：我部门无项目预算安排</w:t>
      </w: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317中共成安县委机构编制委员会办公室</w:t>
            </w:r>
          </w:p>
        </w:tc>
        <w:tc>
          <w:tcPr>
            <w:tcW w:w="7712"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中共成安县委机构编制委员会办公室（含所属单位）上年末固定资产金额为</w:t>
      </w:r>
      <w:r>
        <w:rPr>
          <w:rFonts w:hint="eastAsia" w:ascii="仿宋_GB2312" w:hAnsi="仿宋_GB2312" w:eastAsia="仿宋_GB2312" w:cs="仿宋_GB2312"/>
          <w:color w:val="000000"/>
          <w:sz w:val="28"/>
          <w:szCs w:val="28"/>
          <w:lang w:val="en-US" w:eastAsia="zh-CN"/>
        </w:rPr>
        <w:t>18.2599</w:t>
      </w:r>
      <w:r>
        <w:rPr>
          <w:rFonts w:hint="eastAsia" w:ascii="仿宋_GB2312" w:hAnsi="仿宋_GB2312" w:eastAsia="仿宋_GB2312" w:cs="仿宋_GB2312"/>
          <w:color w:val="000000"/>
          <w:sz w:val="28"/>
          <w:szCs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317中共成安县委机构编制委员会办公室</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rPr>
                <w:rFonts w:ascii="方正书宋_GBK" w:hAnsi="方正书宋_GBK" w:eastAsia="方正书宋_GBK" w:cs="方正书宋_GBK"/>
                <w:sz w:val="21"/>
                <w:szCs w:val="24"/>
                <w:lang w:val="en-US" w:eastAsia="uk-UA" w:bidi="ar-SA"/>
              </w:rPr>
            </w:pPr>
            <w:r>
              <w:rPr>
                <w:rFonts w:hint="eastAsia"/>
                <w:lang w:val="en-US" w:eastAsia="zh-CN"/>
              </w:rPr>
              <w:t>资产总额</w:t>
            </w:r>
          </w:p>
        </w:tc>
        <w:tc>
          <w:tcPr>
            <w:tcW w:w="2835" w:type="dxa"/>
            <w:vAlign w:val="center"/>
          </w:tcPr>
          <w:p>
            <w:pPr>
              <w:pStyle w:val="13"/>
              <w:rPr>
                <w:rFonts w:ascii="方正书宋_GBK" w:hAnsi="方正书宋_GBK" w:eastAsia="方正书宋_GBK" w:cs="方正书宋_GBK"/>
                <w:sz w:val="21"/>
                <w:szCs w:val="24"/>
                <w:lang w:val="en-US" w:eastAsia="uk-UA" w:bidi="ar-SA"/>
              </w:rPr>
            </w:pPr>
          </w:p>
        </w:tc>
        <w:tc>
          <w:tcPr>
            <w:tcW w:w="2835" w:type="dxa"/>
            <w:vAlign w:val="center"/>
          </w:tcPr>
          <w:p>
            <w:pPr>
              <w:pStyle w:val="11"/>
              <w:rPr>
                <w:rFonts w:hint="default" w:ascii="方正书宋_GBK" w:hAnsi="方正书宋_GBK" w:eastAsia="方正书宋_GBK" w:cs="方正书宋_GBK"/>
                <w:sz w:val="21"/>
                <w:szCs w:val="24"/>
                <w:lang w:val="en-US" w:eastAsia="zh-CN" w:bidi="ar-SA"/>
              </w:rPr>
            </w:pPr>
            <w:r>
              <w:rPr>
                <w:rFonts w:hint="eastAsia"/>
                <w:lang w:val="en-US" w:eastAsia="zh-CN"/>
              </w:rPr>
              <w:t>18.2599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pStyle w:val="12"/>
              <w:rPr>
                <w:rFonts w:ascii="方正书宋_GBK" w:hAnsi="方正书宋_GBK" w:eastAsia="方正书宋_GBK" w:cs="方正书宋_GBK"/>
                <w:sz w:val="21"/>
                <w:szCs w:val="24"/>
                <w:lang w:val="en-US" w:eastAsia="uk-UA" w:bidi="ar-SA"/>
              </w:rPr>
            </w:pPr>
            <w:r>
              <w:rPr>
                <w:rFonts w:hint="eastAsia"/>
                <w:lang w:val="en-US" w:eastAsia="zh-CN"/>
              </w:rPr>
              <w:t>1.房屋（平方米）</w:t>
            </w: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1"/>
              <w:rPr>
                <w:rFonts w:ascii="方正书宋_GBK" w:hAnsi="方正书宋_GBK" w:eastAsia="方正书宋_GBK" w:cs="方正书宋_GBK"/>
                <w:sz w:val="21"/>
                <w:szCs w:val="24"/>
                <w:lang w:val="en-US" w:eastAsia="uk-UA"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pStyle w:val="12"/>
              <w:rPr>
                <w:rFonts w:ascii="方正书宋_GBK" w:hAnsi="方正书宋_GBK" w:eastAsia="方正书宋_GBK" w:cs="方正书宋_GBK"/>
                <w:sz w:val="21"/>
                <w:szCs w:val="24"/>
                <w:lang w:val="en-US" w:eastAsia="uk-UA" w:bidi="ar-SA"/>
              </w:rPr>
            </w:pPr>
            <w:r>
              <w:rPr>
                <w:rFonts w:hint="eastAsia"/>
                <w:lang w:val="en-US" w:eastAsia="zh-CN"/>
              </w:rPr>
              <w:t xml:space="preserve">    其中：办公用房（平方米）</w:t>
            </w: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1"/>
              <w:rPr>
                <w:rFonts w:ascii="方正书宋_GBK" w:hAnsi="方正书宋_GBK" w:eastAsia="方正书宋_GBK" w:cs="方正书宋_GBK"/>
                <w:sz w:val="21"/>
                <w:szCs w:val="24"/>
                <w:lang w:val="en-US" w:eastAsia="uk-UA"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pStyle w:val="12"/>
              <w:rPr>
                <w:rFonts w:ascii="方正书宋_GBK" w:hAnsi="方正书宋_GBK" w:eastAsia="方正书宋_GBK" w:cs="方正书宋_GBK"/>
                <w:sz w:val="21"/>
                <w:szCs w:val="24"/>
                <w:lang w:val="en-US" w:eastAsia="uk-UA" w:bidi="ar-SA"/>
              </w:rPr>
            </w:pPr>
            <w:r>
              <w:rPr>
                <w:rFonts w:hint="eastAsia"/>
                <w:lang w:val="en-US" w:eastAsia="zh-CN"/>
              </w:rPr>
              <w:t>2.车辆（台、辆）</w:t>
            </w: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1"/>
              <w:rPr>
                <w:rFonts w:ascii="方正书宋_GBK" w:hAnsi="方正书宋_GBK" w:eastAsia="方正书宋_GBK" w:cs="方正书宋_GBK"/>
                <w:sz w:val="21"/>
                <w:szCs w:val="24"/>
                <w:lang w:val="en-US" w:eastAsia="uk-UA"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pStyle w:val="12"/>
              <w:rPr>
                <w:rFonts w:ascii="方正书宋_GBK" w:hAnsi="方正书宋_GBK" w:eastAsia="方正书宋_GBK" w:cs="方正书宋_GBK"/>
                <w:sz w:val="21"/>
                <w:szCs w:val="24"/>
                <w:lang w:val="en-US" w:eastAsia="uk-UA" w:bidi="ar-SA"/>
              </w:rPr>
            </w:pPr>
            <w:r>
              <w:rPr>
                <w:rFonts w:hint="eastAsia"/>
                <w:lang w:val="en-US" w:eastAsia="zh-CN"/>
              </w:rPr>
              <w:t>3.单价在50万元以上的设备</w:t>
            </w:r>
          </w:p>
        </w:tc>
        <w:tc>
          <w:tcPr>
            <w:tcW w:w="0" w:type="auto"/>
            <w:vAlign w:val="center"/>
          </w:tcPr>
          <w:p>
            <w:pPr>
              <w:pStyle w:val="13"/>
              <w:rPr>
                <w:rFonts w:ascii="方正书宋_GBK" w:hAnsi="方正书宋_GBK" w:eastAsia="方正书宋_GBK" w:cs="方正书宋_GBK"/>
                <w:sz w:val="21"/>
                <w:szCs w:val="24"/>
                <w:lang w:val="en-US" w:eastAsia="uk-UA" w:bidi="ar-SA"/>
              </w:rPr>
            </w:pPr>
          </w:p>
        </w:tc>
        <w:tc>
          <w:tcPr>
            <w:tcW w:w="0" w:type="auto"/>
            <w:vAlign w:val="center"/>
          </w:tcPr>
          <w:p>
            <w:pPr>
              <w:pStyle w:val="11"/>
              <w:rPr>
                <w:rFonts w:ascii="方正书宋_GBK" w:hAnsi="方正书宋_GBK" w:eastAsia="方正书宋_GBK" w:cs="方正书宋_GBK"/>
                <w:sz w:val="21"/>
                <w:szCs w:val="24"/>
                <w:lang w:val="en-US" w:eastAsia="uk-UA"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pPr>
              <w:pStyle w:val="12"/>
              <w:rPr>
                <w:rFonts w:hint="eastAsia" w:ascii="方正书宋_GBK" w:hAnsi="方正书宋_GBK" w:eastAsia="方正书宋_GBK" w:cs="方正书宋_GBK"/>
                <w:sz w:val="21"/>
                <w:szCs w:val="24"/>
                <w:lang w:val="en-US" w:eastAsia="zh-CN" w:bidi="ar-SA"/>
              </w:rPr>
            </w:pPr>
            <w:r>
              <w:rPr>
                <w:rFonts w:hint="eastAsia"/>
                <w:lang w:val="en-US" w:eastAsia="zh-CN"/>
              </w:rPr>
              <w:t>4.其他固定资产</w:t>
            </w:r>
          </w:p>
        </w:tc>
        <w:tc>
          <w:tcPr>
            <w:tcW w:w="0" w:type="auto"/>
            <w:vAlign w:val="center"/>
          </w:tcPr>
          <w:p>
            <w:pPr>
              <w:pStyle w:val="13"/>
              <w:rPr>
                <w:rFonts w:hint="default" w:ascii="方正书宋_GBK" w:hAnsi="方正书宋_GBK" w:eastAsia="方正书宋_GBK" w:cs="方正书宋_GBK"/>
                <w:sz w:val="21"/>
                <w:szCs w:val="24"/>
                <w:lang w:val="en-US" w:eastAsia="zh-CN" w:bidi="ar-SA"/>
              </w:rPr>
            </w:pPr>
            <w:r>
              <w:rPr>
                <w:rFonts w:hint="eastAsia"/>
                <w:lang w:val="en-US" w:eastAsia="zh-CN"/>
              </w:rPr>
              <w:t>74</w:t>
            </w:r>
          </w:p>
        </w:tc>
        <w:tc>
          <w:tcPr>
            <w:tcW w:w="0" w:type="auto"/>
            <w:vAlign w:val="center"/>
          </w:tcPr>
          <w:p>
            <w:pPr>
              <w:pStyle w:val="11"/>
              <w:rPr>
                <w:rFonts w:hint="default" w:ascii="方正书宋_GBK" w:hAnsi="方正书宋_GBK" w:eastAsia="方正书宋_GBK" w:cs="方正书宋_GBK"/>
                <w:sz w:val="21"/>
                <w:szCs w:val="24"/>
                <w:lang w:val="en-US" w:eastAsia="zh-CN" w:bidi="ar-SA"/>
              </w:rPr>
            </w:pPr>
            <w:r>
              <w:rPr>
                <w:rFonts w:hint="eastAsia"/>
                <w:lang w:val="en-US" w:eastAsia="zh-CN"/>
              </w:rPr>
              <w:t>18.2599</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rPr>
          <w:sz w:val="28"/>
          <w:szCs w:val="28"/>
        </w:rPr>
      </w:pPr>
      <w:r>
        <w:rPr>
          <w:rFonts w:eastAsia="方正仿宋_GBK"/>
          <w:color w:val="000000"/>
          <w:sz w:val="28"/>
          <w:szCs w:val="28"/>
        </w:rPr>
        <w:t>1、</w:t>
      </w:r>
      <w:r>
        <w:rPr>
          <w:rFonts w:eastAsia="方正仿宋_GBK"/>
          <w:b/>
          <w:color w:val="000000"/>
          <w:sz w:val="28"/>
          <w:szCs w:val="28"/>
        </w:rPr>
        <w:t>财政拨款收入：</w:t>
      </w:r>
      <w:r>
        <w:rPr>
          <w:rFonts w:eastAsia="方正仿宋_GBK"/>
          <w:color w:val="000000"/>
          <w:sz w:val="28"/>
          <w:szCs w:val="28"/>
        </w:rPr>
        <w:t>指本级财政当年拨付的资金，包括一般公共预算拨款、政府性基金预算拨款、国有资本经营预算拨款。</w:t>
      </w:r>
    </w:p>
    <w:p>
      <w:pPr>
        <w:spacing w:line="500" w:lineRule="exact"/>
        <w:ind w:firstLine="560"/>
        <w:rPr>
          <w:sz w:val="28"/>
          <w:szCs w:val="28"/>
        </w:rPr>
      </w:pPr>
      <w:r>
        <w:rPr>
          <w:rFonts w:eastAsia="方正仿宋_GBK"/>
          <w:color w:val="000000"/>
          <w:sz w:val="28"/>
          <w:szCs w:val="28"/>
        </w:rPr>
        <w:t>2、</w:t>
      </w:r>
      <w:r>
        <w:rPr>
          <w:rFonts w:eastAsia="方正仿宋_GBK"/>
          <w:b/>
          <w:color w:val="000000"/>
          <w:sz w:val="28"/>
          <w:szCs w:val="28"/>
        </w:rPr>
        <w:t>财政专户管理资金收入：</w:t>
      </w:r>
      <w:r>
        <w:rPr>
          <w:rFonts w:eastAsia="方正仿宋_GBK"/>
          <w:color w:val="000000"/>
          <w:sz w:val="28"/>
          <w:szCs w:val="28"/>
        </w:rPr>
        <w:t>缴入财政专户、实行专项管理的教育收费收入。</w:t>
      </w:r>
    </w:p>
    <w:p>
      <w:pPr>
        <w:spacing w:line="500" w:lineRule="exact"/>
        <w:ind w:firstLine="560"/>
        <w:rPr>
          <w:sz w:val="28"/>
          <w:szCs w:val="28"/>
        </w:rPr>
      </w:pPr>
      <w:r>
        <w:rPr>
          <w:rFonts w:eastAsia="方正仿宋_GBK"/>
          <w:color w:val="000000"/>
          <w:sz w:val="28"/>
          <w:szCs w:val="28"/>
        </w:rPr>
        <w:t>3、</w:t>
      </w:r>
      <w:r>
        <w:rPr>
          <w:rFonts w:eastAsia="方正仿宋_GBK"/>
          <w:b/>
          <w:color w:val="000000"/>
          <w:sz w:val="28"/>
          <w:szCs w:val="28"/>
        </w:rPr>
        <w:t>单位资金收入：</w:t>
      </w:r>
      <w:r>
        <w:rPr>
          <w:rFonts w:eastAsia="方正仿宋_GBK"/>
          <w:color w:val="000000"/>
          <w:sz w:val="28"/>
          <w:szCs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rPr>
          <w:sz w:val="28"/>
          <w:szCs w:val="28"/>
        </w:rPr>
      </w:pPr>
      <w:r>
        <w:rPr>
          <w:rFonts w:eastAsia="方正仿宋_GBK"/>
          <w:color w:val="000000"/>
          <w:sz w:val="28"/>
          <w:szCs w:val="28"/>
        </w:rPr>
        <w:t>4、</w:t>
      </w:r>
      <w:r>
        <w:rPr>
          <w:rFonts w:eastAsia="方正仿宋_GBK"/>
          <w:b/>
          <w:color w:val="000000"/>
          <w:sz w:val="28"/>
          <w:szCs w:val="28"/>
        </w:rPr>
        <w:t>事业收入：</w:t>
      </w:r>
      <w:r>
        <w:rPr>
          <w:rFonts w:eastAsia="方正仿宋_GBK"/>
          <w:color w:val="000000"/>
          <w:sz w:val="28"/>
          <w:szCs w:val="28"/>
        </w:rPr>
        <w:t>指事业单位开展专业业务活动及辅助活动所取得的收入。</w:t>
      </w:r>
    </w:p>
    <w:p>
      <w:pPr>
        <w:spacing w:line="500" w:lineRule="exact"/>
        <w:ind w:firstLine="560"/>
        <w:rPr>
          <w:sz w:val="28"/>
          <w:szCs w:val="28"/>
        </w:rPr>
      </w:pPr>
      <w:r>
        <w:rPr>
          <w:rFonts w:eastAsia="方正仿宋_GBK"/>
          <w:color w:val="000000"/>
          <w:sz w:val="28"/>
          <w:szCs w:val="28"/>
        </w:rPr>
        <w:t>5、</w:t>
      </w:r>
      <w:r>
        <w:rPr>
          <w:rFonts w:eastAsia="方正仿宋_GBK"/>
          <w:b/>
          <w:color w:val="000000"/>
          <w:sz w:val="28"/>
          <w:szCs w:val="28"/>
        </w:rPr>
        <w:t>事业单位经营收入：</w:t>
      </w:r>
      <w:r>
        <w:rPr>
          <w:rFonts w:eastAsia="方正仿宋_GBK"/>
          <w:color w:val="000000"/>
          <w:sz w:val="28"/>
          <w:szCs w:val="28"/>
        </w:rPr>
        <w:t>指事业单位在专业业务活动及其辅助活动之外开展非独立核算经营活动取得的收入。</w:t>
      </w:r>
    </w:p>
    <w:p>
      <w:pPr>
        <w:spacing w:line="500" w:lineRule="exact"/>
        <w:ind w:firstLine="560"/>
        <w:rPr>
          <w:sz w:val="28"/>
          <w:szCs w:val="28"/>
        </w:rPr>
      </w:pPr>
      <w:r>
        <w:rPr>
          <w:rFonts w:eastAsia="方正仿宋_GBK"/>
          <w:color w:val="000000"/>
          <w:sz w:val="28"/>
          <w:szCs w:val="28"/>
        </w:rPr>
        <w:t>6、</w:t>
      </w:r>
      <w:r>
        <w:rPr>
          <w:rFonts w:eastAsia="方正仿宋_GBK"/>
          <w:b/>
          <w:color w:val="000000"/>
          <w:sz w:val="28"/>
          <w:szCs w:val="28"/>
        </w:rPr>
        <w:t>上年结转：</w:t>
      </w:r>
      <w:r>
        <w:rPr>
          <w:rFonts w:eastAsia="方正仿宋_GBK"/>
          <w:color w:val="000000"/>
          <w:sz w:val="28"/>
          <w:szCs w:val="28"/>
        </w:rPr>
        <w:t>指以前年度安排、结转到本年仍按原规定用途继续使用的资金。</w:t>
      </w:r>
    </w:p>
    <w:p>
      <w:pPr>
        <w:spacing w:line="500" w:lineRule="exact"/>
        <w:ind w:firstLine="560"/>
        <w:rPr>
          <w:sz w:val="28"/>
          <w:szCs w:val="28"/>
        </w:rPr>
      </w:pPr>
      <w:r>
        <w:rPr>
          <w:rFonts w:eastAsia="方正仿宋_GBK"/>
          <w:color w:val="000000"/>
          <w:sz w:val="28"/>
          <w:szCs w:val="28"/>
        </w:rPr>
        <w:t>7、</w:t>
      </w:r>
      <w:r>
        <w:rPr>
          <w:rFonts w:eastAsia="方正仿宋_GBK"/>
          <w:b/>
          <w:color w:val="000000"/>
          <w:sz w:val="28"/>
          <w:szCs w:val="28"/>
        </w:rPr>
        <w:t>部门预算支出：</w:t>
      </w:r>
      <w:r>
        <w:rPr>
          <w:rFonts w:eastAsia="方正仿宋_GBK"/>
          <w:color w:val="000000"/>
          <w:sz w:val="28"/>
          <w:szCs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rPr>
          <w:sz w:val="28"/>
          <w:szCs w:val="28"/>
        </w:rPr>
      </w:pPr>
      <w:r>
        <w:rPr>
          <w:rFonts w:eastAsia="方正仿宋_GBK"/>
          <w:color w:val="000000"/>
          <w:sz w:val="28"/>
          <w:szCs w:val="28"/>
        </w:rPr>
        <w:t>8、</w:t>
      </w:r>
      <w:r>
        <w:rPr>
          <w:rFonts w:eastAsia="方正仿宋_GBK"/>
          <w:b/>
          <w:color w:val="000000"/>
          <w:sz w:val="28"/>
          <w:szCs w:val="28"/>
        </w:rPr>
        <w:t>事业单位经营支出：</w:t>
      </w:r>
      <w:r>
        <w:rPr>
          <w:rFonts w:eastAsia="方正仿宋_GBK"/>
          <w:color w:val="000000"/>
          <w:sz w:val="28"/>
          <w:szCs w:val="28"/>
        </w:rPr>
        <w:t>指事业单位在专业业务活动及其辅助活动之外开展非独立核算经营活动发生的支出。</w:t>
      </w:r>
    </w:p>
    <w:p>
      <w:pPr>
        <w:spacing w:line="500" w:lineRule="exact"/>
        <w:ind w:firstLine="560"/>
        <w:rPr>
          <w:sz w:val="28"/>
          <w:szCs w:val="28"/>
        </w:rPr>
      </w:pPr>
      <w:r>
        <w:rPr>
          <w:rFonts w:eastAsia="方正仿宋_GBK"/>
          <w:color w:val="000000"/>
          <w:sz w:val="28"/>
          <w:szCs w:val="28"/>
        </w:rPr>
        <w:t>9、</w:t>
      </w:r>
      <w:r>
        <w:rPr>
          <w:rFonts w:eastAsia="方正仿宋_GBK"/>
          <w:b/>
          <w:color w:val="000000"/>
          <w:sz w:val="28"/>
          <w:szCs w:val="28"/>
        </w:rPr>
        <w:t>“三公”经费：</w:t>
      </w:r>
      <w:r>
        <w:rPr>
          <w:rFonts w:eastAsia="方正仿宋_GBK"/>
          <w:color w:val="000000"/>
          <w:sz w:val="28"/>
          <w:szCs w:val="28"/>
        </w:rPr>
        <w:t>纳入财政预算管理的“三公”经费，是指预算部门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bookmarkStart w:id="20" w:name="_GoBack"/>
      <w:bookmarkEnd w:id="20"/>
    </w:p>
    <w:p>
      <w:pPr>
        <w:spacing w:line="500" w:lineRule="exact"/>
        <w:ind w:firstLine="560"/>
        <w:rPr>
          <w:sz w:val="28"/>
          <w:szCs w:val="28"/>
        </w:rPr>
      </w:pPr>
      <w:r>
        <w:rPr>
          <w:rFonts w:eastAsia="方正仿宋_GBK"/>
          <w:color w:val="000000"/>
          <w:sz w:val="28"/>
          <w:szCs w:val="28"/>
        </w:rPr>
        <w:t>10、</w:t>
      </w:r>
      <w:r>
        <w:rPr>
          <w:rFonts w:eastAsia="方正仿宋_GBK"/>
          <w:b/>
          <w:color w:val="000000"/>
          <w:sz w:val="28"/>
          <w:szCs w:val="28"/>
        </w:rPr>
        <w:t>机关运行经费：</w:t>
      </w:r>
      <w:r>
        <w:rPr>
          <w:rFonts w:eastAsia="方正仿宋_GBK"/>
          <w:color w:val="000000"/>
          <w:sz w:val="28"/>
          <w:szCs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rPr>
          <w:sz w:val="32"/>
          <w:szCs w:val="32"/>
        </w:rPr>
      </w:pPr>
      <w:bookmarkStart w:id="19" w:name="_Toc_3_3_0000000020"/>
      <w:r>
        <w:rPr>
          <w:rFonts w:ascii="黑体" w:hAnsi="黑体" w:eastAsia="黑体" w:cs="黑体"/>
          <w:color w:val="000000"/>
          <w:sz w:val="32"/>
          <w:szCs w:val="32"/>
        </w:rPr>
        <w:t>十一、其他需要说明的事项</w:t>
      </w:r>
      <w:bookmarkEnd w:id="19"/>
    </w:p>
    <w:p>
      <w:pPr>
        <w:spacing w:line="500" w:lineRule="exact"/>
        <w:ind w:firstLine="560"/>
        <w:rPr>
          <w:sz w:val="28"/>
          <w:szCs w:val="28"/>
        </w:rPr>
      </w:pPr>
      <w:r>
        <w:rPr>
          <w:rFonts w:eastAsia="方正仿宋_GBK"/>
          <w:color w:val="000000"/>
          <w:sz w:val="28"/>
          <w:szCs w:val="28"/>
        </w:rPr>
        <w:t>我部门无其他需要说明的事项。</w:t>
      </w:r>
    </w:p>
    <w:sectPr>
      <w:pgSz w:w="16840" w:h="11900" w:orient="landscape"/>
      <w:pgMar w:top="1361" w:right="1020" w:bottom="1134" w:left="102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5AA2AF"/>
    <w:multiLevelType w:val="singleLevel"/>
    <w:tmpl w:val="A85AA2A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C3985"/>
    <w:rsid w:val="000C3985"/>
    <w:rsid w:val="00653455"/>
    <w:rsid w:val="013444C1"/>
    <w:rsid w:val="06C9422E"/>
    <w:rsid w:val="06EF58B1"/>
    <w:rsid w:val="0702568C"/>
    <w:rsid w:val="089944A9"/>
    <w:rsid w:val="12B90746"/>
    <w:rsid w:val="19DA3CF6"/>
    <w:rsid w:val="367871E9"/>
    <w:rsid w:val="46826A7D"/>
    <w:rsid w:val="479D298A"/>
    <w:rsid w:val="4DFD7181"/>
    <w:rsid w:val="518F6696"/>
    <w:rsid w:val="62556F61"/>
    <w:rsid w:val="68DF01D0"/>
    <w:rsid w:val="6A4F7FF6"/>
    <w:rsid w:val="6AE01AE3"/>
    <w:rsid w:val="71C03B54"/>
    <w:rsid w:val="765E373E"/>
    <w:rsid w:val="7DA206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uiPriority w:val="99"/>
    <w:pPr>
      <w:tabs>
        <w:tab w:val="center" w:pos="4153"/>
        <w:tab w:val="right" w:pos="8306"/>
      </w:tabs>
      <w:snapToGrid w:val="0"/>
    </w:pPr>
    <w:rPr>
      <w:sz w:val="18"/>
      <w:szCs w:val="18"/>
    </w:rPr>
  </w:style>
  <w:style w:type="paragraph" w:styleId="3">
    <w:name w:val="header"/>
    <w:basedOn w:val="1"/>
    <w:link w:val="2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uiPriority w:val="99"/>
    <w:rPr>
      <w:rFonts w:eastAsia="Times New Roman"/>
      <w:sz w:val="18"/>
      <w:szCs w:val="18"/>
      <w:lang w:eastAsia="uk-UA"/>
    </w:rPr>
  </w:style>
  <w:style w:type="character" w:customStyle="1" w:styleId="29">
    <w:name w:val="页脚 Char"/>
    <w:basedOn w:val="6"/>
    <w:link w:val="2"/>
    <w:semiHidden/>
    <w:qFormat/>
    <w:uiPriority w:val="99"/>
    <w:rPr>
      <w:rFonts w:eastAsia="Times New Roman"/>
      <w:sz w:val="18"/>
      <w:szCs w:val="18"/>
      <w:lang w:eastAsia="uk-UA"/>
    </w:rPr>
  </w:style>
  <w:style w:type="paragraph" w:customStyle="1" w:styleId="30">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1">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1329</Words>
  <Characters>7579</Characters>
  <Lines>63</Lines>
  <Paragraphs>17</Paragraphs>
  <TotalTime>17</TotalTime>
  <ScaleCrop>false</ScaleCrop>
  <LinksUpToDate>false</LinksUpToDate>
  <CharactersWithSpaces>8891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2025-02-24T06:01:00Z</dcterms:created>
  <dc:creator>lenovo</dc:creator>
  <cp:lastModifiedBy>Lenovo</cp:lastModifiedBy>
  <dcterms:modified xsi:type="dcterms:W3CDTF">2025-02-25T03:38:34Z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CD1E9257F6DB42DC9A26A7EED065568D</vt:lpwstr>
  </property>
</Properties>
</file>