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4</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2</w:t>
      </w:r>
      <w:r>
        <w:fldChar w:fldCharType="end"/>
      </w:r>
      <w:r>
        <w:rPr>
          <w:rFonts w:hint="eastAsia"/>
          <w:lang w:val="en-US" w:eastAsia="zh-CN"/>
        </w:rPr>
        <w:t>8</w:t>
      </w:r>
      <w:bookmarkStart w:id="20" w:name="_GoBack"/>
      <w:bookmarkEnd w:id="20"/>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553成安县信访局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775.31</w:t>
            </w:r>
          </w:p>
        </w:tc>
        <w:tc>
          <w:tcPr>
            <w:tcW w:w="4535" w:type="dxa"/>
            <w:vAlign w:val="center"/>
          </w:tcPr>
          <w:p>
            <w:pPr>
              <w:pStyle w:val="13"/>
            </w:pPr>
            <w:r>
              <w:t>一、一般公共服务支出</w:t>
            </w:r>
          </w:p>
        </w:tc>
        <w:tc>
          <w:tcPr>
            <w:tcW w:w="2126" w:type="dxa"/>
            <w:vAlign w:val="center"/>
          </w:tcPr>
          <w:p>
            <w:pPr>
              <w:pStyle w:val="12"/>
            </w:pPr>
            <w:r>
              <w:t>721.20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775.31</w:t>
            </w:r>
          </w:p>
        </w:tc>
        <w:tc>
          <w:tcPr>
            <w:tcW w:w="4535" w:type="dxa"/>
            <w:vAlign w:val="center"/>
          </w:tcPr>
          <w:p>
            <w:pPr>
              <w:pStyle w:val="15"/>
            </w:pPr>
            <w:r>
              <w:t>本年支出合计</w:t>
            </w:r>
          </w:p>
        </w:tc>
        <w:tc>
          <w:tcPr>
            <w:tcW w:w="2126" w:type="dxa"/>
            <w:vAlign w:val="center"/>
          </w:tcPr>
          <w:p>
            <w:pPr>
              <w:pStyle w:val="16"/>
            </w:pPr>
            <w:r>
              <w:t>775.31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775.31</w:t>
            </w:r>
          </w:p>
        </w:tc>
        <w:tc>
          <w:tcPr>
            <w:tcW w:w="4535" w:type="dxa"/>
            <w:vAlign w:val="center"/>
          </w:tcPr>
          <w:p>
            <w:pPr>
              <w:pStyle w:val="15"/>
            </w:pPr>
            <w:r>
              <w:t>支出总计</w:t>
            </w:r>
          </w:p>
        </w:tc>
        <w:tc>
          <w:tcPr>
            <w:tcW w:w="2126" w:type="dxa"/>
            <w:vAlign w:val="center"/>
          </w:tcPr>
          <w:p>
            <w:pPr>
              <w:pStyle w:val="16"/>
            </w:pPr>
            <w:r>
              <w:t>775.31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553成安县信访局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775.31</w:t>
            </w:r>
          </w:p>
        </w:tc>
        <w:tc>
          <w:tcPr>
            <w:tcW w:w="1134" w:type="dxa"/>
            <w:vAlign w:val="center"/>
          </w:tcPr>
          <w:p>
            <w:pPr>
              <w:pStyle w:val="16"/>
            </w:pPr>
            <w:r>
              <w:t>775.31</w:t>
            </w:r>
          </w:p>
        </w:tc>
        <w:tc>
          <w:tcPr>
            <w:tcW w:w="1134" w:type="dxa"/>
            <w:vAlign w:val="center"/>
          </w:tcPr>
          <w:p>
            <w:pPr>
              <w:pStyle w:val="16"/>
            </w:pPr>
            <w:r>
              <w:t>775.31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721.20</w:t>
            </w:r>
          </w:p>
        </w:tc>
        <w:tc>
          <w:tcPr>
            <w:tcW w:w="1134" w:type="dxa"/>
            <w:vAlign w:val="center"/>
          </w:tcPr>
          <w:p>
            <w:pPr>
              <w:pStyle w:val="12"/>
            </w:pPr>
            <w:r>
              <w:t>721.20</w:t>
            </w:r>
          </w:p>
        </w:tc>
        <w:tc>
          <w:tcPr>
            <w:tcW w:w="1134" w:type="dxa"/>
            <w:vAlign w:val="center"/>
          </w:tcPr>
          <w:p>
            <w:pPr>
              <w:pStyle w:val="12"/>
            </w:pPr>
            <w:r>
              <w:t>721.20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721.20</w:t>
            </w:r>
          </w:p>
        </w:tc>
        <w:tc>
          <w:tcPr>
            <w:tcW w:w="1134" w:type="dxa"/>
            <w:vAlign w:val="center"/>
          </w:tcPr>
          <w:p>
            <w:pPr>
              <w:pStyle w:val="12"/>
            </w:pPr>
            <w:r>
              <w:t>721.20</w:t>
            </w:r>
          </w:p>
        </w:tc>
        <w:tc>
          <w:tcPr>
            <w:tcW w:w="1134" w:type="dxa"/>
            <w:vAlign w:val="center"/>
          </w:tcPr>
          <w:p>
            <w:pPr>
              <w:pStyle w:val="12"/>
            </w:pPr>
            <w:r>
              <w:t>721.20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2014001</w:t>
            </w:r>
          </w:p>
        </w:tc>
        <w:tc>
          <w:tcPr>
            <w:tcW w:w="1559" w:type="dxa"/>
            <w:vAlign w:val="center"/>
          </w:tcPr>
          <w:p>
            <w:pPr>
              <w:pStyle w:val="13"/>
            </w:pPr>
            <w:r>
              <w:t>行政运行</w:t>
            </w:r>
          </w:p>
        </w:tc>
        <w:tc>
          <w:tcPr>
            <w:tcW w:w="1134" w:type="dxa"/>
            <w:vAlign w:val="center"/>
          </w:tcPr>
          <w:p>
            <w:pPr>
              <w:pStyle w:val="12"/>
            </w:pPr>
            <w:r>
              <w:t>521.20</w:t>
            </w:r>
          </w:p>
        </w:tc>
        <w:tc>
          <w:tcPr>
            <w:tcW w:w="1134" w:type="dxa"/>
            <w:vAlign w:val="center"/>
          </w:tcPr>
          <w:p>
            <w:pPr>
              <w:pStyle w:val="12"/>
            </w:pPr>
            <w:r>
              <w:t>521.20</w:t>
            </w:r>
          </w:p>
        </w:tc>
        <w:tc>
          <w:tcPr>
            <w:tcW w:w="1134" w:type="dxa"/>
            <w:vAlign w:val="center"/>
          </w:tcPr>
          <w:p>
            <w:pPr>
              <w:pStyle w:val="12"/>
            </w:pPr>
            <w:r>
              <w:t>521.20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2014002</w:t>
            </w:r>
          </w:p>
        </w:tc>
        <w:tc>
          <w:tcPr>
            <w:tcW w:w="1559" w:type="dxa"/>
            <w:vAlign w:val="center"/>
          </w:tcPr>
          <w:p>
            <w:pPr>
              <w:pStyle w:val="13"/>
            </w:pPr>
            <w:r>
              <w:t>一般行政管理事务</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35.04</w:t>
            </w:r>
          </w:p>
        </w:tc>
        <w:tc>
          <w:tcPr>
            <w:tcW w:w="1134" w:type="dxa"/>
            <w:vAlign w:val="center"/>
          </w:tcPr>
          <w:p>
            <w:pPr>
              <w:pStyle w:val="12"/>
            </w:pPr>
            <w:r>
              <w:t>35.04</w:t>
            </w:r>
          </w:p>
        </w:tc>
        <w:tc>
          <w:tcPr>
            <w:tcW w:w="1134" w:type="dxa"/>
            <w:vAlign w:val="center"/>
          </w:tcPr>
          <w:p>
            <w:pPr>
              <w:pStyle w:val="12"/>
            </w:pPr>
            <w:r>
              <w:t>35.04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34.66</w:t>
            </w:r>
          </w:p>
        </w:tc>
        <w:tc>
          <w:tcPr>
            <w:tcW w:w="1134" w:type="dxa"/>
            <w:vAlign w:val="center"/>
          </w:tcPr>
          <w:p>
            <w:pPr>
              <w:pStyle w:val="12"/>
            </w:pPr>
            <w:r>
              <w:t>34.66</w:t>
            </w:r>
          </w:p>
        </w:tc>
        <w:tc>
          <w:tcPr>
            <w:tcW w:w="1134" w:type="dxa"/>
            <w:vAlign w:val="center"/>
          </w:tcPr>
          <w:p>
            <w:pPr>
              <w:pStyle w:val="12"/>
            </w:pPr>
            <w:r>
              <w:t>34.66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20.43</w:t>
            </w:r>
          </w:p>
        </w:tc>
        <w:tc>
          <w:tcPr>
            <w:tcW w:w="1134" w:type="dxa"/>
            <w:vAlign w:val="center"/>
          </w:tcPr>
          <w:p>
            <w:pPr>
              <w:pStyle w:val="12"/>
            </w:pPr>
            <w:r>
              <w:t>20.43</w:t>
            </w:r>
          </w:p>
        </w:tc>
        <w:tc>
          <w:tcPr>
            <w:tcW w:w="1134" w:type="dxa"/>
            <w:vAlign w:val="center"/>
          </w:tcPr>
          <w:p>
            <w:pPr>
              <w:pStyle w:val="12"/>
            </w:pPr>
            <w:r>
              <w:t>20.43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0.38</w:t>
            </w:r>
          </w:p>
        </w:tc>
        <w:tc>
          <w:tcPr>
            <w:tcW w:w="1134" w:type="dxa"/>
            <w:vAlign w:val="center"/>
          </w:tcPr>
          <w:p>
            <w:pPr>
              <w:pStyle w:val="12"/>
            </w:pPr>
            <w:r>
              <w:t>0.38</w:t>
            </w:r>
          </w:p>
        </w:tc>
        <w:tc>
          <w:tcPr>
            <w:tcW w:w="1134" w:type="dxa"/>
            <w:vAlign w:val="center"/>
          </w:tcPr>
          <w:p>
            <w:pPr>
              <w:pStyle w:val="12"/>
            </w:pPr>
            <w:r>
              <w:t>0.38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0.38</w:t>
            </w:r>
          </w:p>
        </w:tc>
        <w:tc>
          <w:tcPr>
            <w:tcW w:w="1134" w:type="dxa"/>
            <w:vAlign w:val="center"/>
          </w:tcPr>
          <w:p>
            <w:pPr>
              <w:pStyle w:val="12"/>
            </w:pPr>
            <w:r>
              <w:t>0.38</w:t>
            </w:r>
          </w:p>
        </w:tc>
        <w:tc>
          <w:tcPr>
            <w:tcW w:w="1134" w:type="dxa"/>
            <w:vAlign w:val="center"/>
          </w:tcPr>
          <w:p>
            <w:pPr>
              <w:pStyle w:val="12"/>
            </w:pPr>
            <w:r>
              <w:t>0.38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r>
              <w:t>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11.50</w:t>
            </w:r>
          </w:p>
        </w:tc>
        <w:tc>
          <w:tcPr>
            <w:tcW w:w="1134" w:type="dxa"/>
            <w:vAlign w:val="center"/>
          </w:tcPr>
          <w:p>
            <w:pPr>
              <w:pStyle w:val="12"/>
            </w:pPr>
            <w:r>
              <w:t>11.50</w:t>
            </w:r>
          </w:p>
        </w:tc>
        <w:tc>
          <w:tcPr>
            <w:tcW w:w="1134" w:type="dxa"/>
            <w:vAlign w:val="center"/>
          </w:tcPr>
          <w:p>
            <w:pPr>
              <w:pStyle w:val="12"/>
            </w:pPr>
            <w:r>
              <w:t>11.50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11.50</w:t>
            </w:r>
          </w:p>
        </w:tc>
        <w:tc>
          <w:tcPr>
            <w:tcW w:w="1134" w:type="dxa"/>
            <w:vAlign w:val="center"/>
          </w:tcPr>
          <w:p>
            <w:pPr>
              <w:pStyle w:val="12"/>
            </w:pPr>
            <w:r>
              <w:t>11.50</w:t>
            </w:r>
          </w:p>
        </w:tc>
        <w:tc>
          <w:tcPr>
            <w:tcW w:w="1134" w:type="dxa"/>
            <w:vAlign w:val="center"/>
          </w:tcPr>
          <w:p>
            <w:pPr>
              <w:pStyle w:val="12"/>
            </w:pPr>
            <w:r>
              <w:t>11.50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11.50</w:t>
            </w:r>
          </w:p>
        </w:tc>
        <w:tc>
          <w:tcPr>
            <w:tcW w:w="1134" w:type="dxa"/>
            <w:vAlign w:val="center"/>
          </w:tcPr>
          <w:p>
            <w:pPr>
              <w:pStyle w:val="12"/>
            </w:pPr>
            <w:r>
              <w:t>11.50</w:t>
            </w:r>
          </w:p>
        </w:tc>
        <w:tc>
          <w:tcPr>
            <w:tcW w:w="1134" w:type="dxa"/>
            <w:vAlign w:val="center"/>
          </w:tcPr>
          <w:p>
            <w:pPr>
              <w:pStyle w:val="12"/>
            </w:pPr>
            <w:r>
              <w:t>11.50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775.31</w:t>
            </w:r>
          </w:p>
        </w:tc>
        <w:tc>
          <w:tcPr>
            <w:tcW w:w="1361" w:type="dxa"/>
            <w:vAlign w:val="center"/>
          </w:tcPr>
          <w:p>
            <w:pPr>
              <w:pStyle w:val="16"/>
            </w:pPr>
            <w:r>
              <w:t>275.31</w:t>
            </w:r>
          </w:p>
        </w:tc>
        <w:tc>
          <w:tcPr>
            <w:tcW w:w="1361" w:type="dxa"/>
            <w:vAlign w:val="center"/>
          </w:tcPr>
          <w:p>
            <w:pPr>
              <w:pStyle w:val="16"/>
            </w:pPr>
            <w:r>
              <w:t>500.00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721.20</w:t>
            </w:r>
          </w:p>
        </w:tc>
        <w:tc>
          <w:tcPr>
            <w:tcW w:w="1361" w:type="dxa"/>
            <w:vAlign w:val="center"/>
          </w:tcPr>
          <w:p>
            <w:pPr>
              <w:pStyle w:val="12"/>
            </w:pPr>
            <w:r>
              <w:t>221.20</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721.20</w:t>
            </w:r>
          </w:p>
        </w:tc>
        <w:tc>
          <w:tcPr>
            <w:tcW w:w="1361" w:type="dxa"/>
            <w:vAlign w:val="center"/>
          </w:tcPr>
          <w:p>
            <w:pPr>
              <w:pStyle w:val="12"/>
            </w:pPr>
            <w:r>
              <w:t>221.20</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2014001</w:t>
            </w:r>
          </w:p>
        </w:tc>
        <w:tc>
          <w:tcPr>
            <w:tcW w:w="4535" w:type="dxa"/>
            <w:vAlign w:val="center"/>
          </w:tcPr>
          <w:p>
            <w:pPr>
              <w:pStyle w:val="13"/>
            </w:pPr>
            <w:r>
              <w:t>行政运行</w:t>
            </w:r>
          </w:p>
        </w:tc>
        <w:tc>
          <w:tcPr>
            <w:tcW w:w="1361" w:type="dxa"/>
            <w:vAlign w:val="center"/>
          </w:tcPr>
          <w:p>
            <w:pPr>
              <w:pStyle w:val="12"/>
            </w:pPr>
            <w:r>
              <w:t>521.20</w:t>
            </w:r>
          </w:p>
        </w:tc>
        <w:tc>
          <w:tcPr>
            <w:tcW w:w="1361" w:type="dxa"/>
            <w:vAlign w:val="center"/>
          </w:tcPr>
          <w:p>
            <w:pPr>
              <w:pStyle w:val="12"/>
            </w:pPr>
            <w:r>
              <w:t>221.20</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2014002</w:t>
            </w:r>
          </w:p>
        </w:tc>
        <w:tc>
          <w:tcPr>
            <w:tcW w:w="4535" w:type="dxa"/>
            <w:vAlign w:val="center"/>
          </w:tcPr>
          <w:p>
            <w:pPr>
              <w:pStyle w:val="13"/>
            </w:pPr>
            <w:r>
              <w:t>一般行政管理事务</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35.04</w:t>
            </w:r>
          </w:p>
        </w:tc>
        <w:tc>
          <w:tcPr>
            <w:tcW w:w="1361" w:type="dxa"/>
            <w:vAlign w:val="center"/>
          </w:tcPr>
          <w:p>
            <w:pPr>
              <w:pStyle w:val="12"/>
            </w:pPr>
            <w:r>
              <w:t>35.04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34.66</w:t>
            </w:r>
          </w:p>
        </w:tc>
        <w:tc>
          <w:tcPr>
            <w:tcW w:w="1361" w:type="dxa"/>
            <w:vAlign w:val="center"/>
          </w:tcPr>
          <w:p>
            <w:pPr>
              <w:pStyle w:val="12"/>
            </w:pPr>
            <w:r>
              <w:t>34.66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20.43</w:t>
            </w:r>
          </w:p>
        </w:tc>
        <w:tc>
          <w:tcPr>
            <w:tcW w:w="1361" w:type="dxa"/>
            <w:vAlign w:val="center"/>
          </w:tcPr>
          <w:p>
            <w:pPr>
              <w:pStyle w:val="12"/>
            </w:pPr>
            <w:r>
              <w:t>20.43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14.23</w:t>
            </w:r>
          </w:p>
        </w:tc>
        <w:tc>
          <w:tcPr>
            <w:tcW w:w="1361" w:type="dxa"/>
            <w:vAlign w:val="center"/>
          </w:tcPr>
          <w:p>
            <w:pPr>
              <w:pStyle w:val="12"/>
            </w:pPr>
            <w:r>
              <w:t>14.23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0.38</w:t>
            </w:r>
          </w:p>
        </w:tc>
        <w:tc>
          <w:tcPr>
            <w:tcW w:w="1361" w:type="dxa"/>
            <w:vAlign w:val="center"/>
          </w:tcPr>
          <w:p>
            <w:pPr>
              <w:pStyle w:val="12"/>
            </w:pPr>
            <w:r>
              <w:t>0.38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0.38</w:t>
            </w:r>
          </w:p>
        </w:tc>
        <w:tc>
          <w:tcPr>
            <w:tcW w:w="1361" w:type="dxa"/>
            <w:vAlign w:val="center"/>
          </w:tcPr>
          <w:p>
            <w:pPr>
              <w:pStyle w:val="12"/>
            </w:pPr>
            <w:r>
              <w:t>0.38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7.56</w:t>
            </w: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7.56</w:t>
            </w: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7.56</w:t>
            </w:r>
          </w:p>
        </w:tc>
        <w:tc>
          <w:tcPr>
            <w:tcW w:w="1361" w:type="dxa"/>
            <w:vAlign w:val="center"/>
          </w:tcPr>
          <w:p>
            <w:pPr>
              <w:pStyle w:val="12"/>
            </w:pPr>
            <w:r>
              <w:t>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11.50</w:t>
            </w:r>
          </w:p>
        </w:tc>
        <w:tc>
          <w:tcPr>
            <w:tcW w:w="1361" w:type="dxa"/>
            <w:vAlign w:val="center"/>
          </w:tcPr>
          <w:p>
            <w:pPr>
              <w:pStyle w:val="12"/>
            </w:pPr>
            <w:r>
              <w:t>11.50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11.50</w:t>
            </w:r>
          </w:p>
        </w:tc>
        <w:tc>
          <w:tcPr>
            <w:tcW w:w="1361" w:type="dxa"/>
            <w:vAlign w:val="center"/>
          </w:tcPr>
          <w:p>
            <w:pPr>
              <w:pStyle w:val="12"/>
            </w:pPr>
            <w:r>
              <w:t>11.50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11.50</w:t>
            </w:r>
          </w:p>
        </w:tc>
        <w:tc>
          <w:tcPr>
            <w:tcW w:w="1361" w:type="dxa"/>
            <w:vAlign w:val="center"/>
          </w:tcPr>
          <w:p>
            <w:pPr>
              <w:pStyle w:val="12"/>
            </w:pPr>
            <w:r>
              <w:t>11.50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775.31</w:t>
            </w:r>
          </w:p>
        </w:tc>
        <w:tc>
          <w:tcPr>
            <w:tcW w:w="3402" w:type="dxa"/>
            <w:vAlign w:val="center"/>
          </w:tcPr>
          <w:p>
            <w:pPr>
              <w:pStyle w:val="13"/>
            </w:pPr>
            <w:r>
              <w:t>一、一般公共服务支出</w:t>
            </w:r>
          </w:p>
        </w:tc>
        <w:tc>
          <w:tcPr>
            <w:tcW w:w="1474" w:type="dxa"/>
            <w:vAlign w:val="center"/>
          </w:tcPr>
          <w:p>
            <w:pPr>
              <w:pStyle w:val="12"/>
            </w:pPr>
            <w:r>
              <w:t>721.20</w:t>
            </w:r>
          </w:p>
        </w:tc>
        <w:tc>
          <w:tcPr>
            <w:tcW w:w="1474" w:type="dxa"/>
            <w:vAlign w:val="center"/>
          </w:tcPr>
          <w:p>
            <w:pPr>
              <w:pStyle w:val="12"/>
            </w:pPr>
            <w:r>
              <w:t>721.20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35.04</w:t>
            </w:r>
          </w:p>
        </w:tc>
        <w:tc>
          <w:tcPr>
            <w:tcW w:w="1474" w:type="dxa"/>
            <w:vAlign w:val="center"/>
          </w:tcPr>
          <w:p>
            <w:pPr>
              <w:pStyle w:val="12"/>
            </w:pPr>
            <w:r>
              <w:t>35.04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7.56</w:t>
            </w:r>
          </w:p>
        </w:tc>
        <w:tc>
          <w:tcPr>
            <w:tcW w:w="1474" w:type="dxa"/>
            <w:vAlign w:val="center"/>
          </w:tcPr>
          <w:p>
            <w:pPr>
              <w:pStyle w:val="12"/>
            </w:pPr>
            <w:r>
              <w:t>7.56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11.50</w:t>
            </w:r>
          </w:p>
        </w:tc>
        <w:tc>
          <w:tcPr>
            <w:tcW w:w="1474" w:type="dxa"/>
            <w:vAlign w:val="center"/>
          </w:tcPr>
          <w:p>
            <w:pPr>
              <w:pStyle w:val="12"/>
            </w:pPr>
            <w:r>
              <w:t>11.50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775.31</w:t>
            </w:r>
          </w:p>
        </w:tc>
        <w:tc>
          <w:tcPr>
            <w:tcW w:w="3402" w:type="dxa"/>
            <w:vAlign w:val="center"/>
          </w:tcPr>
          <w:p>
            <w:pPr>
              <w:pStyle w:val="15"/>
            </w:pPr>
            <w:r>
              <w:t>本年支出合计</w:t>
            </w:r>
          </w:p>
        </w:tc>
        <w:tc>
          <w:tcPr>
            <w:tcW w:w="1474" w:type="dxa"/>
            <w:vAlign w:val="center"/>
          </w:tcPr>
          <w:p>
            <w:pPr>
              <w:pStyle w:val="16"/>
            </w:pPr>
            <w:r>
              <w:t>775.31</w:t>
            </w:r>
          </w:p>
        </w:tc>
        <w:tc>
          <w:tcPr>
            <w:tcW w:w="1474" w:type="dxa"/>
            <w:vAlign w:val="center"/>
          </w:tcPr>
          <w:p>
            <w:pPr>
              <w:pStyle w:val="16"/>
            </w:pPr>
            <w:r>
              <w:t>775.31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775.31</w:t>
            </w:r>
          </w:p>
        </w:tc>
        <w:tc>
          <w:tcPr>
            <w:tcW w:w="3402" w:type="dxa"/>
            <w:vAlign w:val="center"/>
          </w:tcPr>
          <w:p>
            <w:pPr>
              <w:pStyle w:val="15"/>
            </w:pPr>
            <w:r>
              <w:t>支出总计</w:t>
            </w:r>
          </w:p>
        </w:tc>
        <w:tc>
          <w:tcPr>
            <w:tcW w:w="1474" w:type="dxa"/>
            <w:vAlign w:val="center"/>
          </w:tcPr>
          <w:p>
            <w:pPr>
              <w:pStyle w:val="16"/>
            </w:pPr>
            <w:r>
              <w:t>775.31</w:t>
            </w:r>
          </w:p>
        </w:tc>
        <w:tc>
          <w:tcPr>
            <w:tcW w:w="1474" w:type="dxa"/>
            <w:vAlign w:val="center"/>
          </w:tcPr>
          <w:p>
            <w:pPr>
              <w:pStyle w:val="16"/>
            </w:pPr>
            <w:r>
              <w:t>775.31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775.31</w:t>
            </w:r>
          </w:p>
        </w:tc>
        <w:tc>
          <w:tcPr>
            <w:tcW w:w="2551" w:type="dxa"/>
            <w:vAlign w:val="center"/>
          </w:tcPr>
          <w:p>
            <w:pPr>
              <w:pStyle w:val="16"/>
            </w:pPr>
            <w:r>
              <w:t>275.31</w:t>
            </w:r>
          </w:p>
        </w:tc>
        <w:tc>
          <w:tcPr>
            <w:tcW w:w="255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721.20</w:t>
            </w:r>
          </w:p>
        </w:tc>
        <w:tc>
          <w:tcPr>
            <w:tcW w:w="2551" w:type="dxa"/>
            <w:vAlign w:val="center"/>
          </w:tcPr>
          <w:p>
            <w:pPr>
              <w:pStyle w:val="12"/>
            </w:pPr>
            <w:r>
              <w:t>221.20</w:t>
            </w: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721.20</w:t>
            </w:r>
          </w:p>
        </w:tc>
        <w:tc>
          <w:tcPr>
            <w:tcW w:w="2551" w:type="dxa"/>
            <w:vAlign w:val="center"/>
          </w:tcPr>
          <w:p>
            <w:pPr>
              <w:pStyle w:val="12"/>
            </w:pPr>
            <w:r>
              <w:t>221.20</w:t>
            </w: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2014001</w:t>
            </w:r>
          </w:p>
        </w:tc>
        <w:tc>
          <w:tcPr>
            <w:tcW w:w="4535" w:type="dxa"/>
            <w:vAlign w:val="center"/>
          </w:tcPr>
          <w:p>
            <w:pPr>
              <w:pStyle w:val="13"/>
            </w:pPr>
            <w:r>
              <w:t>行政运行</w:t>
            </w:r>
          </w:p>
        </w:tc>
        <w:tc>
          <w:tcPr>
            <w:tcW w:w="2551" w:type="dxa"/>
            <w:vAlign w:val="center"/>
          </w:tcPr>
          <w:p>
            <w:pPr>
              <w:pStyle w:val="12"/>
            </w:pPr>
            <w:r>
              <w:t>521.20</w:t>
            </w:r>
          </w:p>
        </w:tc>
        <w:tc>
          <w:tcPr>
            <w:tcW w:w="2551" w:type="dxa"/>
            <w:vAlign w:val="center"/>
          </w:tcPr>
          <w:p>
            <w:pPr>
              <w:pStyle w:val="12"/>
            </w:pPr>
            <w:r>
              <w:t>221.20</w:t>
            </w:r>
          </w:p>
        </w:tc>
        <w:tc>
          <w:tcPr>
            <w:tcW w:w="255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2014002</w:t>
            </w:r>
          </w:p>
        </w:tc>
        <w:tc>
          <w:tcPr>
            <w:tcW w:w="4535" w:type="dxa"/>
            <w:vAlign w:val="center"/>
          </w:tcPr>
          <w:p>
            <w:pPr>
              <w:pStyle w:val="13"/>
            </w:pPr>
            <w:r>
              <w:t>一般行政管理事务</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35.04</w:t>
            </w:r>
          </w:p>
        </w:tc>
        <w:tc>
          <w:tcPr>
            <w:tcW w:w="2551" w:type="dxa"/>
            <w:vAlign w:val="center"/>
          </w:tcPr>
          <w:p>
            <w:pPr>
              <w:pStyle w:val="12"/>
            </w:pPr>
            <w:r>
              <w:t>35.04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34.66</w:t>
            </w:r>
          </w:p>
        </w:tc>
        <w:tc>
          <w:tcPr>
            <w:tcW w:w="2551" w:type="dxa"/>
            <w:vAlign w:val="center"/>
          </w:tcPr>
          <w:p>
            <w:pPr>
              <w:pStyle w:val="12"/>
            </w:pPr>
            <w:r>
              <w:t>34.66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20.43</w:t>
            </w:r>
          </w:p>
        </w:tc>
        <w:tc>
          <w:tcPr>
            <w:tcW w:w="2551" w:type="dxa"/>
            <w:vAlign w:val="center"/>
          </w:tcPr>
          <w:p>
            <w:pPr>
              <w:pStyle w:val="12"/>
            </w:pPr>
            <w:r>
              <w:t>20.43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14.23</w:t>
            </w:r>
          </w:p>
        </w:tc>
        <w:tc>
          <w:tcPr>
            <w:tcW w:w="2551" w:type="dxa"/>
            <w:vAlign w:val="center"/>
          </w:tcPr>
          <w:p>
            <w:pPr>
              <w:pStyle w:val="12"/>
            </w:pPr>
            <w:r>
              <w:t>14.23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0.38</w:t>
            </w:r>
          </w:p>
        </w:tc>
        <w:tc>
          <w:tcPr>
            <w:tcW w:w="2551" w:type="dxa"/>
            <w:vAlign w:val="center"/>
          </w:tcPr>
          <w:p>
            <w:pPr>
              <w:pStyle w:val="12"/>
            </w:pPr>
            <w:r>
              <w:t>0.38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0.38</w:t>
            </w:r>
          </w:p>
        </w:tc>
        <w:tc>
          <w:tcPr>
            <w:tcW w:w="2551" w:type="dxa"/>
            <w:vAlign w:val="center"/>
          </w:tcPr>
          <w:p>
            <w:pPr>
              <w:pStyle w:val="12"/>
            </w:pPr>
            <w:r>
              <w:t>0.38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7.56</w:t>
            </w:r>
          </w:p>
        </w:tc>
        <w:tc>
          <w:tcPr>
            <w:tcW w:w="2551" w:type="dxa"/>
            <w:vAlign w:val="center"/>
          </w:tcPr>
          <w:p>
            <w:pPr>
              <w:pStyle w:val="12"/>
            </w:pPr>
            <w:r>
              <w:t>7.56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7.56</w:t>
            </w:r>
          </w:p>
        </w:tc>
        <w:tc>
          <w:tcPr>
            <w:tcW w:w="2551" w:type="dxa"/>
            <w:vAlign w:val="center"/>
          </w:tcPr>
          <w:p>
            <w:pPr>
              <w:pStyle w:val="12"/>
            </w:pPr>
            <w:r>
              <w:t>7.56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7.56</w:t>
            </w:r>
          </w:p>
        </w:tc>
        <w:tc>
          <w:tcPr>
            <w:tcW w:w="2551" w:type="dxa"/>
            <w:vAlign w:val="center"/>
          </w:tcPr>
          <w:p>
            <w:pPr>
              <w:pStyle w:val="12"/>
            </w:pPr>
            <w:r>
              <w:t>7.56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11.50</w:t>
            </w:r>
          </w:p>
        </w:tc>
        <w:tc>
          <w:tcPr>
            <w:tcW w:w="2551" w:type="dxa"/>
            <w:vAlign w:val="center"/>
          </w:tcPr>
          <w:p>
            <w:pPr>
              <w:pStyle w:val="12"/>
            </w:pPr>
            <w:r>
              <w:t>11.50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11.50</w:t>
            </w:r>
          </w:p>
        </w:tc>
        <w:tc>
          <w:tcPr>
            <w:tcW w:w="2551" w:type="dxa"/>
            <w:vAlign w:val="center"/>
          </w:tcPr>
          <w:p>
            <w:pPr>
              <w:pStyle w:val="12"/>
            </w:pPr>
            <w:r>
              <w:t>11.50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11.50</w:t>
            </w:r>
          </w:p>
        </w:tc>
        <w:tc>
          <w:tcPr>
            <w:tcW w:w="2551" w:type="dxa"/>
            <w:vAlign w:val="center"/>
          </w:tcPr>
          <w:p>
            <w:pPr>
              <w:pStyle w:val="12"/>
            </w:pPr>
            <w:r>
              <w:t>11.50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275.31</w:t>
            </w:r>
          </w:p>
        </w:tc>
        <w:tc>
          <w:tcPr>
            <w:tcW w:w="2551" w:type="dxa"/>
            <w:vAlign w:val="center"/>
          </w:tcPr>
          <w:p>
            <w:pPr>
              <w:pStyle w:val="16"/>
            </w:pPr>
            <w:r>
              <w:t>170.15</w:t>
            </w:r>
          </w:p>
        </w:tc>
        <w:tc>
          <w:tcPr>
            <w:tcW w:w="2551" w:type="dxa"/>
            <w:vAlign w:val="center"/>
          </w:tcPr>
          <w:p>
            <w:pPr>
              <w:pStyle w:val="16"/>
            </w:pPr>
            <w:r>
              <w:t>105.16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149.72</w:t>
            </w:r>
          </w:p>
        </w:tc>
        <w:tc>
          <w:tcPr>
            <w:tcW w:w="2551" w:type="dxa"/>
            <w:vAlign w:val="center"/>
          </w:tcPr>
          <w:p>
            <w:pPr>
              <w:pStyle w:val="12"/>
            </w:pPr>
            <w:r>
              <w:t>149.72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63.59</w:t>
            </w:r>
          </w:p>
        </w:tc>
        <w:tc>
          <w:tcPr>
            <w:tcW w:w="2551" w:type="dxa"/>
            <w:vAlign w:val="center"/>
          </w:tcPr>
          <w:p>
            <w:pPr>
              <w:pStyle w:val="12"/>
            </w:pPr>
            <w:r>
              <w:t>63.59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19.81</w:t>
            </w:r>
          </w:p>
        </w:tc>
        <w:tc>
          <w:tcPr>
            <w:tcW w:w="2551" w:type="dxa"/>
            <w:vAlign w:val="center"/>
          </w:tcPr>
          <w:p>
            <w:pPr>
              <w:pStyle w:val="12"/>
            </w:pPr>
            <w:r>
              <w:t>19.81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13.41</w:t>
            </w:r>
          </w:p>
        </w:tc>
        <w:tc>
          <w:tcPr>
            <w:tcW w:w="2551" w:type="dxa"/>
            <w:vAlign w:val="center"/>
          </w:tcPr>
          <w:p>
            <w:pPr>
              <w:pStyle w:val="12"/>
            </w:pPr>
            <w:r>
              <w:t>13.41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18.91</w:t>
            </w:r>
          </w:p>
        </w:tc>
        <w:tc>
          <w:tcPr>
            <w:tcW w:w="2551" w:type="dxa"/>
            <w:vAlign w:val="center"/>
          </w:tcPr>
          <w:p>
            <w:pPr>
              <w:pStyle w:val="12"/>
            </w:pPr>
            <w:r>
              <w:t>18.91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14.56</w:t>
            </w:r>
          </w:p>
        </w:tc>
        <w:tc>
          <w:tcPr>
            <w:tcW w:w="2551" w:type="dxa"/>
            <w:vAlign w:val="center"/>
          </w:tcPr>
          <w:p>
            <w:pPr>
              <w:pStyle w:val="12"/>
            </w:pPr>
            <w:r>
              <w:t>14.56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7.56</w:t>
            </w:r>
          </w:p>
        </w:tc>
        <w:tc>
          <w:tcPr>
            <w:tcW w:w="2551" w:type="dxa"/>
            <w:vAlign w:val="center"/>
          </w:tcPr>
          <w:p>
            <w:pPr>
              <w:pStyle w:val="12"/>
            </w:pPr>
            <w:r>
              <w:t>7.56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0.38</w:t>
            </w:r>
          </w:p>
        </w:tc>
        <w:tc>
          <w:tcPr>
            <w:tcW w:w="2551" w:type="dxa"/>
            <w:vAlign w:val="center"/>
          </w:tcPr>
          <w:p>
            <w:pPr>
              <w:pStyle w:val="12"/>
            </w:pPr>
            <w:r>
              <w:t>0.38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11.50</w:t>
            </w:r>
          </w:p>
        </w:tc>
        <w:tc>
          <w:tcPr>
            <w:tcW w:w="2551" w:type="dxa"/>
            <w:vAlign w:val="center"/>
          </w:tcPr>
          <w:p>
            <w:pPr>
              <w:pStyle w:val="12"/>
            </w:pPr>
            <w:r>
              <w:t>11.50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105.16</w:t>
            </w:r>
          </w:p>
        </w:tc>
        <w:tc>
          <w:tcPr>
            <w:tcW w:w="2551" w:type="dxa"/>
            <w:vAlign w:val="center"/>
          </w:tcPr>
          <w:p>
            <w:pPr>
              <w:pStyle w:val="12"/>
            </w:pPr>
          </w:p>
        </w:tc>
        <w:tc>
          <w:tcPr>
            <w:tcW w:w="2551" w:type="dxa"/>
            <w:vAlign w:val="center"/>
          </w:tcPr>
          <w:p>
            <w:pPr>
              <w:pStyle w:val="12"/>
            </w:pPr>
            <w:r>
              <w:t>105.16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98.10</w:t>
            </w:r>
          </w:p>
        </w:tc>
        <w:tc>
          <w:tcPr>
            <w:tcW w:w="2551" w:type="dxa"/>
            <w:vAlign w:val="center"/>
          </w:tcPr>
          <w:p>
            <w:pPr>
              <w:pStyle w:val="12"/>
            </w:pPr>
          </w:p>
        </w:tc>
        <w:tc>
          <w:tcPr>
            <w:tcW w:w="2551" w:type="dxa"/>
            <w:vAlign w:val="center"/>
          </w:tcPr>
          <w:p>
            <w:pPr>
              <w:pStyle w:val="12"/>
            </w:pPr>
            <w:r>
              <w:t>98.10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1.90</w:t>
            </w:r>
          </w:p>
        </w:tc>
        <w:tc>
          <w:tcPr>
            <w:tcW w:w="2551" w:type="dxa"/>
            <w:vAlign w:val="center"/>
          </w:tcPr>
          <w:p>
            <w:pPr>
              <w:pStyle w:val="12"/>
            </w:pPr>
          </w:p>
        </w:tc>
        <w:tc>
          <w:tcPr>
            <w:tcW w:w="2551" w:type="dxa"/>
            <w:vAlign w:val="center"/>
          </w:tcPr>
          <w:p>
            <w:pPr>
              <w:pStyle w:val="12"/>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5.16</w:t>
            </w:r>
          </w:p>
        </w:tc>
        <w:tc>
          <w:tcPr>
            <w:tcW w:w="2551" w:type="dxa"/>
            <w:vAlign w:val="center"/>
          </w:tcPr>
          <w:p>
            <w:pPr>
              <w:pStyle w:val="12"/>
            </w:pPr>
          </w:p>
        </w:tc>
        <w:tc>
          <w:tcPr>
            <w:tcW w:w="2551" w:type="dxa"/>
            <w:vAlign w:val="center"/>
          </w:tcPr>
          <w:p>
            <w:pPr>
              <w:pStyle w:val="12"/>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20.43</w:t>
            </w:r>
          </w:p>
        </w:tc>
        <w:tc>
          <w:tcPr>
            <w:tcW w:w="2551" w:type="dxa"/>
            <w:vAlign w:val="center"/>
          </w:tcPr>
          <w:p>
            <w:pPr>
              <w:pStyle w:val="12"/>
            </w:pPr>
            <w:r>
              <w:t>20.43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15.09</w:t>
            </w:r>
          </w:p>
        </w:tc>
        <w:tc>
          <w:tcPr>
            <w:tcW w:w="2551" w:type="dxa"/>
            <w:vAlign w:val="center"/>
          </w:tcPr>
          <w:p>
            <w:pPr>
              <w:pStyle w:val="12"/>
            </w:pPr>
            <w:r>
              <w:t>15.09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5.34</w:t>
            </w:r>
          </w:p>
        </w:tc>
        <w:tc>
          <w:tcPr>
            <w:tcW w:w="2551" w:type="dxa"/>
            <w:vAlign w:val="center"/>
          </w:tcPr>
          <w:p>
            <w:pPr>
              <w:pStyle w:val="12"/>
            </w:pPr>
            <w:r>
              <w:t>5.34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553成安县信访局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1.90</w:t>
            </w:r>
          </w:p>
        </w:tc>
        <w:tc>
          <w:tcPr>
            <w:tcW w:w="2381" w:type="dxa"/>
            <w:vAlign w:val="center"/>
          </w:tcPr>
          <w:p>
            <w:pPr>
              <w:pStyle w:val="16"/>
            </w:pPr>
            <w:r>
              <w:t>1.90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1.90</w:t>
            </w:r>
          </w:p>
        </w:tc>
        <w:tc>
          <w:tcPr>
            <w:tcW w:w="2381" w:type="dxa"/>
            <w:vAlign w:val="center"/>
          </w:tcPr>
          <w:p>
            <w:pPr>
              <w:pStyle w:val="12"/>
            </w:pPr>
            <w:r>
              <w:t>1.90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1.90</w:t>
            </w:r>
          </w:p>
        </w:tc>
        <w:tc>
          <w:tcPr>
            <w:tcW w:w="2381" w:type="dxa"/>
            <w:vAlign w:val="center"/>
          </w:tcPr>
          <w:p>
            <w:pPr>
              <w:pStyle w:val="12"/>
            </w:pPr>
            <w:r>
              <w:t>1.90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1.90</w:t>
            </w:r>
          </w:p>
        </w:tc>
        <w:tc>
          <w:tcPr>
            <w:tcW w:w="2381" w:type="dxa"/>
            <w:vAlign w:val="center"/>
          </w:tcPr>
          <w:p>
            <w:pPr>
              <w:pStyle w:val="12"/>
            </w:pPr>
            <w:r>
              <w:t>1.90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成安县信访局2026年部门预算信息公开情况说明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成安县信访局2026年部门预算信息公开情况说明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按照《中华人民共和国预算法》、《地方预决算公开操作规程》和《关于进一步推进预算公开工作的实施意见》规定，现将成安县信访局2026年部门预算公开如下：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1、研究提出全县信访工作思路，拟定信访工作意见，制度和法规。</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2、办理、接待群众来信、来访，查办信访案件。</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3、负责县委、县政府人民群众建议征集办公室工作。</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4、调查研究和分析全县信访形势及信访工作状况，及时向县委、县政府提出对策建议。</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5、参与组织、协调指挥全市社会治安综合治理和维护社会稳定工作，协助保障重大政治活动顺利进行，参与处理影响社会稳定的突发性、群体性事件。</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6、处理省、市、国家局交办的信访事项及全县网络舆情管理，促进社会和谐稳定。</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下设2个科室，分别为办公室、信访科。</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办公室主要负责协助领导处理日常工作，并负责劳动人事、绩效考核、综合协调、文秘、档案综合管理职能机构。</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信访科主要负责县级来信来访的接待办理督办工作。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成安县信访局本级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widowControl/>
        <w:spacing w:line="540" w:lineRule="exact"/>
        <w:jc w:val="left"/>
        <w:rPr>
          <w:rFonts w:hint="eastAsia" w:ascii="楷体" w:hAnsi="楷体" w:eastAsia="楷体" w:cs="仿宋_GB2312"/>
          <w:b/>
          <w:kern w:val="0"/>
          <w:sz w:val="32"/>
          <w:szCs w:val="32"/>
          <w:lang w:bidi="ar"/>
        </w:rPr>
      </w:pPr>
      <w:r>
        <w:rPr>
          <w:rFonts w:hint="eastAsia" w:ascii="黑体" w:hAnsi="黑体" w:eastAsia="黑体" w:cs="黑体"/>
          <w:color w:val="000000"/>
          <w:sz w:val="32"/>
          <w:lang w:val="en-US" w:eastAsia="zh-CN"/>
        </w:rPr>
        <w:t xml:space="preserve">  </w:t>
      </w:r>
      <w:r>
        <w:rPr>
          <w:rFonts w:hint="eastAsia" w:ascii="楷体" w:hAnsi="楷体" w:eastAsia="楷体" w:cs="仿宋_GB2312"/>
          <w:b/>
          <w:kern w:val="0"/>
          <w:sz w:val="32"/>
          <w:szCs w:val="32"/>
          <w:lang w:bidi="ar"/>
        </w:rPr>
        <w:t>1、收入说明</w:t>
      </w:r>
    </w:p>
    <w:p>
      <w:pPr>
        <w:spacing w:line="540" w:lineRule="exact"/>
        <w:ind w:firstLine="320" w:firstLineChars="100"/>
        <w:rPr>
          <w:rFonts w:ascii="仿宋" w:hAnsi="仿宋" w:eastAsia="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775.31</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775.31万</w:t>
      </w:r>
      <w:r>
        <w:rPr>
          <w:rFonts w:hint="eastAsia" w:ascii="仿宋" w:hAnsi="仿宋" w:eastAsia="仿宋" w:cs="仿宋"/>
          <w:sz w:val="32"/>
          <w:szCs w:val="32"/>
        </w:rPr>
        <w:t>元。</w:t>
      </w:r>
      <w:r>
        <w:rPr>
          <w:rFonts w:hint="eastAsia" w:ascii="仿宋" w:hAnsi="仿宋" w:eastAsia="仿宋"/>
          <w:sz w:val="32"/>
          <w:szCs w:val="32"/>
        </w:rPr>
        <w:t>政府性基金收入0万元，国有资本经营收入0万元，事业收入0万元，其他收入0万元。</w:t>
      </w:r>
    </w:p>
    <w:p>
      <w:pPr>
        <w:spacing w:line="540" w:lineRule="exact"/>
        <w:ind w:firstLine="321" w:firstLineChars="100"/>
        <w:rPr>
          <w:rFonts w:hint="eastAsia" w:ascii="楷体" w:hAnsi="楷体" w:eastAsia="楷体"/>
          <w:b/>
          <w:sz w:val="32"/>
          <w:szCs w:val="32"/>
        </w:rPr>
      </w:pPr>
      <w:r>
        <w:rPr>
          <w:rFonts w:hint="eastAsia" w:ascii="楷体" w:hAnsi="楷体" w:eastAsia="楷体"/>
          <w:b/>
          <w:sz w:val="32"/>
          <w:szCs w:val="32"/>
        </w:rPr>
        <w:t>2、支出说明</w:t>
      </w:r>
    </w:p>
    <w:p>
      <w:pPr>
        <w:spacing w:line="540" w:lineRule="exact"/>
        <w:ind w:firstLine="320" w:firstLineChars="100"/>
        <w:rPr>
          <w:rFonts w:hint="eastAsia" w:ascii="宋体" w:hAnsi="宋体" w:cs="方正仿宋_GBK"/>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775.31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275.31</w:t>
      </w:r>
      <w:r>
        <w:rPr>
          <w:rFonts w:hint="eastAsia" w:ascii="仿宋" w:hAnsi="仿宋" w:eastAsia="仿宋" w:cs="仿宋"/>
          <w:sz w:val="32"/>
          <w:szCs w:val="32"/>
        </w:rPr>
        <w:t>万元，包括人员经费</w:t>
      </w:r>
      <w:r>
        <w:rPr>
          <w:rFonts w:hint="eastAsia" w:ascii="仿宋" w:hAnsi="仿宋" w:eastAsia="仿宋" w:cs="仿宋"/>
          <w:sz w:val="32"/>
          <w:szCs w:val="32"/>
          <w:lang w:val="en-US" w:eastAsia="zh-CN"/>
        </w:rPr>
        <w:t>170.15</w:t>
      </w:r>
      <w:r>
        <w:rPr>
          <w:rFonts w:hint="eastAsia" w:ascii="仿宋" w:hAnsi="仿宋" w:eastAsia="仿宋" w:cs="仿宋"/>
          <w:sz w:val="32"/>
          <w:szCs w:val="32"/>
        </w:rPr>
        <w:t>万元和日常公用经费</w:t>
      </w:r>
      <w:r>
        <w:rPr>
          <w:rFonts w:hint="eastAsia" w:ascii="仿宋" w:hAnsi="仿宋" w:eastAsia="仿宋" w:cs="仿宋"/>
          <w:sz w:val="32"/>
          <w:szCs w:val="32"/>
          <w:lang w:val="en-US" w:eastAsia="zh-CN"/>
        </w:rPr>
        <w:t>105.16</w:t>
      </w:r>
      <w:r>
        <w:rPr>
          <w:rFonts w:hint="eastAsia" w:ascii="仿宋" w:hAnsi="仿宋" w:eastAsia="仿宋" w:cs="仿宋"/>
          <w:sz w:val="32"/>
          <w:szCs w:val="32"/>
        </w:rPr>
        <w:t>万元。</w:t>
      </w:r>
      <w:r>
        <w:rPr>
          <w:rFonts w:hint="eastAsia" w:ascii="仿宋" w:hAnsi="仿宋" w:eastAsia="仿宋"/>
          <w:sz w:val="32"/>
          <w:szCs w:val="32"/>
        </w:rPr>
        <w:t>项目支出</w:t>
      </w:r>
      <w:r>
        <w:rPr>
          <w:rFonts w:hint="eastAsia" w:ascii="仿宋" w:hAnsi="仿宋" w:eastAsia="仿宋"/>
          <w:sz w:val="32"/>
          <w:szCs w:val="32"/>
          <w:lang w:val="en-US" w:eastAsia="zh-CN"/>
        </w:rPr>
        <w:t>500</w:t>
      </w:r>
      <w:r>
        <w:rPr>
          <w:rFonts w:hint="eastAsia" w:ascii="仿宋" w:hAnsi="仿宋" w:eastAsia="仿宋"/>
          <w:sz w:val="32"/>
          <w:szCs w:val="32"/>
        </w:rPr>
        <w:t>万元。</w:t>
      </w:r>
    </w:p>
    <w:p>
      <w:pPr>
        <w:spacing w:line="540" w:lineRule="exact"/>
        <w:ind w:firstLine="321" w:firstLineChars="100"/>
        <w:rPr>
          <w:rFonts w:hint="eastAsia" w:ascii="楷体" w:hAnsi="楷体" w:eastAsia="楷体"/>
          <w:b/>
          <w:sz w:val="32"/>
          <w:szCs w:val="32"/>
        </w:rPr>
      </w:pPr>
      <w:r>
        <w:rPr>
          <w:rFonts w:hint="eastAsia" w:ascii="楷体" w:hAnsi="楷体" w:eastAsia="楷体"/>
          <w:b/>
          <w:sz w:val="32"/>
          <w:szCs w:val="32"/>
        </w:rPr>
        <w:t>3、比上年增减变化情况</w:t>
      </w:r>
    </w:p>
    <w:p>
      <w:pPr>
        <w:numPr>
          <w:numId w:val="0"/>
        </w:numPr>
        <w:spacing w:before="10" w:after="10" w:line="360" w:lineRule="auto"/>
        <w:ind w:firstLine="320" w:firstLineChars="100"/>
        <w:jc w:val="left"/>
        <w:outlineLvl w:val="2"/>
        <w:rPr>
          <w:rFonts w:hint="default" w:ascii="黑体" w:hAnsi="黑体" w:eastAsia="黑体" w:cs="黑体"/>
          <w:color w:val="000000"/>
          <w:sz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775.31</w:t>
      </w:r>
      <w:r>
        <w:rPr>
          <w:rFonts w:hint="eastAsia" w:ascii="仿宋" w:hAnsi="仿宋" w:eastAsia="仿宋" w:cs="仿宋"/>
          <w:sz w:val="32"/>
          <w:szCs w:val="32"/>
        </w:rPr>
        <w:t>万元，较202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7.86</w:t>
      </w:r>
      <w:r>
        <w:rPr>
          <w:rFonts w:hint="eastAsia" w:ascii="仿宋" w:hAnsi="仿宋" w:eastAsia="仿宋" w:cs="仿宋"/>
          <w:sz w:val="32"/>
          <w:szCs w:val="32"/>
        </w:rPr>
        <w:t>万元，</w:t>
      </w:r>
      <w:r>
        <w:rPr>
          <w:rFonts w:hint="eastAsia" w:ascii="仿宋" w:hAnsi="仿宋" w:eastAsia="仿宋" w:cs="仿宋"/>
          <w:sz w:val="32"/>
          <w:szCs w:val="32"/>
          <w:lang w:eastAsia="zh-CN"/>
        </w:rPr>
        <w:t>其中人员经费减少</w:t>
      </w:r>
      <w:r>
        <w:rPr>
          <w:rFonts w:hint="eastAsia" w:ascii="仿宋" w:hAnsi="仿宋" w:eastAsia="仿宋" w:cs="仿宋"/>
          <w:sz w:val="32"/>
          <w:szCs w:val="32"/>
          <w:lang w:val="en-US" w:eastAsia="zh-CN"/>
        </w:rPr>
        <w:t>7.86</w:t>
      </w:r>
      <w:r>
        <w:rPr>
          <w:rFonts w:hint="eastAsia" w:ascii="仿宋" w:hAnsi="仿宋" w:eastAsia="仿宋" w:cs="仿宋_GB2312"/>
          <w:kern w:val="0"/>
          <w:sz w:val="32"/>
          <w:szCs w:val="32"/>
          <w:lang w:val="en-US" w:eastAsia="zh-CN"/>
        </w:rPr>
        <w:t>万元</w:t>
      </w:r>
      <w:r>
        <w:rPr>
          <w:rFonts w:hint="eastAsia" w:ascii="仿宋" w:hAnsi="仿宋" w:eastAsia="仿宋" w:cs="仿宋_GB2312"/>
          <w:kern w:val="0"/>
          <w:sz w:val="32"/>
          <w:szCs w:val="32"/>
          <w:lang w:eastAsia="zh-CN"/>
        </w:rPr>
        <w:t>。</w:t>
      </w:r>
    </w:p>
    <w:p>
      <w:pPr>
        <w:numPr>
          <w:ilvl w:val="0"/>
          <w:numId w:val="1"/>
        </w:numPr>
        <w:spacing w:before="10" w:after="10" w:line="360" w:lineRule="auto"/>
        <w:ind w:left="0" w:leftChars="0" w:firstLine="640" w:firstLineChars="0"/>
        <w:jc w:val="left"/>
        <w:outlineLvl w:val="2"/>
      </w:pPr>
      <w:bookmarkStart w:id="11" w:name="_Toc_3_3_0000000012"/>
      <w:r>
        <w:rPr>
          <w:rFonts w:ascii="黑体" w:hAnsi="黑体" w:eastAsia="黑体" w:cs="黑体"/>
          <w:color w:val="000000"/>
          <w:sz w:val="32"/>
        </w:rPr>
        <w:t>机关运行经费安排情况</w:t>
      </w:r>
      <w:bookmarkEnd w:id="11"/>
    </w:p>
    <w:p>
      <w:pPr>
        <w:numPr>
          <w:numId w:val="0"/>
        </w:numPr>
        <w:spacing w:before="10" w:after="10" w:line="360" w:lineRule="auto"/>
        <w:ind w:left="640" w:leftChars="0"/>
        <w:jc w:val="left"/>
        <w:outlineLvl w:val="2"/>
      </w:pPr>
      <w:r>
        <w:rPr>
          <w:rFonts w:hint="eastAsia" w:eastAsia="仿宋_GB2312"/>
          <w:sz w:val="32"/>
          <w:szCs w:val="32"/>
          <w:lang w:val="en-US" w:eastAsia="zh-CN"/>
        </w:rPr>
        <w:t>2026年我部门</w:t>
      </w:r>
      <w:r>
        <w:rPr>
          <w:rFonts w:hint="eastAsia" w:ascii="Times New Roman" w:hAnsi="Times New Roman" w:eastAsia="仿宋_GB2312"/>
          <w:sz w:val="32"/>
          <w:szCs w:val="32"/>
          <w:lang w:eastAsia="zh-CN"/>
        </w:rPr>
        <w:t>机关运行经费共计安排</w:t>
      </w:r>
      <w:r>
        <w:rPr>
          <w:rFonts w:hint="eastAsia" w:eastAsia="仿宋_GB2312"/>
          <w:sz w:val="32"/>
          <w:szCs w:val="32"/>
          <w:lang w:val="en-US" w:eastAsia="zh-CN"/>
        </w:rPr>
        <w:t>105.16</w:t>
      </w:r>
      <w:r>
        <w:rPr>
          <w:rFonts w:hint="eastAsia" w:ascii="Times New Roman" w:hAnsi="Times New Roman" w:eastAsia="仿宋_GB2312"/>
          <w:sz w:val="32"/>
          <w:szCs w:val="32"/>
          <w:lang w:eastAsia="zh-CN"/>
        </w:rPr>
        <w:t>万元，主要用于办公费、邮电费、差旅费、公务用车维护费、印刷费等日常运行支出。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numPr>
          <w:ilvl w:val="0"/>
          <w:numId w:val="0"/>
        </w:numPr>
        <w:spacing w:before="10" w:after="10" w:line="360" w:lineRule="auto"/>
        <w:ind w:firstLine="320" w:firstLineChars="100"/>
        <w:jc w:val="left"/>
        <w:outlineLvl w:val="2"/>
      </w:pPr>
      <w:r>
        <w:rPr>
          <w:rFonts w:hint="eastAsia" w:ascii="Times New Roman" w:hAnsi="Times New Roman" w:eastAsia="仿宋_GB2312"/>
          <w:sz w:val="32"/>
          <w:szCs w:val="32"/>
          <w:lang w:eastAsia="zh-CN"/>
        </w:rPr>
        <w:t>202</w:t>
      </w:r>
      <w:r>
        <w:rPr>
          <w:rFonts w:hint="eastAsia" w:eastAsia="仿宋_GB2312"/>
          <w:sz w:val="32"/>
          <w:szCs w:val="32"/>
          <w:lang w:val="en-US" w:eastAsia="zh-CN"/>
        </w:rPr>
        <w:t>6</w:t>
      </w:r>
      <w:r>
        <w:rPr>
          <w:rFonts w:hint="eastAsia" w:ascii="Times New Roman" w:hAnsi="Times New Roman" w:eastAsia="仿宋_GB2312"/>
          <w:sz w:val="32"/>
          <w:szCs w:val="32"/>
        </w:rPr>
        <w:t>年度“三公”预算安排</w:t>
      </w:r>
      <w:r>
        <w:rPr>
          <w:rFonts w:hint="eastAsia" w:eastAsia="仿宋_GB2312"/>
          <w:sz w:val="32"/>
          <w:szCs w:val="32"/>
          <w:lang w:val="en-US" w:eastAsia="zh-CN"/>
        </w:rPr>
        <w:t>1.9</w:t>
      </w:r>
      <w:r>
        <w:rPr>
          <w:rFonts w:hint="eastAsia" w:ascii="Times New Roman" w:hAnsi="Times New Roman" w:eastAsia="仿宋_GB2312"/>
          <w:sz w:val="32"/>
          <w:szCs w:val="32"/>
        </w:rPr>
        <w:t>万元，其中，因公出国（境）费0元，安排公务用车维护费</w:t>
      </w:r>
      <w:r>
        <w:rPr>
          <w:rFonts w:hint="eastAsia" w:eastAsia="仿宋_GB2312"/>
          <w:sz w:val="32"/>
          <w:szCs w:val="32"/>
          <w:lang w:val="en-US" w:eastAsia="zh-CN"/>
        </w:rPr>
        <w:t>1.9</w:t>
      </w:r>
      <w:r>
        <w:rPr>
          <w:rFonts w:hint="eastAsia" w:ascii="Times New Roman" w:hAnsi="Times New Roman" w:eastAsia="仿宋_GB2312"/>
          <w:sz w:val="32"/>
          <w:szCs w:val="32"/>
        </w:rPr>
        <w:t>万元，（其中公务用车购置费0元，公务用车运行维护费</w:t>
      </w:r>
      <w:r>
        <w:rPr>
          <w:rFonts w:hint="eastAsia" w:eastAsia="仿宋_GB2312"/>
          <w:sz w:val="32"/>
          <w:szCs w:val="32"/>
          <w:lang w:val="en-US" w:eastAsia="zh-CN"/>
        </w:rPr>
        <w:t>1.9</w:t>
      </w:r>
      <w:r>
        <w:rPr>
          <w:rFonts w:hint="eastAsia" w:ascii="Times New Roman" w:hAnsi="Times New Roman" w:eastAsia="仿宋_GB2312"/>
          <w:sz w:val="32"/>
          <w:szCs w:val="32"/>
        </w:rPr>
        <w:t>万元），公务接待费0万元，</w:t>
      </w:r>
      <w:r>
        <w:rPr>
          <w:rFonts w:hint="eastAsia" w:eastAsia="仿宋_GB2312"/>
          <w:sz w:val="32"/>
          <w:szCs w:val="32"/>
          <w:lang w:eastAsia="zh-CN"/>
        </w:rPr>
        <w:t>与</w:t>
      </w:r>
      <w:r>
        <w:rPr>
          <w:rFonts w:hint="eastAsia" w:eastAsia="仿宋_GB2312"/>
          <w:sz w:val="32"/>
          <w:szCs w:val="32"/>
          <w:lang w:val="en-US" w:eastAsia="zh-CN"/>
        </w:rPr>
        <w:t>2025年度相比减少了0.1万元，主要是因为我单位贯彻中央八项规定的精神，落实“过紧日子”要求，压减非必要的公务用车经费。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pPr>
      <w:r>
        <w:rPr>
          <w:rFonts w:hint="eastAsia" w:ascii="Times New Roman" w:hAnsi="Times New Roman" w:eastAsia="仿宋_GB2312"/>
          <w:bCs/>
          <w:sz w:val="32"/>
          <w:szCs w:val="32"/>
        </w:rPr>
        <w:t>坚持以习近平总书记关于加强和改进人民信访工作重要思想为指导，全面落实中央和省委关于信访工作决策部署，立足首都政治“护城河”定位，聚焦“北京不去、河北不聚”要求，坚持以人民为中心。今年来，县信访局在县委县政府的正确领导下，在各部门的紧密配合下，县信访局进一步畅通信访渠道，创新工作机制，抓狠工作落买严格责任追究；关口前移，基层突破，标本兼治，齐抓共管，切买做到“小事不出村、大事不出乡，重大疑难问题不出县”，圆满完成了全年预定的工作目标维护了全县大局稳定，为我县经济和社会各项事业发展提供了宽松的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spacing w:line="600" w:lineRule="exact"/>
        <w:ind w:leftChars="300"/>
        <w:rPr>
          <w:rFonts w:ascii="Times New Roman" w:hAnsi="Times New Roman" w:eastAsia="楷体_GB2312"/>
          <w:sz w:val="32"/>
          <w:szCs w:val="32"/>
        </w:rPr>
      </w:pPr>
      <w:r>
        <w:rPr>
          <w:rFonts w:hint="eastAsia" w:ascii="Times New Roman" w:hAnsi="Times New Roman" w:eastAsia="楷体_GB2312"/>
          <w:sz w:val="32"/>
          <w:szCs w:val="32"/>
        </w:rPr>
        <w:t>1、全年信访数量保持同比下降</w:t>
      </w:r>
    </w:p>
    <w:p>
      <w:pPr>
        <w:spacing w:line="600" w:lineRule="exact"/>
        <w:ind w:firstLine="643" w:firstLineChars="200"/>
        <w:rPr>
          <w:rFonts w:ascii="Times New Roman" w:hAnsi="Times New Roman" w:eastAsia="方正仿宋_GBK"/>
          <w:sz w:val="32"/>
          <w:szCs w:val="32"/>
        </w:rPr>
      </w:pPr>
      <w:r>
        <w:rPr>
          <w:rFonts w:ascii="Times New Roman" w:hAnsi="Times New Roman" w:eastAsia="仿宋_GB2312"/>
          <w:b/>
          <w:sz w:val="32"/>
          <w:szCs w:val="32"/>
        </w:rPr>
        <w:t>绩效目标：</w:t>
      </w:r>
      <w:r>
        <w:rPr>
          <w:rFonts w:hint="eastAsia" w:ascii="Times New Roman" w:hAnsi="Times New Roman" w:eastAsia="仿宋_GB2312"/>
          <w:bCs/>
          <w:sz w:val="32"/>
          <w:szCs w:val="32"/>
        </w:rPr>
        <w:t>贯彻落实县委、县政府关于信访工作的决策部署，</w:t>
      </w:r>
      <w:r>
        <w:rPr>
          <w:rFonts w:ascii="Times New Roman" w:hAnsi="Times New Roman" w:eastAsia="仿宋_GB2312"/>
          <w:bCs/>
          <w:sz w:val="32"/>
          <w:szCs w:val="32"/>
        </w:rPr>
        <w:t>及时受理群众来信、来访和网上投诉，</w:t>
      </w:r>
      <w:r>
        <w:rPr>
          <w:rFonts w:hint="eastAsia" w:ascii="Times New Roman" w:hAnsi="Times New Roman" w:eastAsia="仿宋_GB2312"/>
          <w:bCs/>
          <w:sz w:val="32"/>
          <w:szCs w:val="32"/>
        </w:rPr>
        <w:t>以</w:t>
      </w:r>
      <w:r>
        <w:rPr>
          <w:rFonts w:ascii="Times New Roman" w:hAnsi="Times New Roman" w:eastAsia="仿宋_GB2312"/>
          <w:bCs/>
          <w:sz w:val="32"/>
          <w:szCs w:val="32"/>
        </w:rPr>
        <w:t>“事要解决”</w:t>
      </w:r>
      <w:r>
        <w:rPr>
          <w:rFonts w:hint="eastAsia" w:ascii="Times New Roman" w:hAnsi="Times New Roman" w:eastAsia="仿宋_GB2312"/>
          <w:bCs/>
          <w:sz w:val="32"/>
          <w:szCs w:val="32"/>
        </w:rPr>
        <w:t>为立足点</w:t>
      </w:r>
      <w:r>
        <w:rPr>
          <w:rFonts w:ascii="Times New Roman" w:hAnsi="Times New Roman" w:eastAsia="仿宋_GB2312"/>
          <w:bCs/>
          <w:sz w:val="32"/>
          <w:szCs w:val="32"/>
        </w:rPr>
        <w:t>，</w:t>
      </w:r>
      <w:r>
        <w:rPr>
          <w:rFonts w:hint="eastAsia" w:ascii="Times New Roman" w:hAnsi="Times New Roman" w:eastAsia="仿宋_GB2312"/>
          <w:bCs/>
          <w:sz w:val="32"/>
          <w:szCs w:val="32"/>
        </w:rPr>
        <w:t>认真解决</w:t>
      </w:r>
      <w:r>
        <w:rPr>
          <w:rFonts w:ascii="Times New Roman" w:hAnsi="Times New Roman" w:eastAsia="仿宋_GB2312"/>
          <w:bCs/>
          <w:sz w:val="32"/>
          <w:szCs w:val="32"/>
        </w:rPr>
        <w:t>信访群众合</w:t>
      </w:r>
      <w:r>
        <w:rPr>
          <w:rFonts w:hint="eastAsia" w:ascii="Times New Roman" w:hAnsi="Times New Roman" w:eastAsia="仿宋_GB2312"/>
          <w:bCs/>
          <w:sz w:val="32"/>
          <w:szCs w:val="32"/>
        </w:rPr>
        <w:t>理</w:t>
      </w:r>
      <w:r>
        <w:rPr>
          <w:rFonts w:ascii="Times New Roman" w:hAnsi="Times New Roman" w:eastAsia="仿宋_GB2312"/>
          <w:bCs/>
          <w:sz w:val="32"/>
          <w:szCs w:val="32"/>
        </w:rPr>
        <w:t>诉求，</w:t>
      </w:r>
      <w:r>
        <w:rPr>
          <w:rFonts w:hint="eastAsia" w:ascii="Times New Roman" w:hAnsi="Times New Roman" w:eastAsia="仿宋_GB2312"/>
          <w:bCs/>
          <w:sz w:val="32"/>
          <w:szCs w:val="32"/>
        </w:rPr>
        <w:t>推动全县信访形势持续向好，</w:t>
      </w:r>
      <w:r>
        <w:rPr>
          <w:rFonts w:ascii="Times New Roman" w:hAnsi="Times New Roman" w:eastAsia="仿宋_GB2312"/>
          <w:bCs/>
          <w:sz w:val="32"/>
          <w:szCs w:val="32"/>
        </w:rPr>
        <w:t>信访事项及时受理率、按期答复率达到90%以上，满意率逐年上升，非接待场所</w:t>
      </w:r>
      <w:r>
        <w:rPr>
          <w:rFonts w:hint="eastAsia" w:ascii="Times New Roman" w:hAnsi="Times New Roman" w:eastAsia="仿宋_GB2312"/>
          <w:bCs/>
          <w:sz w:val="32"/>
          <w:szCs w:val="32"/>
        </w:rPr>
        <w:t>有关</w:t>
      </w:r>
      <w:r>
        <w:rPr>
          <w:rFonts w:ascii="Times New Roman" w:hAnsi="Times New Roman" w:eastAsia="仿宋_GB2312"/>
          <w:bCs/>
          <w:sz w:val="32"/>
          <w:szCs w:val="32"/>
        </w:rPr>
        <w:t>人员总量逐年下降，全</w:t>
      </w:r>
      <w:r>
        <w:rPr>
          <w:rFonts w:hint="eastAsia" w:ascii="Times New Roman" w:hAnsi="Times New Roman" w:eastAsia="仿宋_GB2312"/>
          <w:bCs/>
          <w:sz w:val="32"/>
          <w:szCs w:val="32"/>
        </w:rPr>
        <w:t>县</w:t>
      </w:r>
      <w:r>
        <w:rPr>
          <w:rFonts w:ascii="Times New Roman" w:hAnsi="Times New Roman" w:eastAsia="仿宋_GB2312"/>
          <w:bCs/>
          <w:sz w:val="32"/>
          <w:szCs w:val="32"/>
        </w:rPr>
        <w:t>信访形势持续向好，信访工作质量效能不断提升。</w:t>
      </w:r>
    </w:p>
    <w:p>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sz w:val="32"/>
          <w:szCs w:val="32"/>
        </w:rPr>
        <w:t>绩效指标：</w:t>
      </w:r>
      <w:r>
        <w:rPr>
          <w:rFonts w:ascii="Times New Roman" w:hAnsi="Times New Roman" w:eastAsia="仿宋_GB2312"/>
          <w:bCs/>
          <w:sz w:val="32"/>
          <w:szCs w:val="32"/>
        </w:rPr>
        <w:t>全</w:t>
      </w:r>
      <w:r>
        <w:rPr>
          <w:rFonts w:hint="eastAsia" w:ascii="Times New Roman" w:hAnsi="Times New Roman" w:eastAsia="仿宋_GB2312"/>
          <w:bCs/>
          <w:sz w:val="32"/>
          <w:szCs w:val="32"/>
        </w:rPr>
        <w:t>县</w:t>
      </w:r>
      <w:r>
        <w:rPr>
          <w:rFonts w:ascii="Times New Roman" w:hAnsi="Times New Roman" w:eastAsia="仿宋_GB2312"/>
          <w:bCs/>
          <w:sz w:val="32"/>
          <w:szCs w:val="32"/>
        </w:rPr>
        <w:t>信访总量、进京集体访、到非接待场所有关人员、赴</w:t>
      </w:r>
      <w:r>
        <w:rPr>
          <w:rFonts w:hint="eastAsia" w:ascii="Times New Roman" w:hAnsi="Times New Roman" w:eastAsia="仿宋_GB2312"/>
          <w:bCs/>
          <w:sz w:val="32"/>
          <w:szCs w:val="32"/>
        </w:rPr>
        <w:t>县</w:t>
      </w:r>
      <w:r>
        <w:rPr>
          <w:rFonts w:ascii="Times New Roman" w:hAnsi="Times New Roman" w:eastAsia="仿宋_GB2312"/>
          <w:bCs/>
          <w:sz w:val="32"/>
          <w:szCs w:val="32"/>
        </w:rPr>
        <w:t>集体访与去年同期相比保持下降。</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2、推动化解信访积案</w:t>
      </w:r>
    </w:p>
    <w:p>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sz w:val="32"/>
          <w:szCs w:val="32"/>
        </w:rPr>
        <w:t>绩效目标：</w:t>
      </w:r>
      <w:r>
        <w:rPr>
          <w:rFonts w:ascii="Times New Roman" w:hAnsi="Times New Roman" w:eastAsia="仿宋_GB2312"/>
          <w:bCs/>
          <w:sz w:val="32"/>
          <w:szCs w:val="32"/>
        </w:rPr>
        <w:t>深入开展信访矛盾纠纷排查，把问题隐患发现在初始、解决在当地，从源头上遏制信访增量。抓实领导干部包联信访事项和县级领导干部信访接待日制度，深入推动信访积案攻坚化解，确保实现两个“百分之百”工作目标。</w:t>
      </w:r>
    </w:p>
    <w:p>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sz w:val="32"/>
          <w:szCs w:val="32"/>
        </w:rPr>
        <w:t>绩效指标：</w:t>
      </w:r>
      <w:r>
        <w:rPr>
          <w:rFonts w:ascii="Times New Roman" w:hAnsi="Times New Roman" w:eastAsia="仿宋_GB2312"/>
          <w:bCs/>
          <w:sz w:val="32"/>
          <w:szCs w:val="32"/>
        </w:rPr>
        <w:t>交办积案化解率均达到100%。</w:t>
      </w:r>
    </w:p>
    <w:p>
      <w:pPr>
        <w:numPr>
          <w:ilvl w:val="0"/>
          <w:numId w:val="2"/>
        </w:num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部门职责及工作活动绩效目标指标</w:t>
      </w:r>
    </w:p>
    <w:p>
      <w:pPr>
        <w:jc w:val="center"/>
        <w:outlineLvl w:val="0"/>
        <w:rPr>
          <w:rFonts w:hint="eastAsia" w:ascii="方正小标宋_GBK" w:eastAsia="方正小标宋_GBK"/>
          <w:sz w:val="32"/>
        </w:rPr>
      </w:pPr>
      <w:r>
        <w:rPr>
          <w:rFonts w:hint="eastAsia" w:eastAsia="楷体_GB2312"/>
          <w:sz w:val="32"/>
          <w:szCs w:val="32"/>
          <w:lang w:val="en-US" w:eastAsia="zh-CN"/>
        </w:rPr>
        <w:t xml:space="preserve">         </w:t>
      </w:r>
      <w:r>
        <w:rPr>
          <w:rFonts w:hint="eastAsia" w:ascii="方正小标宋_GBK" w:eastAsia="方正小标宋_GBK"/>
          <w:sz w:val="32"/>
        </w:rPr>
        <w:t>部门职责-工作活动绩效目标</w:t>
      </w:r>
    </w:p>
    <w:p>
      <w:pPr>
        <w:numPr>
          <w:ilvl w:val="0"/>
          <w:numId w:val="0"/>
        </w:numPr>
        <w:spacing w:line="600" w:lineRule="exact"/>
        <w:rPr>
          <w:rFonts w:hint="default" w:ascii="Times New Roman" w:hAnsi="Times New Roman" w:eastAsia="楷体_GB2312"/>
          <w:sz w:val="32"/>
          <w:szCs w:val="32"/>
          <w:lang w:val="en-US" w:eastAsia="zh-C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9"/>
        <w:gridCol w:w="1470"/>
        <w:gridCol w:w="1387"/>
        <w:gridCol w:w="4253"/>
        <w:gridCol w:w="1693"/>
        <w:gridCol w:w="716"/>
        <w:gridCol w:w="716"/>
        <w:gridCol w:w="716"/>
        <w:gridCol w:w="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1082"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hint="eastAsia" w:ascii="方正小标宋_GBK" w:eastAsia="方正小标宋_GBK"/>
                <w:sz w:val="24"/>
                <w:lang w:eastAsia="zh-CN"/>
              </w:rPr>
            </w:pPr>
            <w:r>
              <w:rPr>
                <w:rFonts w:hint="eastAsia" w:ascii="方正小标宋_GBK" w:eastAsia="方正小标宋_GBK"/>
                <w:sz w:val="24"/>
              </w:rPr>
              <w:t>553</w:t>
            </w:r>
            <w:r>
              <w:rPr>
                <w:rFonts w:hint="eastAsia" w:ascii="方正小标宋_GBK" w:eastAsia="方正小标宋_GBK"/>
                <w:sz w:val="24"/>
                <w:lang w:eastAsia="zh-CN"/>
              </w:rPr>
              <w:t>成安县信访局</w:t>
            </w:r>
          </w:p>
        </w:tc>
        <w:tc>
          <w:tcPr>
            <w:tcW w:w="2865"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47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138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4253"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693"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865"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9" w:type="dxa"/>
            <w:vMerge w:val="continue"/>
            <w:noWrap w:val="0"/>
            <w:vAlign w:val="center"/>
          </w:tcPr>
          <w:p>
            <w:pPr>
              <w:spacing w:line="300" w:lineRule="exact"/>
              <w:jc w:val="left"/>
              <w:outlineLvl w:val="0"/>
            </w:pPr>
          </w:p>
        </w:tc>
        <w:tc>
          <w:tcPr>
            <w:tcW w:w="1470" w:type="dxa"/>
            <w:vMerge w:val="continue"/>
            <w:noWrap w:val="0"/>
            <w:vAlign w:val="center"/>
          </w:tcPr>
          <w:p>
            <w:pPr>
              <w:spacing w:line="300" w:lineRule="exact"/>
              <w:jc w:val="left"/>
              <w:outlineLvl w:val="0"/>
            </w:pPr>
          </w:p>
        </w:tc>
        <w:tc>
          <w:tcPr>
            <w:tcW w:w="1387" w:type="dxa"/>
            <w:vMerge w:val="continue"/>
            <w:noWrap w:val="0"/>
            <w:vAlign w:val="center"/>
          </w:tcPr>
          <w:p>
            <w:pPr>
              <w:spacing w:line="300" w:lineRule="exact"/>
              <w:jc w:val="left"/>
              <w:outlineLvl w:val="0"/>
            </w:pPr>
          </w:p>
        </w:tc>
        <w:tc>
          <w:tcPr>
            <w:tcW w:w="4253" w:type="dxa"/>
            <w:vMerge w:val="continue"/>
            <w:noWrap w:val="0"/>
            <w:vAlign w:val="center"/>
          </w:tcPr>
          <w:p>
            <w:pPr>
              <w:spacing w:line="300" w:lineRule="exact"/>
              <w:jc w:val="left"/>
              <w:outlineLvl w:val="0"/>
            </w:pPr>
          </w:p>
        </w:tc>
        <w:tc>
          <w:tcPr>
            <w:tcW w:w="1693" w:type="dxa"/>
            <w:vMerge w:val="continue"/>
            <w:noWrap w:val="0"/>
            <w:vAlign w:val="center"/>
          </w:tcPr>
          <w:p>
            <w:pPr>
              <w:spacing w:line="300" w:lineRule="exact"/>
              <w:jc w:val="left"/>
              <w:outlineLvl w:val="0"/>
            </w:pPr>
          </w:p>
        </w:tc>
        <w:tc>
          <w:tcPr>
            <w:tcW w:w="716" w:type="dxa"/>
            <w:noWrap w:val="0"/>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16" w:type="dxa"/>
            <w:noWrap w:val="0"/>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16" w:type="dxa"/>
            <w:noWrap w:val="0"/>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17" w:type="dxa"/>
            <w:noWrap w:val="0"/>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279" w:type="dxa"/>
            <w:noWrap w:val="0"/>
            <w:vAlign w:val="center"/>
          </w:tcPr>
          <w:p>
            <w:pPr>
              <w:spacing w:line="300" w:lineRule="exact"/>
              <w:jc w:val="center"/>
              <w:rPr>
                <w:rFonts w:hint="eastAsia" w:ascii="仿宋" w:hAnsi="仿宋" w:eastAsia="仿宋" w:cs="宋体"/>
                <w:b/>
                <w:sz w:val="24"/>
                <w:szCs w:val="24"/>
              </w:rPr>
            </w:pPr>
            <w:r>
              <w:rPr>
                <w:rFonts w:hint="eastAsia" w:ascii="仿宋" w:hAnsi="仿宋" w:eastAsia="仿宋" w:cs="宋体"/>
                <w:kern w:val="0"/>
                <w:sz w:val="24"/>
                <w:szCs w:val="24"/>
              </w:rPr>
              <w:t>处理群众来访情况</w:t>
            </w:r>
          </w:p>
        </w:tc>
        <w:tc>
          <w:tcPr>
            <w:tcW w:w="1470" w:type="dxa"/>
            <w:noWrap w:val="0"/>
            <w:vAlign w:val="center"/>
          </w:tcPr>
          <w:p>
            <w:pPr>
              <w:spacing w:line="300" w:lineRule="exact"/>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300</w:t>
            </w:r>
          </w:p>
        </w:tc>
        <w:tc>
          <w:tcPr>
            <w:tcW w:w="1387" w:type="dxa"/>
            <w:noWrap w:val="0"/>
            <w:vAlign w:val="center"/>
          </w:tcPr>
          <w:p>
            <w:pPr>
              <w:spacing w:line="300" w:lineRule="exact"/>
              <w:jc w:val="center"/>
              <w:rPr>
                <w:rFonts w:hint="eastAsia" w:ascii="仿宋" w:hAnsi="仿宋" w:eastAsia="仿宋" w:cs="宋体"/>
                <w:sz w:val="24"/>
                <w:szCs w:val="24"/>
              </w:rPr>
            </w:pPr>
          </w:p>
        </w:tc>
        <w:tc>
          <w:tcPr>
            <w:tcW w:w="4253"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sz w:val="24"/>
                <w:szCs w:val="24"/>
              </w:rPr>
              <w:t>全部按期办结</w:t>
            </w:r>
          </w:p>
        </w:tc>
        <w:tc>
          <w:tcPr>
            <w:tcW w:w="1693"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sz w:val="24"/>
                <w:szCs w:val="24"/>
              </w:rPr>
              <w:t>按期结案率为100％</w:t>
            </w:r>
          </w:p>
        </w:tc>
        <w:tc>
          <w:tcPr>
            <w:tcW w:w="716"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≥95</w:t>
            </w:r>
            <w:r>
              <w:rPr>
                <w:rFonts w:hint="eastAsia" w:ascii="仿宋" w:hAnsi="仿宋" w:eastAsia="仿宋"/>
                <w:sz w:val="24"/>
                <w:szCs w:val="24"/>
              </w:rPr>
              <w:t>％</w:t>
            </w:r>
          </w:p>
        </w:tc>
        <w:tc>
          <w:tcPr>
            <w:tcW w:w="716"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≥90%</w:t>
            </w:r>
          </w:p>
        </w:tc>
        <w:tc>
          <w:tcPr>
            <w:tcW w:w="716"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≥85%</w:t>
            </w:r>
          </w:p>
        </w:tc>
        <w:tc>
          <w:tcPr>
            <w:tcW w:w="717"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2279"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安保维稳</w:t>
            </w:r>
          </w:p>
        </w:tc>
        <w:tc>
          <w:tcPr>
            <w:tcW w:w="1470" w:type="dxa"/>
            <w:noWrap w:val="0"/>
            <w:vAlign w:val="center"/>
          </w:tcPr>
          <w:p>
            <w:pPr>
              <w:spacing w:line="300" w:lineRule="exact"/>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200</w:t>
            </w:r>
          </w:p>
        </w:tc>
        <w:tc>
          <w:tcPr>
            <w:tcW w:w="1387" w:type="dxa"/>
            <w:noWrap w:val="0"/>
            <w:vAlign w:val="center"/>
          </w:tcPr>
          <w:p>
            <w:pPr>
              <w:spacing w:line="560" w:lineRule="exact"/>
              <w:jc w:val="center"/>
              <w:rPr>
                <w:rFonts w:hint="eastAsia" w:ascii="仿宋" w:hAnsi="仿宋" w:eastAsia="仿宋" w:cs="宋体"/>
                <w:sz w:val="24"/>
                <w:szCs w:val="24"/>
              </w:rPr>
            </w:pPr>
          </w:p>
        </w:tc>
        <w:tc>
          <w:tcPr>
            <w:tcW w:w="4253"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确保重大敏感日不发生群体性恶劣事件</w:t>
            </w:r>
          </w:p>
        </w:tc>
        <w:tc>
          <w:tcPr>
            <w:tcW w:w="1693" w:type="dxa"/>
            <w:noWrap w:val="0"/>
            <w:vAlign w:val="center"/>
          </w:tcPr>
          <w:p>
            <w:pPr>
              <w:spacing w:line="300" w:lineRule="exact"/>
              <w:rPr>
                <w:rFonts w:hint="eastAsia" w:ascii="仿宋" w:hAnsi="仿宋" w:eastAsia="仿宋" w:cs="宋体"/>
                <w:sz w:val="24"/>
                <w:szCs w:val="24"/>
              </w:rPr>
            </w:pPr>
            <w:r>
              <w:rPr>
                <w:rFonts w:hint="eastAsia" w:ascii="仿宋" w:hAnsi="仿宋" w:eastAsia="仿宋" w:cs="宋体"/>
                <w:sz w:val="24"/>
                <w:szCs w:val="24"/>
              </w:rPr>
              <w:t>群体性事件为0</w:t>
            </w:r>
          </w:p>
        </w:tc>
        <w:tc>
          <w:tcPr>
            <w:tcW w:w="716"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100%</w:t>
            </w:r>
          </w:p>
        </w:tc>
        <w:tc>
          <w:tcPr>
            <w:tcW w:w="716"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≥85%</w:t>
            </w:r>
          </w:p>
        </w:tc>
        <w:tc>
          <w:tcPr>
            <w:tcW w:w="716"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≥70%</w:t>
            </w:r>
          </w:p>
        </w:tc>
        <w:tc>
          <w:tcPr>
            <w:tcW w:w="717"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＜70%</w:t>
            </w:r>
          </w:p>
        </w:tc>
      </w:tr>
    </w:tbl>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p>
    <w:p>
      <w:pPr>
        <w:spacing w:line="600" w:lineRule="exact"/>
        <w:ind w:firstLine="640" w:firstLineChars="200"/>
        <w:rPr>
          <w:rFonts w:ascii="Times New Roman" w:hAnsi="Times New Roman" w:eastAsia="仿宋_GB2312"/>
          <w:b/>
          <w:bCs/>
          <w:sz w:val="32"/>
          <w:szCs w:val="32"/>
        </w:rPr>
      </w:pPr>
      <w:r>
        <w:rPr>
          <w:rFonts w:hint="eastAsia" w:ascii="Times New Roman" w:hAnsi="Times New Roman" w:eastAsia="楷体_GB2312"/>
          <w:sz w:val="32"/>
          <w:szCs w:val="32"/>
        </w:rPr>
        <w:t>1、</w:t>
      </w:r>
      <w:r>
        <w:rPr>
          <w:rFonts w:ascii="Times New Roman" w:hAnsi="Times New Roman" w:eastAsia="楷体_GB2312"/>
          <w:sz w:val="32"/>
          <w:szCs w:val="32"/>
        </w:rPr>
        <w:t>强化组织推动。</w:t>
      </w:r>
      <w:r>
        <w:rPr>
          <w:rFonts w:ascii="Times New Roman" w:hAnsi="Times New Roman" w:eastAsia="仿宋_GB2312"/>
          <w:sz w:val="32"/>
          <w:szCs w:val="32"/>
        </w:rPr>
        <w:t>围绕年度总体绩效目标和分类绩效目标，统筹推进年度绩效工作，加强绩效运行监控，确保绩效目标如期高标准完成。</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3"/>
        <w:rPr>
          <w:rFonts w:ascii="仿宋" w:hAnsi="仿宋" w:eastAsia="仿宋"/>
          <w:sz w:val="32"/>
        </w:rPr>
      </w:pPr>
      <w:r>
        <w:rPr>
          <w:rFonts w:hint="eastAsia" w:ascii="Times New Roman" w:hAnsi="Times New Roman" w:eastAsia="楷体_GB2312"/>
          <w:sz w:val="32"/>
          <w:szCs w:val="32"/>
        </w:rPr>
        <w:t>2、</w:t>
      </w:r>
      <w:r>
        <w:rPr>
          <w:rFonts w:ascii="Times New Roman" w:hAnsi="Times New Roman" w:eastAsia="楷体_GB2312"/>
          <w:sz w:val="32"/>
          <w:szCs w:val="32"/>
        </w:rPr>
        <w:t>完善制度建设。</w:t>
      </w:r>
      <w:r>
        <w:rPr>
          <w:rFonts w:ascii="Times New Roman" w:hAnsi="Times New Roman" w:eastAsia="仿宋_GB2312"/>
          <w:sz w:val="32"/>
          <w:szCs w:val="32"/>
        </w:rPr>
        <w:t>完善预算绩效管理制度、资金管理办法等，强化制度执行落实，</w:t>
      </w:r>
      <w:r>
        <w:rPr>
          <w:rFonts w:hint="eastAsia" w:ascii="仿宋" w:hAnsi="仿宋" w:eastAsia="仿宋"/>
          <w:sz w:val="32"/>
        </w:rPr>
        <w:t>为全年预算绩效目标的实现奠定制度基础。</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3、</w:t>
      </w:r>
      <w:r>
        <w:rPr>
          <w:rFonts w:ascii="Times New Roman" w:hAnsi="Times New Roman" w:eastAsia="楷体_GB2312"/>
          <w:sz w:val="32"/>
          <w:szCs w:val="32"/>
        </w:rPr>
        <w:t>规范财务管理。</w:t>
      </w:r>
      <w:r>
        <w:rPr>
          <w:rFonts w:ascii="Times New Roman" w:hAnsi="Times New Roman" w:eastAsia="仿宋_GB2312"/>
          <w:sz w:val="32"/>
          <w:szCs w:val="32"/>
        </w:rPr>
        <w:t>加强固定资产登记、使用和报废处置管理，加强财务人员的业务培训，提高业务素质，确保财政资金使用合法合规。</w:t>
      </w:r>
    </w:p>
    <w:p>
      <w:pPr>
        <w:spacing w:line="600" w:lineRule="exact"/>
        <w:ind w:firstLine="640" w:firstLineChars="200"/>
        <w:rPr>
          <w:rFonts w:hint="eastAsia" w:ascii="仿宋" w:hAnsi="仿宋" w:eastAsia="仿宋"/>
          <w:sz w:val="32"/>
        </w:rPr>
      </w:pPr>
      <w:r>
        <w:rPr>
          <w:rFonts w:hint="eastAsia" w:ascii="Times New Roman" w:hAnsi="Times New Roman" w:eastAsia="楷体_GB2312"/>
          <w:sz w:val="32"/>
          <w:szCs w:val="32"/>
        </w:rPr>
        <w:t>4、</w:t>
      </w:r>
      <w:r>
        <w:rPr>
          <w:rFonts w:ascii="Times New Roman" w:hAnsi="Times New Roman" w:eastAsia="楷体_GB2312"/>
          <w:sz w:val="32"/>
          <w:szCs w:val="32"/>
        </w:rPr>
        <w:t>加强支出管理。</w:t>
      </w:r>
      <w:r>
        <w:rPr>
          <w:rFonts w:hint="eastAsia" w:ascii="仿宋" w:hAnsi="仿宋" w:eastAsia="仿宋"/>
          <w:sz w:val="32"/>
        </w:rPr>
        <w:t>完善财务管理制度，严格审批程序，加强固定资产登记、使用和报废处置管理，做到支出合理，物尽其用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3"/>
        <w:rPr>
          <w:rFonts w:hint="eastAsia" w:ascii="仿宋" w:hAnsi="仿宋" w:eastAsia="仿宋"/>
          <w:sz w:val="32"/>
        </w:rPr>
      </w:pPr>
      <w:r>
        <w:rPr>
          <w:rFonts w:hint="eastAsia" w:ascii="Times New Roman" w:hAnsi="Times New Roman" w:eastAsia="楷体_GB2312"/>
          <w:sz w:val="32"/>
          <w:szCs w:val="32"/>
        </w:rPr>
        <w:t>5、加强内部监督。</w:t>
      </w:r>
      <w:r>
        <w:rPr>
          <w:rFonts w:hint="eastAsia" w:ascii="仿宋" w:hAnsi="仿宋" w:eastAsia="仿宋"/>
          <w:sz w:val="32"/>
        </w:rPr>
        <w:t>加强内部监督制度建设，对绩效运行情况、重大支出决策、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6、</w:t>
      </w:r>
      <w:r>
        <w:rPr>
          <w:rFonts w:ascii="Times New Roman" w:hAnsi="Times New Roman" w:eastAsia="楷体_GB2312"/>
          <w:sz w:val="32"/>
          <w:szCs w:val="32"/>
        </w:rPr>
        <w:t>强化过程跟踪。</w:t>
      </w:r>
      <w:r>
        <w:rPr>
          <w:rFonts w:ascii="Times New Roman" w:hAnsi="Times New Roman" w:eastAsia="仿宋_GB2312"/>
          <w:sz w:val="32"/>
          <w:szCs w:val="32"/>
        </w:rPr>
        <w:t>加大协调力度和督促指导，及时跟绩效工作进度，破解工作中的难题，力促预算绩效工作取得扎实成效。</w:t>
      </w:r>
      <w:bookmarkStart w:id="14" w:name="_Toc_3_3_0000000015"/>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lang w:eastAsia="zh-CN"/>
        </w:rPr>
        <w:t>我部门无主管的专项资金预算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lang w:eastAsia="zh-CN"/>
        </w:rPr>
      </w:pPr>
    </w:p>
    <w:p>
      <w:pPr>
        <w:spacing w:before="10" w:after="10" w:line="360" w:lineRule="auto"/>
        <w:ind w:firstLine="640"/>
        <w:jc w:val="left"/>
        <w:outlineLvl w:val="2"/>
        <w:rPr>
          <w:rFonts w:ascii="黑体" w:hAnsi="黑体" w:eastAsia="黑体" w:cs="黑体"/>
          <w:color w:val="000000"/>
          <w:sz w:val="32"/>
        </w:rPr>
      </w:pPr>
      <w:bookmarkStart w:id="15" w:name="_Toc_3_3_0000000016"/>
    </w:p>
    <w:p>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1、2026年特殊疑难信访问题帮扶救助资金绩效目标表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13042426P00005410012C</w:t>
            </w:r>
          </w:p>
        </w:tc>
        <w:tc>
          <w:tcPr>
            <w:tcW w:w="2835" w:type="dxa"/>
            <w:vAlign w:val="center"/>
          </w:tcPr>
          <w:p>
            <w:pPr>
              <w:pStyle w:val="11"/>
            </w:pPr>
            <w:r>
              <w:t>项目名称</w:t>
            </w:r>
          </w:p>
        </w:tc>
        <w:tc>
          <w:tcPr>
            <w:tcW w:w="6095" w:type="dxa"/>
            <w:gridSpan w:val="3"/>
            <w:vAlign w:val="center"/>
          </w:tcPr>
          <w:p>
            <w:pPr>
              <w:pStyle w:val="13"/>
            </w:pPr>
            <w:r>
              <w:t>2026年特殊疑难信访问题帮扶救助资金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解决疑难信访案件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75.00</w:t>
            </w:r>
          </w:p>
        </w:tc>
        <w:tc>
          <w:tcPr>
            <w:tcW w:w="2835" w:type="dxa"/>
            <w:vAlign w:val="center"/>
          </w:tcPr>
          <w:p>
            <w:pPr>
              <w:pStyle w:val="14"/>
            </w:pPr>
            <w:r>
              <w:t>150.00</w:t>
            </w:r>
          </w:p>
        </w:tc>
        <w:tc>
          <w:tcPr>
            <w:tcW w:w="2551" w:type="dxa"/>
            <w:vAlign w:val="center"/>
          </w:tcPr>
          <w:p>
            <w:pPr>
              <w:pStyle w:val="14"/>
            </w:pPr>
            <w:r>
              <w:t>225.00</w:t>
            </w:r>
          </w:p>
        </w:tc>
        <w:tc>
          <w:tcPr>
            <w:tcW w:w="3544" w:type="dxa"/>
            <w:gridSpan w:val="2"/>
            <w:vAlign w:val="center"/>
          </w:tcPr>
          <w:p>
            <w:pPr>
              <w:pStyle w:val="14"/>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1.解决疑难信访案件，维护社会和谐稳定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解决信访案件数量</w:t>
            </w:r>
          </w:p>
        </w:tc>
        <w:tc>
          <w:tcPr>
            <w:tcW w:w="5386" w:type="dxa"/>
            <w:vAlign w:val="center"/>
          </w:tcPr>
          <w:p>
            <w:pPr>
              <w:pStyle w:val="13"/>
            </w:pPr>
            <w:r>
              <w:t>利用帮扶救助经费解决疑难信访案件数量</w:t>
            </w:r>
          </w:p>
        </w:tc>
        <w:tc>
          <w:tcPr>
            <w:tcW w:w="2268" w:type="dxa"/>
            <w:vAlign w:val="center"/>
          </w:tcPr>
          <w:p>
            <w:pPr>
              <w:pStyle w:val="13"/>
            </w:pPr>
            <w:r>
              <w:t>件</w:t>
            </w:r>
          </w:p>
        </w:tc>
        <w:tc>
          <w:tcPr>
            <w:tcW w:w="1276" w:type="dxa"/>
            <w:vAlign w:val="center"/>
          </w:tcPr>
          <w:p>
            <w:pPr>
              <w:pStyle w:val="13"/>
            </w:pPr>
            <w:r>
              <w:t>根据乡镇、县直单位提供的案件数量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信访事项按期结案率</w:t>
            </w:r>
          </w:p>
        </w:tc>
        <w:tc>
          <w:tcPr>
            <w:tcW w:w="5386" w:type="dxa"/>
            <w:vAlign w:val="center"/>
          </w:tcPr>
          <w:p>
            <w:pPr>
              <w:pStyle w:val="13"/>
            </w:pPr>
            <w:r>
              <w:t>年度内已办结的信访案件数量占总案件的比例</w:t>
            </w:r>
          </w:p>
        </w:tc>
        <w:tc>
          <w:tcPr>
            <w:tcW w:w="2268" w:type="dxa"/>
            <w:vAlign w:val="center"/>
          </w:tcPr>
          <w:p>
            <w:pPr>
              <w:pStyle w:val="13"/>
            </w:pPr>
            <w:r>
              <w:t>≥97百分比</w:t>
            </w:r>
          </w:p>
        </w:tc>
        <w:tc>
          <w:tcPr>
            <w:tcW w:w="1276" w:type="dxa"/>
            <w:vAlign w:val="center"/>
          </w:tcPr>
          <w:p>
            <w:pPr>
              <w:pStyle w:val="13"/>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信访事项及时受理率</w:t>
            </w:r>
          </w:p>
        </w:tc>
        <w:tc>
          <w:tcPr>
            <w:tcW w:w="5386" w:type="dxa"/>
            <w:vAlign w:val="center"/>
          </w:tcPr>
          <w:p>
            <w:pPr>
              <w:pStyle w:val="13"/>
            </w:pPr>
            <w:r>
              <w:t>及时受理的信访事项数量占信访事项数量的比例</w:t>
            </w:r>
          </w:p>
        </w:tc>
        <w:tc>
          <w:tcPr>
            <w:tcW w:w="2268" w:type="dxa"/>
            <w:vAlign w:val="center"/>
          </w:tcPr>
          <w:p>
            <w:pPr>
              <w:pStyle w:val="13"/>
            </w:pPr>
            <w:r>
              <w:t>100百分比</w:t>
            </w:r>
          </w:p>
        </w:tc>
        <w:tc>
          <w:tcPr>
            <w:tcW w:w="1276" w:type="dxa"/>
            <w:vAlign w:val="center"/>
          </w:tcPr>
          <w:p>
            <w:pPr>
              <w:pStyle w:val="13"/>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特殊困难群众帮扶救助资金审核标准</w:t>
            </w:r>
          </w:p>
        </w:tc>
        <w:tc>
          <w:tcPr>
            <w:tcW w:w="5386" w:type="dxa"/>
            <w:vAlign w:val="center"/>
          </w:tcPr>
          <w:p>
            <w:pPr>
              <w:pStyle w:val="13"/>
            </w:pPr>
            <w:r>
              <w:t>特殊困难群众帮扶救助资金审核标准</w:t>
            </w:r>
          </w:p>
        </w:tc>
        <w:tc>
          <w:tcPr>
            <w:tcW w:w="2268" w:type="dxa"/>
            <w:vAlign w:val="center"/>
          </w:tcPr>
          <w:p>
            <w:pPr>
              <w:pStyle w:val="13"/>
            </w:pPr>
            <w:r>
              <w:t>据文件标准执行</w:t>
            </w:r>
          </w:p>
        </w:tc>
        <w:tc>
          <w:tcPr>
            <w:tcW w:w="1276" w:type="dxa"/>
            <w:vAlign w:val="center"/>
          </w:tcPr>
          <w:p>
            <w:pPr>
              <w:pStyle w:val="13"/>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使用帮扶救助经费解决信访问题息诉罢访率</w:t>
            </w:r>
          </w:p>
        </w:tc>
        <w:tc>
          <w:tcPr>
            <w:tcW w:w="5386" w:type="dxa"/>
            <w:vAlign w:val="center"/>
          </w:tcPr>
          <w:p>
            <w:pPr>
              <w:pStyle w:val="13"/>
            </w:pPr>
            <w:r>
              <w:t>使用帮扶救助经费解决信访问题息诉罢访率</w:t>
            </w:r>
          </w:p>
        </w:tc>
        <w:tc>
          <w:tcPr>
            <w:tcW w:w="2268" w:type="dxa"/>
            <w:vAlign w:val="center"/>
          </w:tcPr>
          <w:p>
            <w:pPr>
              <w:pStyle w:val="13"/>
            </w:pPr>
            <w:r>
              <w:t>98百分比</w:t>
            </w:r>
          </w:p>
        </w:tc>
        <w:tc>
          <w:tcPr>
            <w:tcW w:w="1276" w:type="dxa"/>
            <w:vAlign w:val="center"/>
          </w:tcPr>
          <w:p>
            <w:pPr>
              <w:pStyle w:val="13"/>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群众工作中心任务完成率</w:t>
            </w:r>
          </w:p>
        </w:tc>
        <w:tc>
          <w:tcPr>
            <w:tcW w:w="5386" w:type="dxa"/>
            <w:vAlign w:val="center"/>
          </w:tcPr>
          <w:p>
            <w:pPr>
              <w:pStyle w:val="13"/>
            </w:pPr>
            <w:r>
              <w:t>群众工作中心工作完成情况占群众工作中心工作任务的比例</w:t>
            </w:r>
          </w:p>
        </w:tc>
        <w:tc>
          <w:tcPr>
            <w:tcW w:w="2268" w:type="dxa"/>
            <w:vAlign w:val="center"/>
          </w:tcPr>
          <w:p>
            <w:pPr>
              <w:pStyle w:val="13"/>
            </w:pPr>
            <w:r>
              <w:t>≥98百分比</w:t>
            </w:r>
          </w:p>
        </w:tc>
        <w:tc>
          <w:tcPr>
            <w:tcW w:w="1276" w:type="dxa"/>
            <w:vAlign w:val="center"/>
          </w:tcPr>
          <w:p>
            <w:pPr>
              <w:pStyle w:val="13"/>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重大事件及时发现率（%）</w:t>
            </w:r>
          </w:p>
        </w:tc>
        <w:tc>
          <w:tcPr>
            <w:tcW w:w="5386" w:type="dxa"/>
            <w:vAlign w:val="center"/>
          </w:tcPr>
          <w:p>
            <w:pPr>
              <w:pStyle w:val="13"/>
            </w:pPr>
            <w:r>
              <w:t>重大事件及时发现率（%）</w:t>
            </w:r>
          </w:p>
        </w:tc>
        <w:tc>
          <w:tcPr>
            <w:tcW w:w="2268" w:type="dxa"/>
            <w:vAlign w:val="center"/>
          </w:tcPr>
          <w:p>
            <w:pPr>
              <w:pStyle w:val="13"/>
            </w:pPr>
            <w:r>
              <w:t>≥97百分比</w:t>
            </w:r>
          </w:p>
        </w:tc>
        <w:tc>
          <w:tcPr>
            <w:tcW w:w="1276" w:type="dxa"/>
            <w:vAlign w:val="center"/>
          </w:tcPr>
          <w:p>
            <w:pPr>
              <w:pStyle w:val="13"/>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维护社会稳定</w:t>
            </w:r>
          </w:p>
        </w:tc>
        <w:tc>
          <w:tcPr>
            <w:tcW w:w="1276" w:type="dxa"/>
            <w:vAlign w:val="center"/>
          </w:tcPr>
          <w:p>
            <w:pPr>
              <w:pStyle w:val="13"/>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信访群众满意度</w:t>
            </w:r>
          </w:p>
        </w:tc>
        <w:tc>
          <w:tcPr>
            <w:tcW w:w="2268" w:type="dxa"/>
            <w:vAlign w:val="center"/>
          </w:tcPr>
          <w:p>
            <w:pPr>
              <w:pStyle w:val="13"/>
            </w:pPr>
            <w:r>
              <w:t>≥98百分比</w:t>
            </w:r>
          </w:p>
        </w:tc>
        <w:tc>
          <w:tcPr>
            <w:tcW w:w="1276" w:type="dxa"/>
            <w:vAlign w:val="center"/>
          </w:tcPr>
          <w:p>
            <w:pPr>
              <w:pStyle w:val="13"/>
            </w:pPr>
            <w:r>
              <w:t>调查走访</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2、2026年信访救助费绩效目标表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13042426P00005410014K</w:t>
            </w:r>
          </w:p>
        </w:tc>
        <w:tc>
          <w:tcPr>
            <w:tcW w:w="2835" w:type="dxa"/>
            <w:vAlign w:val="center"/>
          </w:tcPr>
          <w:p>
            <w:pPr>
              <w:pStyle w:val="11"/>
            </w:pPr>
            <w:r>
              <w:t>项目名称</w:t>
            </w:r>
          </w:p>
        </w:tc>
        <w:tc>
          <w:tcPr>
            <w:tcW w:w="6095" w:type="dxa"/>
            <w:gridSpan w:val="3"/>
            <w:vAlign w:val="center"/>
          </w:tcPr>
          <w:p>
            <w:pPr>
              <w:pStyle w:val="13"/>
            </w:pPr>
            <w:r>
              <w:t>2026年信访救助费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做好全县信访稳定工作，维护社会和谐稳定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150.00</w:t>
            </w:r>
          </w:p>
        </w:tc>
        <w:tc>
          <w:tcPr>
            <w:tcW w:w="3544" w:type="dxa"/>
            <w:gridSpan w:val="2"/>
            <w:vAlign w:val="center"/>
          </w:tcPr>
          <w:p>
            <w:pPr>
              <w:pStyle w:val="14"/>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1.做好全县信访稳定工作，维护社会和谐稳定</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信访隐患化解率</w:t>
            </w:r>
          </w:p>
        </w:tc>
        <w:tc>
          <w:tcPr>
            <w:tcW w:w="5386" w:type="dxa"/>
            <w:vAlign w:val="center"/>
          </w:tcPr>
          <w:p>
            <w:pPr>
              <w:pStyle w:val="13"/>
            </w:pPr>
            <w:r>
              <w:t>排查出的社会矛盾纠纷化解率</w:t>
            </w:r>
          </w:p>
        </w:tc>
        <w:tc>
          <w:tcPr>
            <w:tcW w:w="2268" w:type="dxa"/>
            <w:vAlign w:val="center"/>
          </w:tcPr>
          <w:p>
            <w:pPr>
              <w:pStyle w:val="13"/>
            </w:pPr>
            <w:r>
              <w:t>≥98百分比</w:t>
            </w:r>
          </w:p>
        </w:tc>
        <w:tc>
          <w:tcPr>
            <w:tcW w:w="1276" w:type="dxa"/>
            <w:vAlign w:val="center"/>
          </w:tcPr>
          <w:p>
            <w:pPr>
              <w:pStyle w:val="13"/>
            </w:pPr>
            <w:r>
              <w:t>各级信访机构登记的信访数量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受理信访事项的覆盖率</w:t>
            </w:r>
          </w:p>
        </w:tc>
        <w:tc>
          <w:tcPr>
            <w:tcW w:w="5386" w:type="dxa"/>
            <w:vAlign w:val="center"/>
          </w:tcPr>
          <w:p>
            <w:pPr>
              <w:pStyle w:val="13"/>
            </w:pPr>
            <w:r>
              <w:t>受理信访事项覆盖率</w:t>
            </w:r>
          </w:p>
        </w:tc>
        <w:tc>
          <w:tcPr>
            <w:tcW w:w="2268" w:type="dxa"/>
            <w:vAlign w:val="center"/>
          </w:tcPr>
          <w:p>
            <w:pPr>
              <w:pStyle w:val="13"/>
            </w:pPr>
            <w:r>
              <w:t>100百分比</w:t>
            </w:r>
          </w:p>
        </w:tc>
        <w:tc>
          <w:tcPr>
            <w:tcW w:w="1276" w:type="dxa"/>
            <w:vAlign w:val="center"/>
          </w:tcPr>
          <w:p>
            <w:pPr>
              <w:pStyle w:val="13"/>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信访事项受理及时率</w:t>
            </w:r>
          </w:p>
        </w:tc>
        <w:tc>
          <w:tcPr>
            <w:tcW w:w="5386" w:type="dxa"/>
            <w:vAlign w:val="center"/>
          </w:tcPr>
          <w:p>
            <w:pPr>
              <w:pStyle w:val="13"/>
            </w:pPr>
            <w:r>
              <w:t>信访事项受理及时率</w:t>
            </w:r>
          </w:p>
        </w:tc>
        <w:tc>
          <w:tcPr>
            <w:tcW w:w="2268" w:type="dxa"/>
            <w:vAlign w:val="center"/>
          </w:tcPr>
          <w:p>
            <w:pPr>
              <w:pStyle w:val="13"/>
            </w:pPr>
            <w:r>
              <w:t>100百分比</w:t>
            </w:r>
          </w:p>
        </w:tc>
        <w:tc>
          <w:tcPr>
            <w:tcW w:w="1276" w:type="dxa"/>
            <w:vAlign w:val="center"/>
          </w:tcPr>
          <w:p>
            <w:pPr>
              <w:pStyle w:val="13"/>
            </w:pPr>
            <w:r>
              <w:t>各级信访机构登记的信访数量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资金控制率</w:t>
            </w:r>
          </w:p>
        </w:tc>
        <w:tc>
          <w:tcPr>
            <w:tcW w:w="5386" w:type="dxa"/>
            <w:vAlign w:val="center"/>
          </w:tcPr>
          <w:p>
            <w:pPr>
              <w:pStyle w:val="13"/>
            </w:pPr>
            <w:r>
              <w:t>资金预算控制率</w:t>
            </w:r>
          </w:p>
        </w:tc>
        <w:tc>
          <w:tcPr>
            <w:tcW w:w="2268" w:type="dxa"/>
            <w:vAlign w:val="center"/>
          </w:tcPr>
          <w:p>
            <w:pPr>
              <w:pStyle w:val="13"/>
            </w:pPr>
            <w:r>
              <w:t>≥98百分比</w:t>
            </w:r>
          </w:p>
        </w:tc>
        <w:tc>
          <w:tcPr>
            <w:tcW w:w="1276" w:type="dxa"/>
            <w:vAlign w:val="center"/>
          </w:tcPr>
          <w:p>
            <w:pPr>
              <w:pStyle w:val="13"/>
            </w:pPr>
            <w:r>
              <w:t>信访工作年度考核结果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保证社会稳定，有效解决信访案件</w:t>
            </w:r>
          </w:p>
        </w:tc>
        <w:tc>
          <w:tcPr>
            <w:tcW w:w="5386" w:type="dxa"/>
            <w:vAlign w:val="center"/>
          </w:tcPr>
          <w:p>
            <w:pPr>
              <w:pStyle w:val="13"/>
            </w:pPr>
            <w:r>
              <w:t>化解信访积案，维护全县社会稳定</w:t>
            </w:r>
          </w:p>
        </w:tc>
        <w:tc>
          <w:tcPr>
            <w:tcW w:w="2268" w:type="dxa"/>
            <w:vAlign w:val="center"/>
          </w:tcPr>
          <w:p>
            <w:pPr>
              <w:pStyle w:val="13"/>
            </w:pPr>
            <w:r>
              <w:t>有效保障</w:t>
            </w:r>
          </w:p>
        </w:tc>
        <w:tc>
          <w:tcPr>
            <w:tcW w:w="1276" w:type="dxa"/>
            <w:vAlign w:val="center"/>
          </w:tcPr>
          <w:p>
            <w:pPr>
              <w:pStyle w:val="13"/>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持续维护社会稳定</w:t>
            </w:r>
          </w:p>
        </w:tc>
        <w:tc>
          <w:tcPr>
            <w:tcW w:w="1276" w:type="dxa"/>
            <w:vAlign w:val="center"/>
          </w:tcPr>
          <w:p>
            <w:pPr>
              <w:pStyle w:val="13"/>
            </w:pPr>
            <w:r>
              <w:t>社会矛盾纠纷排查数量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≥99百分比</w:t>
            </w:r>
          </w:p>
        </w:tc>
        <w:tc>
          <w:tcPr>
            <w:tcW w:w="1276" w:type="dxa"/>
            <w:vAlign w:val="center"/>
          </w:tcPr>
          <w:p>
            <w:pPr>
              <w:pStyle w:val="13"/>
            </w:pPr>
            <w:r>
              <w:t>调查走访</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553成安县信访局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成安县信访局（含所属单位）上年末固定资产金额为</w:t>
      </w:r>
      <w:r>
        <w:rPr>
          <w:rFonts w:hint="eastAsia" w:eastAsia="方正仿宋_GBK" w:cs="Times New Roman"/>
          <w:b w:val="0"/>
          <w:color w:val="000000"/>
          <w:sz w:val="28"/>
          <w:lang w:val="en-US" w:eastAsia="zh-CN"/>
        </w:rPr>
        <w:t>533.27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553成安县信访局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center"/>
              <w:rPr>
                <w:rFonts w:ascii="宋体" w:hAnsi="宋体" w:eastAsia="Times New Roman" w:cs="Times New Roman"/>
                <w:kern w:val="0"/>
                <w:sz w:val="22"/>
                <w:szCs w:val="24"/>
                <w:lang w:val="en-US" w:eastAsia="uk-UA" w:bidi="ar-SA"/>
              </w:rPr>
            </w:pPr>
            <w:r>
              <w:rPr>
                <w:rFonts w:hint="eastAsia" w:ascii="宋体" w:hAnsi="宋体" w:cs="宋体"/>
                <w:kern w:val="0"/>
                <w:sz w:val="22"/>
              </w:rPr>
              <w:t>资产总额</w:t>
            </w:r>
          </w:p>
        </w:tc>
        <w:tc>
          <w:tcPr>
            <w:tcW w:w="2835" w:type="dxa"/>
            <w:vAlign w:val="center"/>
          </w:tcPr>
          <w:p>
            <w:pPr>
              <w:widowControl/>
              <w:jc w:val="center"/>
              <w:rPr>
                <w:rFonts w:ascii="宋体" w:hAnsi="宋体" w:eastAsia="Times New Roman" w:cs="宋体"/>
                <w:kern w:val="0"/>
                <w:sz w:val="22"/>
                <w:szCs w:val="24"/>
                <w:lang w:val="en-US" w:eastAsia="uk-UA" w:bidi="ar-SA"/>
              </w:rPr>
            </w:pPr>
            <w:r>
              <w:rPr>
                <w:rFonts w:ascii="宋体" w:hAnsi="宋体" w:cs="宋体"/>
                <w:kern w:val="0"/>
                <w:sz w:val="22"/>
              </w:rPr>
              <w:t>——</w:t>
            </w:r>
          </w:p>
        </w:tc>
        <w:tc>
          <w:tcPr>
            <w:tcW w:w="2835" w:type="dxa"/>
            <w:vAlign w:val="center"/>
          </w:tcPr>
          <w:p>
            <w:pPr>
              <w:widowControl/>
              <w:jc w:val="center"/>
              <w:rPr>
                <w:rFonts w:hint="default" w:ascii="宋体" w:hAnsi="宋体" w:eastAsia="宋体" w:cs="宋体"/>
                <w:kern w:val="0"/>
                <w:sz w:val="22"/>
                <w:szCs w:val="24"/>
                <w:lang w:val="en-US" w:eastAsia="zh-CN" w:bidi="ar-SA"/>
              </w:rPr>
            </w:pPr>
            <w:r>
              <w:rPr>
                <w:rFonts w:hint="eastAsia" w:ascii="宋体" w:hAnsi="宋体" w:cs="宋体"/>
                <w:kern w:val="0"/>
                <w:sz w:val="22"/>
                <w:lang w:val="en-US" w:eastAsia="zh-CN"/>
              </w:rPr>
              <w:t>533.27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1</w:t>
            </w:r>
            <w:r>
              <w:rPr>
                <w:rFonts w:hint="eastAsia" w:ascii="宋体" w:hAnsi="宋体" w:cs="宋体"/>
                <w:kern w:val="0"/>
                <w:sz w:val="22"/>
              </w:rPr>
              <w:t>、房屋（平方米）</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7554</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503.27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 xml:space="preserve">   </w:t>
            </w:r>
            <w:r>
              <w:rPr>
                <w:rFonts w:hint="eastAsia" w:ascii="宋体" w:hAnsi="宋体" w:cs="宋体"/>
                <w:kern w:val="0"/>
                <w:sz w:val="22"/>
              </w:rPr>
              <w:t>其中：办公用房（平方米）</w:t>
            </w:r>
          </w:p>
        </w:tc>
        <w:tc>
          <w:tcPr>
            <w:tcW w:w="2835" w:type="dxa"/>
            <w:vAlign w:val="center"/>
          </w:tcPr>
          <w:p>
            <w:pPr>
              <w:widowControl/>
              <w:jc w:val="center"/>
              <w:rPr>
                <w:rFonts w:ascii="宋体" w:hAnsi="宋体" w:eastAsia="Times New Roman" w:cs="Times New Roman"/>
                <w:kern w:val="0"/>
                <w:sz w:val="22"/>
                <w:szCs w:val="24"/>
                <w:lang w:val="en-US" w:eastAsia="uk-UA" w:bidi="ar-SA"/>
              </w:rPr>
            </w:pPr>
          </w:p>
        </w:tc>
        <w:tc>
          <w:tcPr>
            <w:tcW w:w="2835" w:type="dxa"/>
            <w:vAlign w:val="center"/>
          </w:tcPr>
          <w:p>
            <w:pPr>
              <w:widowControl/>
              <w:jc w:val="center"/>
              <w:rPr>
                <w:rFonts w:ascii="宋体" w:hAnsi="宋体" w:eastAsia="Times New Roman" w:cs="Times New Roman"/>
                <w:kern w:val="0"/>
                <w:sz w:val="22"/>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2</w:t>
            </w:r>
            <w:r>
              <w:rPr>
                <w:rFonts w:hint="eastAsia" w:ascii="宋体" w:hAnsi="宋体" w:cs="宋体"/>
                <w:kern w:val="0"/>
                <w:sz w:val="22"/>
              </w:rPr>
              <w:t>、车辆（台、辆）</w:t>
            </w:r>
          </w:p>
        </w:tc>
        <w:tc>
          <w:tcPr>
            <w:tcW w:w="2835" w:type="dxa"/>
            <w:vAlign w:val="center"/>
          </w:tcPr>
          <w:p>
            <w:pPr>
              <w:widowControl/>
              <w:jc w:val="center"/>
              <w:rPr>
                <w:rFonts w:hint="eastAsia" w:ascii="宋体" w:hAnsi="宋体" w:eastAsia="Times New Roman" w:cs="Times New Roman"/>
                <w:kern w:val="0"/>
                <w:sz w:val="22"/>
                <w:szCs w:val="24"/>
                <w:lang w:val="en-US" w:eastAsia="uk-UA" w:bidi="ar-SA"/>
              </w:rPr>
            </w:pPr>
            <w:r>
              <w:rPr>
                <w:rFonts w:hint="eastAsia" w:ascii="宋体" w:hAnsi="宋体"/>
                <w:kern w:val="0"/>
                <w:sz w:val="22"/>
              </w:rPr>
              <w:t>1</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3</w:t>
            </w:r>
            <w:r>
              <w:rPr>
                <w:rFonts w:hint="eastAsia" w:ascii="宋体" w:hAnsi="宋体" w:cs="宋体"/>
                <w:kern w:val="0"/>
                <w:sz w:val="22"/>
              </w:rPr>
              <w:t>、单价在</w:t>
            </w:r>
            <w:r>
              <w:rPr>
                <w:rFonts w:ascii="宋体" w:hAnsi="宋体" w:cs="宋体"/>
                <w:kern w:val="0"/>
                <w:sz w:val="22"/>
              </w:rPr>
              <w:t>50</w:t>
            </w:r>
            <w:r>
              <w:rPr>
                <w:rFonts w:hint="eastAsia" w:ascii="宋体" w:hAnsi="宋体" w:cs="宋体"/>
                <w:kern w:val="0"/>
                <w:sz w:val="22"/>
              </w:rPr>
              <w:t>万元以上的设备</w:t>
            </w:r>
          </w:p>
        </w:tc>
        <w:tc>
          <w:tcPr>
            <w:tcW w:w="2835" w:type="dxa"/>
            <w:vAlign w:val="center"/>
          </w:tcPr>
          <w:p>
            <w:pPr>
              <w:widowControl/>
              <w:jc w:val="center"/>
              <w:rPr>
                <w:rFonts w:hint="eastAsia" w:ascii="宋体" w:hAnsi="宋体" w:eastAsia="宋体" w:cs="Times New Roman"/>
                <w:kern w:val="0"/>
                <w:sz w:val="22"/>
                <w:szCs w:val="24"/>
                <w:lang w:val="en-US" w:eastAsia="zh-CN" w:bidi="ar-SA"/>
              </w:rPr>
            </w:pPr>
            <w:r>
              <w:rPr>
                <w:rFonts w:hint="eastAsia" w:ascii="宋体" w:hAnsi="宋体"/>
                <w:kern w:val="0"/>
                <w:sz w:val="22"/>
                <w:lang w:val="en-US" w:eastAsia="zh-CN"/>
              </w:rPr>
              <w:t>1</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4</w:t>
            </w:r>
            <w:r>
              <w:rPr>
                <w:rFonts w:hint="eastAsia" w:ascii="宋体" w:hAnsi="宋体" w:cs="宋体"/>
                <w:kern w:val="0"/>
                <w:sz w:val="22"/>
              </w:rPr>
              <w:t>、其他固定资产</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0</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0</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F9DC4"/>
    <w:multiLevelType w:val="singleLevel"/>
    <w:tmpl w:val="958F9DC4"/>
    <w:lvl w:ilvl="0" w:tentative="0">
      <w:start w:val="2"/>
      <w:numFmt w:val="chineseCounting"/>
      <w:suff w:val="nothing"/>
      <w:lvlText w:val="%1、"/>
      <w:lvlJc w:val="left"/>
      <w:rPr>
        <w:rFonts w:hint="eastAsia"/>
      </w:rPr>
    </w:lvl>
  </w:abstractNum>
  <w:abstractNum w:abstractNumId="1">
    <w:nsid w:val="67A75517"/>
    <w:multiLevelType w:val="singleLevel"/>
    <w:tmpl w:val="67A7551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mQ2MzIzZTRkZmIyY2QwNDc0Y2M0ZDA4ZWY5MzgifQ=="/>
  </w:docVars>
  <w:rsids>
    <w:rsidRoot w:val="00000000"/>
    <w:rsid w:val="01B22E7D"/>
    <w:rsid w:val="05B63FDD"/>
    <w:rsid w:val="06E914FE"/>
    <w:rsid w:val="089C6CFD"/>
    <w:rsid w:val="0B343F4B"/>
    <w:rsid w:val="0F96368D"/>
    <w:rsid w:val="2DBD626A"/>
    <w:rsid w:val="329669F1"/>
    <w:rsid w:val="426D552C"/>
    <w:rsid w:val="531E6330"/>
    <w:rsid w:val="614E58BC"/>
    <w:rsid w:val="754B6B49"/>
    <w:rsid w:val="7A0713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5515</Words>
  <Characters>6884</Characters>
  <TotalTime>15</TotalTime>
  <ScaleCrop>false</ScaleCrop>
  <LinksUpToDate>false</LinksUpToDate>
  <CharactersWithSpaces>7061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2026-03-05T15:33:00Z</dcterms:created>
  <dc:creator>Administrator</dc:creator>
  <cp:lastModifiedBy>Administrator</cp:lastModifiedBy>
  <dcterms:modified xsi:type="dcterms:W3CDTF">2026-03-05T08:20:11Z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5B3FE7B930194CE7BB2E7F98FFDC9498_13</vt:lpwstr>
  </property>
</Properties>
</file>