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pPr>
        <w:pStyle w:val="5"/>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1</w:t>
      </w:r>
    </w:p>
    <w:p>
      <w:pPr>
        <w:pStyle w:val="5"/>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4</w:t>
      </w:r>
    </w:p>
    <w:p>
      <w:pPr>
        <w:pStyle w:val="5"/>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2</w:t>
      </w:r>
      <w:r>
        <w:fldChar w:fldCharType="end"/>
      </w:r>
      <w:r>
        <w:rPr>
          <w:rFonts w:hint="eastAsia"/>
          <w:lang w:val="en-US" w:eastAsia="zh-CN"/>
        </w:rPr>
        <w:t>5</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554成安县统战部</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162.11</w:t>
            </w:r>
          </w:p>
        </w:tc>
        <w:tc>
          <w:tcPr>
            <w:tcW w:w="4535" w:type="dxa"/>
            <w:vAlign w:val="center"/>
          </w:tcPr>
          <w:p>
            <w:pPr>
              <w:pStyle w:val="15"/>
            </w:pPr>
            <w:r>
              <w:t>一、一般公共服务支出</w:t>
            </w:r>
          </w:p>
        </w:tc>
        <w:tc>
          <w:tcPr>
            <w:tcW w:w="2126" w:type="dxa"/>
            <w:vAlign w:val="center"/>
          </w:tcPr>
          <w:p>
            <w:pPr>
              <w:pStyle w:val="14"/>
            </w:pPr>
            <w:r>
              <w:t>121.14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162.11</w:t>
            </w:r>
          </w:p>
        </w:tc>
        <w:tc>
          <w:tcPr>
            <w:tcW w:w="4535" w:type="dxa"/>
            <w:vAlign w:val="center"/>
          </w:tcPr>
          <w:p>
            <w:pPr>
              <w:pStyle w:val="17"/>
            </w:pPr>
            <w:r>
              <w:t>本年支出合计</w:t>
            </w:r>
          </w:p>
        </w:tc>
        <w:tc>
          <w:tcPr>
            <w:tcW w:w="2126" w:type="dxa"/>
            <w:vAlign w:val="center"/>
          </w:tcPr>
          <w:p>
            <w:pPr>
              <w:pStyle w:val="18"/>
            </w:pPr>
            <w:r>
              <w:t>162.11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162.11</w:t>
            </w:r>
          </w:p>
        </w:tc>
        <w:tc>
          <w:tcPr>
            <w:tcW w:w="4535" w:type="dxa"/>
            <w:vAlign w:val="center"/>
          </w:tcPr>
          <w:p>
            <w:pPr>
              <w:pStyle w:val="17"/>
            </w:pPr>
            <w:r>
              <w:t>支出总计</w:t>
            </w:r>
          </w:p>
        </w:tc>
        <w:tc>
          <w:tcPr>
            <w:tcW w:w="2126" w:type="dxa"/>
            <w:vAlign w:val="center"/>
          </w:tcPr>
          <w:p>
            <w:pPr>
              <w:pStyle w:val="18"/>
            </w:pPr>
            <w:r>
              <w:t>162.11</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554成安县统战部</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162.11</w:t>
            </w:r>
          </w:p>
        </w:tc>
        <w:tc>
          <w:tcPr>
            <w:tcW w:w="1134" w:type="dxa"/>
            <w:vAlign w:val="center"/>
          </w:tcPr>
          <w:p>
            <w:pPr>
              <w:pStyle w:val="18"/>
            </w:pPr>
            <w:r>
              <w:t>162.11</w:t>
            </w:r>
          </w:p>
        </w:tc>
        <w:tc>
          <w:tcPr>
            <w:tcW w:w="1134" w:type="dxa"/>
            <w:vAlign w:val="center"/>
          </w:tcPr>
          <w:p>
            <w:pPr>
              <w:pStyle w:val="18"/>
            </w:pPr>
            <w:r>
              <w:t>162.11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121.14</w:t>
            </w:r>
          </w:p>
        </w:tc>
        <w:tc>
          <w:tcPr>
            <w:tcW w:w="1134" w:type="dxa"/>
            <w:vAlign w:val="center"/>
          </w:tcPr>
          <w:p>
            <w:pPr>
              <w:pStyle w:val="14"/>
            </w:pPr>
            <w:r>
              <w:t>121.14</w:t>
            </w:r>
          </w:p>
        </w:tc>
        <w:tc>
          <w:tcPr>
            <w:tcW w:w="1134" w:type="dxa"/>
            <w:vAlign w:val="center"/>
          </w:tcPr>
          <w:p>
            <w:pPr>
              <w:pStyle w:val="14"/>
            </w:pPr>
            <w:r>
              <w:t>121.14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20134</w:t>
            </w:r>
          </w:p>
        </w:tc>
        <w:tc>
          <w:tcPr>
            <w:tcW w:w="1559" w:type="dxa"/>
            <w:vAlign w:val="center"/>
          </w:tcPr>
          <w:p>
            <w:pPr>
              <w:pStyle w:val="15"/>
            </w:pPr>
            <w:r>
              <w:t>统战事务</w:t>
            </w:r>
          </w:p>
        </w:tc>
        <w:tc>
          <w:tcPr>
            <w:tcW w:w="1134" w:type="dxa"/>
            <w:vAlign w:val="center"/>
          </w:tcPr>
          <w:p>
            <w:pPr>
              <w:pStyle w:val="14"/>
            </w:pPr>
            <w:r>
              <w:t>121.14</w:t>
            </w:r>
          </w:p>
        </w:tc>
        <w:tc>
          <w:tcPr>
            <w:tcW w:w="1134" w:type="dxa"/>
            <w:vAlign w:val="center"/>
          </w:tcPr>
          <w:p>
            <w:pPr>
              <w:pStyle w:val="14"/>
            </w:pPr>
            <w:r>
              <w:t>121.14</w:t>
            </w:r>
          </w:p>
        </w:tc>
        <w:tc>
          <w:tcPr>
            <w:tcW w:w="1134" w:type="dxa"/>
            <w:vAlign w:val="center"/>
          </w:tcPr>
          <w:p>
            <w:pPr>
              <w:pStyle w:val="14"/>
            </w:pPr>
            <w:r>
              <w:t>121.14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2013401</w:t>
            </w:r>
          </w:p>
        </w:tc>
        <w:tc>
          <w:tcPr>
            <w:tcW w:w="1559" w:type="dxa"/>
            <w:vAlign w:val="center"/>
          </w:tcPr>
          <w:p>
            <w:pPr>
              <w:pStyle w:val="15"/>
            </w:pPr>
            <w:r>
              <w:t>行政运行</w:t>
            </w:r>
          </w:p>
        </w:tc>
        <w:tc>
          <w:tcPr>
            <w:tcW w:w="1134" w:type="dxa"/>
            <w:vAlign w:val="center"/>
          </w:tcPr>
          <w:p>
            <w:pPr>
              <w:pStyle w:val="14"/>
            </w:pPr>
            <w:r>
              <w:t>121.14</w:t>
            </w:r>
          </w:p>
        </w:tc>
        <w:tc>
          <w:tcPr>
            <w:tcW w:w="1134" w:type="dxa"/>
            <w:vAlign w:val="center"/>
          </w:tcPr>
          <w:p>
            <w:pPr>
              <w:pStyle w:val="14"/>
            </w:pPr>
            <w:r>
              <w:t>121.14</w:t>
            </w:r>
          </w:p>
        </w:tc>
        <w:tc>
          <w:tcPr>
            <w:tcW w:w="1134" w:type="dxa"/>
            <w:vAlign w:val="center"/>
          </w:tcPr>
          <w:p>
            <w:pPr>
              <w:pStyle w:val="14"/>
            </w:pPr>
            <w:r>
              <w:t>121.14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31.92</w:t>
            </w:r>
          </w:p>
        </w:tc>
        <w:tc>
          <w:tcPr>
            <w:tcW w:w="1134" w:type="dxa"/>
            <w:vAlign w:val="center"/>
          </w:tcPr>
          <w:p>
            <w:pPr>
              <w:pStyle w:val="14"/>
            </w:pPr>
            <w:r>
              <w:t>31.92</w:t>
            </w:r>
          </w:p>
        </w:tc>
        <w:tc>
          <w:tcPr>
            <w:tcW w:w="1134" w:type="dxa"/>
            <w:vAlign w:val="center"/>
          </w:tcPr>
          <w:p>
            <w:pPr>
              <w:pStyle w:val="14"/>
            </w:pPr>
            <w:r>
              <w:t>31.92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30.91</w:t>
            </w:r>
          </w:p>
        </w:tc>
        <w:tc>
          <w:tcPr>
            <w:tcW w:w="1134" w:type="dxa"/>
            <w:vAlign w:val="center"/>
          </w:tcPr>
          <w:p>
            <w:pPr>
              <w:pStyle w:val="14"/>
            </w:pPr>
            <w:r>
              <w:t>30.91</w:t>
            </w:r>
          </w:p>
        </w:tc>
        <w:tc>
          <w:tcPr>
            <w:tcW w:w="1134" w:type="dxa"/>
            <w:vAlign w:val="center"/>
          </w:tcPr>
          <w:p>
            <w:pPr>
              <w:pStyle w:val="14"/>
            </w:pPr>
            <w:r>
              <w:t>30.91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23.22</w:t>
            </w:r>
          </w:p>
        </w:tc>
        <w:tc>
          <w:tcPr>
            <w:tcW w:w="1134" w:type="dxa"/>
            <w:vAlign w:val="center"/>
          </w:tcPr>
          <w:p>
            <w:pPr>
              <w:pStyle w:val="14"/>
            </w:pPr>
            <w:r>
              <w:t>23.22</w:t>
            </w:r>
          </w:p>
        </w:tc>
        <w:tc>
          <w:tcPr>
            <w:tcW w:w="1134" w:type="dxa"/>
            <w:vAlign w:val="center"/>
          </w:tcPr>
          <w:p>
            <w:pPr>
              <w:pStyle w:val="14"/>
            </w:pPr>
            <w:r>
              <w:t>23.22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7.69</w:t>
            </w:r>
          </w:p>
        </w:tc>
        <w:tc>
          <w:tcPr>
            <w:tcW w:w="1134" w:type="dxa"/>
            <w:vAlign w:val="center"/>
          </w:tcPr>
          <w:p>
            <w:pPr>
              <w:pStyle w:val="14"/>
            </w:pPr>
            <w:r>
              <w:t>7.69</w:t>
            </w:r>
          </w:p>
        </w:tc>
        <w:tc>
          <w:tcPr>
            <w:tcW w:w="1134" w:type="dxa"/>
            <w:vAlign w:val="center"/>
          </w:tcPr>
          <w:p>
            <w:pPr>
              <w:pStyle w:val="14"/>
            </w:pPr>
            <w:r>
              <w:t>7.69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0.81</w:t>
            </w:r>
          </w:p>
        </w:tc>
        <w:tc>
          <w:tcPr>
            <w:tcW w:w="1134" w:type="dxa"/>
            <w:vAlign w:val="center"/>
          </w:tcPr>
          <w:p>
            <w:pPr>
              <w:pStyle w:val="14"/>
            </w:pPr>
            <w:r>
              <w:t>0.81</w:t>
            </w:r>
          </w:p>
        </w:tc>
        <w:tc>
          <w:tcPr>
            <w:tcW w:w="1134" w:type="dxa"/>
            <w:vAlign w:val="center"/>
          </w:tcPr>
          <w:p>
            <w:pPr>
              <w:pStyle w:val="14"/>
            </w:pPr>
            <w:r>
              <w:t>0.81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2080801</w:t>
            </w:r>
          </w:p>
        </w:tc>
        <w:tc>
          <w:tcPr>
            <w:tcW w:w="1559" w:type="dxa"/>
            <w:vAlign w:val="center"/>
          </w:tcPr>
          <w:p>
            <w:pPr>
              <w:pStyle w:val="15"/>
            </w:pPr>
            <w:r>
              <w:t>死亡抚恤</w:t>
            </w:r>
          </w:p>
        </w:tc>
        <w:tc>
          <w:tcPr>
            <w:tcW w:w="1134" w:type="dxa"/>
            <w:vAlign w:val="center"/>
          </w:tcPr>
          <w:p>
            <w:pPr>
              <w:pStyle w:val="14"/>
            </w:pPr>
            <w:r>
              <w:t>0.81</w:t>
            </w:r>
          </w:p>
        </w:tc>
        <w:tc>
          <w:tcPr>
            <w:tcW w:w="1134" w:type="dxa"/>
            <w:vAlign w:val="center"/>
          </w:tcPr>
          <w:p>
            <w:pPr>
              <w:pStyle w:val="14"/>
            </w:pPr>
            <w:r>
              <w:t>0.81</w:t>
            </w:r>
          </w:p>
        </w:tc>
        <w:tc>
          <w:tcPr>
            <w:tcW w:w="1134" w:type="dxa"/>
            <w:vAlign w:val="center"/>
          </w:tcPr>
          <w:p>
            <w:pPr>
              <w:pStyle w:val="14"/>
            </w:pPr>
            <w:r>
              <w:t>0.81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20827</w:t>
            </w:r>
          </w:p>
        </w:tc>
        <w:tc>
          <w:tcPr>
            <w:tcW w:w="1559" w:type="dxa"/>
            <w:vAlign w:val="center"/>
          </w:tcPr>
          <w:p>
            <w:pPr>
              <w:pStyle w:val="15"/>
            </w:pPr>
            <w:r>
              <w:t>财政对其他社会保险基金的补助</w:t>
            </w:r>
          </w:p>
        </w:tc>
        <w:tc>
          <w:tcPr>
            <w:tcW w:w="1134" w:type="dxa"/>
            <w:vAlign w:val="center"/>
          </w:tcPr>
          <w:p>
            <w:pPr>
              <w:pStyle w:val="14"/>
            </w:pPr>
            <w:r>
              <w:t>0.21</w:t>
            </w:r>
          </w:p>
        </w:tc>
        <w:tc>
          <w:tcPr>
            <w:tcW w:w="1134" w:type="dxa"/>
            <w:vAlign w:val="center"/>
          </w:tcPr>
          <w:p>
            <w:pPr>
              <w:pStyle w:val="14"/>
            </w:pPr>
            <w:r>
              <w:t>0.21</w:t>
            </w:r>
          </w:p>
        </w:tc>
        <w:tc>
          <w:tcPr>
            <w:tcW w:w="1134" w:type="dxa"/>
            <w:vAlign w:val="center"/>
          </w:tcPr>
          <w:p>
            <w:pPr>
              <w:pStyle w:val="14"/>
            </w:pPr>
            <w:r>
              <w:t>0.21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2082702</w:t>
            </w:r>
          </w:p>
        </w:tc>
        <w:tc>
          <w:tcPr>
            <w:tcW w:w="1559" w:type="dxa"/>
            <w:vAlign w:val="center"/>
          </w:tcPr>
          <w:p>
            <w:pPr>
              <w:pStyle w:val="15"/>
            </w:pPr>
            <w:r>
              <w:t>财政对工伤保险基金的补助</w:t>
            </w:r>
          </w:p>
        </w:tc>
        <w:tc>
          <w:tcPr>
            <w:tcW w:w="1134" w:type="dxa"/>
            <w:vAlign w:val="center"/>
          </w:tcPr>
          <w:p>
            <w:pPr>
              <w:pStyle w:val="14"/>
            </w:pPr>
            <w:r>
              <w:t>0.21</w:t>
            </w:r>
          </w:p>
        </w:tc>
        <w:tc>
          <w:tcPr>
            <w:tcW w:w="1134" w:type="dxa"/>
            <w:vAlign w:val="center"/>
          </w:tcPr>
          <w:p>
            <w:pPr>
              <w:pStyle w:val="14"/>
            </w:pPr>
            <w:r>
              <w:t>0.21</w:t>
            </w:r>
          </w:p>
        </w:tc>
        <w:tc>
          <w:tcPr>
            <w:tcW w:w="1134" w:type="dxa"/>
            <w:vAlign w:val="center"/>
          </w:tcPr>
          <w:p>
            <w:pPr>
              <w:pStyle w:val="14"/>
            </w:pPr>
            <w:r>
              <w:t>0.21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3.50</w:t>
            </w:r>
          </w:p>
        </w:tc>
        <w:tc>
          <w:tcPr>
            <w:tcW w:w="1134" w:type="dxa"/>
            <w:vAlign w:val="center"/>
          </w:tcPr>
          <w:p>
            <w:pPr>
              <w:pStyle w:val="14"/>
            </w:pPr>
            <w:r>
              <w:t>3.50</w:t>
            </w:r>
          </w:p>
        </w:tc>
        <w:tc>
          <w:tcPr>
            <w:tcW w:w="1134" w:type="dxa"/>
            <w:vAlign w:val="center"/>
          </w:tcPr>
          <w:p>
            <w:pPr>
              <w:pStyle w:val="14"/>
            </w:pPr>
            <w:r>
              <w:t>3.50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21012</w:t>
            </w:r>
          </w:p>
        </w:tc>
        <w:tc>
          <w:tcPr>
            <w:tcW w:w="1559" w:type="dxa"/>
            <w:vAlign w:val="center"/>
          </w:tcPr>
          <w:p>
            <w:pPr>
              <w:pStyle w:val="15"/>
            </w:pPr>
            <w:r>
              <w:t>财政对基本医疗保险基金的补助</w:t>
            </w:r>
          </w:p>
        </w:tc>
        <w:tc>
          <w:tcPr>
            <w:tcW w:w="1134" w:type="dxa"/>
            <w:vAlign w:val="center"/>
          </w:tcPr>
          <w:p>
            <w:pPr>
              <w:pStyle w:val="14"/>
            </w:pPr>
            <w:r>
              <w:t>3.50</w:t>
            </w:r>
          </w:p>
        </w:tc>
        <w:tc>
          <w:tcPr>
            <w:tcW w:w="1134" w:type="dxa"/>
            <w:vAlign w:val="center"/>
          </w:tcPr>
          <w:p>
            <w:pPr>
              <w:pStyle w:val="14"/>
            </w:pPr>
            <w:r>
              <w:t>3.50</w:t>
            </w:r>
          </w:p>
        </w:tc>
        <w:tc>
          <w:tcPr>
            <w:tcW w:w="1134" w:type="dxa"/>
            <w:vAlign w:val="center"/>
          </w:tcPr>
          <w:p>
            <w:pPr>
              <w:pStyle w:val="14"/>
            </w:pPr>
            <w:r>
              <w:t>3.50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2101201</w:t>
            </w:r>
          </w:p>
        </w:tc>
        <w:tc>
          <w:tcPr>
            <w:tcW w:w="1559" w:type="dxa"/>
            <w:vAlign w:val="center"/>
          </w:tcPr>
          <w:p>
            <w:pPr>
              <w:pStyle w:val="15"/>
            </w:pPr>
            <w:r>
              <w:t>财政对职工基本医疗保险基金的补助</w:t>
            </w:r>
          </w:p>
        </w:tc>
        <w:tc>
          <w:tcPr>
            <w:tcW w:w="1134" w:type="dxa"/>
            <w:vAlign w:val="center"/>
          </w:tcPr>
          <w:p>
            <w:pPr>
              <w:pStyle w:val="14"/>
            </w:pPr>
            <w:r>
              <w:t>3.50</w:t>
            </w:r>
          </w:p>
        </w:tc>
        <w:tc>
          <w:tcPr>
            <w:tcW w:w="1134" w:type="dxa"/>
            <w:vAlign w:val="center"/>
          </w:tcPr>
          <w:p>
            <w:pPr>
              <w:pStyle w:val="14"/>
            </w:pPr>
            <w:r>
              <w:t>3.50</w:t>
            </w:r>
          </w:p>
        </w:tc>
        <w:tc>
          <w:tcPr>
            <w:tcW w:w="1134" w:type="dxa"/>
            <w:vAlign w:val="center"/>
          </w:tcPr>
          <w:p>
            <w:pPr>
              <w:pStyle w:val="14"/>
            </w:pPr>
            <w:r>
              <w:t>3.50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5.55</w:t>
            </w:r>
          </w:p>
        </w:tc>
        <w:tc>
          <w:tcPr>
            <w:tcW w:w="1134" w:type="dxa"/>
            <w:vAlign w:val="center"/>
          </w:tcPr>
          <w:p>
            <w:pPr>
              <w:pStyle w:val="14"/>
            </w:pPr>
            <w:r>
              <w:t>5.55</w:t>
            </w:r>
          </w:p>
        </w:tc>
        <w:tc>
          <w:tcPr>
            <w:tcW w:w="1134" w:type="dxa"/>
            <w:vAlign w:val="center"/>
          </w:tcPr>
          <w:p>
            <w:pPr>
              <w:pStyle w:val="14"/>
            </w:pPr>
            <w:r>
              <w:t>5.55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5.55</w:t>
            </w:r>
          </w:p>
        </w:tc>
        <w:tc>
          <w:tcPr>
            <w:tcW w:w="1134" w:type="dxa"/>
            <w:vAlign w:val="center"/>
          </w:tcPr>
          <w:p>
            <w:pPr>
              <w:pStyle w:val="14"/>
            </w:pPr>
            <w:r>
              <w:t>5.55</w:t>
            </w:r>
          </w:p>
        </w:tc>
        <w:tc>
          <w:tcPr>
            <w:tcW w:w="1134" w:type="dxa"/>
            <w:vAlign w:val="center"/>
          </w:tcPr>
          <w:p>
            <w:pPr>
              <w:pStyle w:val="14"/>
            </w:pPr>
            <w:r>
              <w:t>5.55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5.55</w:t>
            </w:r>
          </w:p>
        </w:tc>
        <w:tc>
          <w:tcPr>
            <w:tcW w:w="1134" w:type="dxa"/>
            <w:vAlign w:val="center"/>
          </w:tcPr>
          <w:p>
            <w:pPr>
              <w:pStyle w:val="14"/>
            </w:pPr>
            <w:r>
              <w:t>5.55</w:t>
            </w:r>
          </w:p>
        </w:tc>
        <w:tc>
          <w:tcPr>
            <w:tcW w:w="1134" w:type="dxa"/>
            <w:vAlign w:val="center"/>
          </w:tcPr>
          <w:p>
            <w:pPr>
              <w:pStyle w:val="14"/>
            </w:pPr>
            <w:r>
              <w:t>5.55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554成安县统战部</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162.11</w:t>
            </w:r>
          </w:p>
        </w:tc>
        <w:tc>
          <w:tcPr>
            <w:tcW w:w="1361" w:type="dxa"/>
            <w:vAlign w:val="center"/>
          </w:tcPr>
          <w:p>
            <w:pPr>
              <w:pStyle w:val="18"/>
            </w:pPr>
            <w:r>
              <w:t>162.11</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121.14</w:t>
            </w:r>
          </w:p>
        </w:tc>
        <w:tc>
          <w:tcPr>
            <w:tcW w:w="1361" w:type="dxa"/>
            <w:vAlign w:val="center"/>
          </w:tcPr>
          <w:p>
            <w:pPr>
              <w:pStyle w:val="14"/>
            </w:pPr>
            <w:r>
              <w:t>121.14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20134</w:t>
            </w:r>
          </w:p>
        </w:tc>
        <w:tc>
          <w:tcPr>
            <w:tcW w:w="4535" w:type="dxa"/>
            <w:vAlign w:val="center"/>
          </w:tcPr>
          <w:p>
            <w:pPr>
              <w:pStyle w:val="15"/>
            </w:pPr>
            <w:r>
              <w:t>统战事务</w:t>
            </w:r>
          </w:p>
        </w:tc>
        <w:tc>
          <w:tcPr>
            <w:tcW w:w="1361" w:type="dxa"/>
            <w:vAlign w:val="center"/>
          </w:tcPr>
          <w:p>
            <w:pPr>
              <w:pStyle w:val="14"/>
            </w:pPr>
            <w:r>
              <w:t>121.14</w:t>
            </w:r>
          </w:p>
        </w:tc>
        <w:tc>
          <w:tcPr>
            <w:tcW w:w="1361" w:type="dxa"/>
            <w:vAlign w:val="center"/>
          </w:tcPr>
          <w:p>
            <w:pPr>
              <w:pStyle w:val="14"/>
            </w:pPr>
            <w:r>
              <w:t>121.14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2013401</w:t>
            </w:r>
          </w:p>
        </w:tc>
        <w:tc>
          <w:tcPr>
            <w:tcW w:w="4535" w:type="dxa"/>
            <w:vAlign w:val="center"/>
          </w:tcPr>
          <w:p>
            <w:pPr>
              <w:pStyle w:val="15"/>
            </w:pPr>
            <w:r>
              <w:t>行政运行</w:t>
            </w:r>
          </w:p>
        </w:tc>
        <w:tc>
          <w:tcPr>
            <w:tcW w:w="1361" w:type="dxa"/>
            <w:vAlign w:val="center"/>
          </w:tcPr>
          <w:p>
            <w:pPr>
              <w:pStyle w:val="14"/>
            </w:pPr>
            <w:r>
              <w:t>121.14</w:t>
            </w:r>
          </w:p>
        </w:tc>
        <w:tc>
          <w:tcPr>
            <w:tcW w:w="1361" w:type="dxa"/>
            <w:vAlign w:val="center"/>
          </w:tcPr>
          <w:p>
            <w:pPr>
              <w:pStyle w:val="14"/>
            </w:pPr>
            <w:r>
              <w:t>121.14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31.92</w:t>
            </w:r>
          </w:p>
        </w:tc>
        <w:tc>
          <w:tcPr>
            <w:tcW w:w="1361" w:type="dxa"/>
            <w:vAlign w:val="center"/>
          </w:tcPr>
          <w:p>
            <w:pPr>
              <w:pStyle w:val="14"/>
            </w:pPr>
            <w:r>
              <w:t>31.92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30.91</w:t>
            </w:r>
          </w:p>
        </w:tc>
        <w:tc>
          <w:tcPr>
            <w:tcW w:w="1361" w:type="dxa"/>
            <w:vAlign w:val="center"/>
          </w:tcPr>
          <w:p>
            <w:pPr>
              <w:pStyle w:val="14"/>
            </w:pPr>
            <w:r>
              <w:t>30.91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23.22</w:t>
            </w:r>
          </w:p>
        </w:tc>
        <w:tc>
          <w:tcPr>
            <w:tcW w:w="1361" w:type="dxa"/>
            <w:vAlign w:val="center"/>
          </w:tcPr>
          <w:p>
            <w:pPr>
              <w:pStyle w:val="14"/>
            </w:pPr>
            <w:r>
              <w:t>23.22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7.69</w:t>
            </w:r>
          </w:p>
        </w:tc>
        <w:tc>
          <w:tcPr>
            <w:tcW w:w="1361" w:type="dxa"/>
            <w:vAlign w:val="center"/>
          </w:tcPr>
          <w:p>
            <w:pPr>
              <w:pStyle w:val="14"/>
            </w:pPr>
            <w:r>
              <w:t>7.69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0.81</w:t>
            </w:r>
          </w:p>
        </w:tc>
        <w:tc>
          <w:tcPr>
            <w:tcW w:w="1361" w:type="dxa"/>
            <w:vAlign w:val="center"/>
          </w:tcPr>
          <w:p>
            <w:pPr>
              <w:pStyle w:val="14"/>
            </w:pPr>
            <w:r>
              <w:t>0.81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2080801</w:t>
            </w:r>
          </w:p>
        </w:tc>
        <w:tc>
          <w:tcPr>
            <w:tcW w:w="4535" w:type="dxa"/>
            <w:vAlign w:val="center"/>
          </w:tcPr>
          <w:p>
            <w:pPr>
              <w:pStyle w:val="15"/>
            </w:pPr>
            <w:r>
              <w:t>死亡抚恤</w:t>
            </w:r>
          </w:p>
        </w:tc>
        <w:tc>
          <w:tcPr>
            <w:tcW w:w="1361" w:type="dxa"/>
            <w:vAlign w:val="center"/>
          </w:tcPr>
          <w:p>
            <w:pPr>
              <w:pStyle w:val="14"/>
            </w:pPr>
            <w:r>
              <w:t>0.81</w:t>
            </w:r>
          </w:p>
        </w:tc>
        <w:tc>
          <w:tcPr>
            <w:tcW w:w="1361" w:type="dxa"/>
            <w:vAlign w:val="center"/>
          </w:tcPr>
          <w:p>
            <w:pPr>
              <w:pStyle w:val="14"/>
            </w:pPr>
            <w:r>
              <w:t>0.81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20827</w:t>
            </w:r>
          </w:p>
        </w:tc>
        <w:tc>
          <w:tcPr>
            <w:tcW w:w="4535" w:type="dxa"/>
            <w:vAlign w:val="center"/>
          </w:tcPr>
          <w:p>
            <w:pPr>
              <w:pStyle w:val="15"/>
            </w:pPr>
            <w:r>
              <w:t>财政对其他社会保险基金的补助</w:t>
            </w:r>
          </w:p>
        </w:tc>
        <w:tc>
          <w:tcPr>
            <w:tcW w:w="1361" w:type="dxa"/>
            <w:vAlign w:val="center"/>
          </w:tcPr>
          <w:p>
            <w:pPr>
              <w:pStyle w:val="14"/>
            </w:pPr>
            <w:r>
              <w:t>0.21</w:t>
            </w:r>
          </w:p>
        </w:tc>
        <w:tc>
          <w:tcPr>
            <w:tcW w:w="1361" w:type="dxa"/>
            <w:vAlign w:val="center"/>
          </w:tcPr>
          <w:p>
            <w:pPr>
              <w:pStyle w:val="14"/>
            </w:pPr>
            <w:r>
              <w:t>0.21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2082702</w:t>
            </w:r>
          </w:p>
        </w:tc>
        <w:tc>
          <w:tcPr>
            <w:tcW w:w="4535" w:type="dxa"/>
            <w:vAlign w:val="center"/>
          </w:tcPr>
          <w:p>
            <w:pPr>
              <w:pStyle w:val="15"/>
            </w:pPr>
            <w:r>
              <w:t>财政对工伤保险基金的补助</w:t>
            </w:r>
          </w:p>
        </w:tc>
        <w:tc>
          <w:tcPr>
            <w:tcW w:w="1361" w:type="dxa"/>
            <w:vAlign w:val="center"/>
          </w:tcPr>
          <w:p>
            <w:pPr>
              <w:pStyle w:val="14"/>
            </w:pPr>
            <w:r>
              <w:t>0.21</w:t>
            </w:r>
          </w:p>
        </w:tc>
        <w:tc>
          <w:tcPr>
            <w:tcW w:w="1361" w:type="dxa"/>
            <w:vAlign w:val="center"/>
          </w:tcPr>
          <w:p>
            <w:pPr>
              <w:pStyle w:val="14"/>
            </w:pPr>
            <w:r>
              <w:t>0.21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3.50</w:t>
            </w:r>
          </w:p>
        </w:tc>
        <w:tc>
          <w:tcPr>
            <w:tcW w:w="1361" w:type="dxa"/>
            <w:vAlign w:val="center"/>
          </w:tcPr>
          <w:p>
            <w:pPr>
              <w:pStyle w:val="14"/>
            </w:pPr>
            <w:r>
              <w:t>3.50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21012</w:t>
            </w:r>
          </w:p>
        </w:tc>
        <w:tc>
          <w:tcPr>
            <w:tcW w:w="4535" w:type="dxa"/>
            <w:vAlign w:val="center"/>
          </w:tcPr>
          <w:p>
            <w:pPr>
              <w:pStyle w:val="15"/>
            </w:pPr>
            <w:r>
              <w:t>财政对基本医疗保险基金的补助</w:t>
            </w:r>
          </w:p>
        </w:tc>
        <w:tc>
          <w:tcPr>
            <w:tcW w:w="1361" w:type="dxa"/>
            <w:vAlign w:val="center"/>
          </w:tcPr>
          <w:p>
            <w:pPr>
              <w:pStyle w:val="14"/>
            </w:pPr>
            <w:r>
              <w:t>3.50</w:t>
            </w:r>
          </w:p>
        </w:tc>
        <w:tc>
          <w:tcPr>
            <w:tcW w:w="1361" w:type="dxa"/>
            <w:vAlign w:val="center"/>
          </w:tcPr>
          <w:p>
            <w:pPr>
              <w:pStyle w:val="14"/>
            </w:pPr>
            <w:r>
              <w:t>3.50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2101201</w:t>
            </w:r>
          </w:p>
        </w:tc>
        <w:tc>
          <w:tcPr>
            <w:tcW w:w="4535" w:type="dxa"/>
            <w:vAlign w:val="center"/>
          </w:tcPr>
          <w:p>
            <w:pPr>
              <w:pStyle w:val="15"/>
            </w:pPr>
            <w:r>
              <w:t>财政对职工基本医疗保险基金的补助</w:t>
            </w:r>
          </w:p>
        </w:tc>
        <w:tc>
          <w:tcPr>
            <w:tcW w:w="1361" w:type="dxa"/>
            <w:vAlign w:val="center"/>
          </w:tcPr>
          <w:p>
            <w:pPr>
              <w:pStyle w:val="14"/>
            </w:pPr>
            <w:r>
              <w:t>3.50</w:t>
            </w:r>
          </w:p>
        </w:tc>
        <w:tc>
          <w:tcPr>
            <w:tcW w:w="1361" w:type="dxa"/>
            <w:vAlign w:val="center"/>
          </w:tcPr>
          <w:p>
            <w:pPr>
              <w:pStyle w:val="14"/>
            </w:pPr>
            <w:r>
              <w:t>3.50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5.55</w:t>
            </w:r>
          </w:p>
        </w:tc>
        <w:tc>
          <w:tcPr>
            <w:tcW w:w="1361" w:type="dxa"/>
            <w:vAlign w:val="center"/>
          </w:tcPr>
          <w:p>
            <w:pPr>
              <w:pStyle w:val="14"/>
            </w:pPr>
            <w:r>
              <w:t>5.55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5.55</w:t>
            </w:r>
          </w:p>
        </w:tc>
        <w:tc>
          <w:tcPr>
            <w:tcW w:w="1361" w:type="dxa"/>
            <w:vAlign w:val="center"/>
          </w:tcPr>
          <w:p>
            <w:pPr>
              <w:pStyle w:val="14"/>
            </w:pPr>
            <w:r>
              <w:t>5.55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5.55</w:t>
            </w:r>
          </w:p>
        </w:tc>
        <w:tc>
          <w:tcPr>
            <w:tcW w:w="1361" w:type="dxa"/>
            <w:vAlign w:val="center"/>
          </w:tcPr>
          <w:p>
            <w:pPr>
              <w:pStyle w:val="14"/>
            </w:pPr>
            <w:r>
              <w:t>5.55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554成安县统战部</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162.11</w:t>
            </w:r>
          </w:p>
        </w:tc>
        <w:tc>
          <w:tcPr>
            <w:tcW w:w="3402" w:type="dxa"/>
            <w:vAlign w:val="center"/>
          </w:tcPr>
          <w:p>
            <w:pPr>
              <w:pStyle w:val="15"/>
            </w:pPr>
            <w:r>
              <w:t>一、一般公共服务支出</w:t>
            </w:r>
          </w:p>
        </w:tc>
        <w:tc>
          <w:tcPr>
            <w:tcW w:w="1474" w:type="dxa"/>
            <w:vAlign w:val="center"/>
          </w:tcPr>
          <w:p>
            <w:pPr>
              <w:pStyle w:val="14"/>
            </w:pPr>
            <w:r>
              <w:t>121.14</w:t>
            </w:r>
          </w:p>
        </w:tc>
        <w:tc>
          <w:tcPr>
            <w:tcW w:w="1474" w:type="dxa"/>
            <w:vAlign w:val="center"/>
          </w:tcPr>
          <w:p>
            <w:pPr>
              <w:pStyle w:val="14"/>
            </w:pPr>
            <w:r>
              <w:t>121.14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31.92</w:t>
            </w:r>
          </w:p>
        </w:tc>
        <w:tc>
          <w:tcPr>
            <w:tcW w:w="1474" w:type="dxa"/>
            <w:vAlign w:val="center"/>
          </w:tcPr>
          <w:p>
            <w:pPr>
              <w:pStyle w:val="14"/>
            </w:pPr>
            <w:r>
              <w:t>31.92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3.50</w:t>
            </w:r>
          </w:p>
        </w:tc>
        <w:tc>
          <w:tcPr>
            <w:tcW w:w="1474" w:type="dxa"/>
            <w:vAlign w:val="center"/>
          </w:tcPr>
          <w:p>
            <w:pPr>
              <w:pStyle w:val="14"/>
            </w:pPr>
            <w:r>
              <w:t>3.50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5.55</w:t>
            </w:r>
          </w:p>
        </w:tc>
        <w:tc>
          <w:tcPr>
            <w:tcW w:w="1474" w:type="dxa"/>
            <w:vAlign w:val="center"/>
          </w:tcPr>
          <w:p>
            <w:pPr>
              <w:pStyle w:val="14"/>
            </w:pPr>
            <w:r>
              <w:t>5.55</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162.11</w:t>
            </w:r>
          </w:p>
        </w:tc>
        <w:tc>
          <w:tcPr>
            <w:tcW w:w="3402" w:type="dxa"/>
            <w:vAlign w:val="center"/>
          </w:tcPr>
          <w:p>
            <w:pPr>
              <w:pStyle w:val="17"/>
            </w:pPr>
            <w:r>
              <w:t>本年支出合计</w:t>
            </w:r>
          </w:p>
        </w:tc>
        <w:tc>
          <w:tcPr>
            <w:tcW w:w="1474" w:type="dxa"/>
            <w:vAlign w:val="center"/>
          </w:tcPr>
          <w:p>
            <w:pPr>
              <w:pStyle w:val="18"/>
            </w:pPr>
            <w:r>
              <w:t>162.11</w:t>
            </w:r>
          </w:p>
        </w:tc>
        <w:tc>
          <w:tcPr>
            <w:tcW w:w="1474" w:type="dxa"/>
            <w:vAlign w:val="center"/>
          </w:tcPr>
          <w:p>
            <w:pPr>
              <w:pStyle w:val="18"/>
            </w:pPr>
            <w:r>
              <w:t>162.11</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162.11</w:t>
            </w:r>
          </w:p>
        </w:tc>
        <w:tc>
          <w:tcPr>
            <w:tcW w:w="3402" w:type="dxa"/>
            <w:vAlign w:val="center"/>
          </w:tcPr>
          <w:p>
            <w:pPr>
              <w:pStyle w:val="17"/>
            </w:pPr>
            <w:r>
              <w:t>支出总计</w:t>
            </w:r>
          </w:p>
        </w:tc>
        <w:tc>
          <w:tcPr>
            <w:tcW w:w="1474" w:type="dxa"/>
            <w:vAlign w:val="center"/>
          </w:tcPr>
          <w:p>
            <w:pPr>
              <w:pStyle w:val="18"/>
            </w:pPr>
            <w:r>
              <w:t>162.11</w:t>
            </w:r>
          </w:p>
        </w:tc>
        <w:tc>
          <w:tcPr>
            <w:tcW w:w="1474" w:type="dxa"/>
            <w:vAlign w:val="center"/>
          </w:tcPr>
          <w:p>
            <w:pPr>
              <w:pStyle w:val="18"/>
            </w:pPr>
            <w:r>
              <w:t>162.11</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554成安县统战部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162.11</w:t>
            </w:r>
          </w:p>
        </w:tc>
        <w:tc>
          <w:tcPr>
            <w:tcW w:w="2551" w:type="dxa"/>
            <w:vAlign w:val="center"/>
          </w:tcPr>
          <w:p>
            <w:pPr>
              <w:pStyle w:val="18"/>
            </w:pPr>
            <w:r>
              <w:t>162.11</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121.14</w:t>
            </w:r>
          </w:p>
        </w:tc>
        <w:tc>
          <w:tcPr>
            <w:tcW w:w="2551" w:type="dxa"/>
            <w:vAlign w:val="center"/>
          </w:tcPr>
          <w:p>
            <w:pPr>
              <w:pStyle w:val="14"/>
            </w:pPr>
            <w:r>
              <w:t>121.14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20134</w:t>
            </w:r>
          </w:p>
        </w:tc>
        <w:tc>
          <w:tcPr>
            <w:tcW w:w="4535" w:type="dxa"/>
            <w:vAlign w:val="center"/>
          </w:tcPr>
          <w:p>
            <w:pPr>
              <w:pStyle w:val="15"/>
            </w:pPr>
            <w:r>
              <w:t>统战事务</w:t>
            </w:r>
          </w:p>
        </w:tc>
        <w:tc>
          <w:tcPr>
            <w:tcW w:w="2551" w:type="dxa"/>
            <w:vAlign w:val="center"/>
          </w:tcPr>
          <w:p>
            <w:pPr>
              <w:pStyle w:val="14"/>
            </w:pPr>
            <w:r>
              <w:t>121.14</w:t>
            </w:r>
          </w:p>
        </w:tc>
        <w:tc>
          <w:tcPr>
            <w:tcW w:w="2551" w:type="dxa"/>
            <w:vAlign w:val="center"/>
          </w:tcPr>
          <w:p>
            <w:pPr>
              <w:pStyle w:val="14"/>
            </w:pPr>
            <w:r>
              <w:t>121.14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2013401</w:t>
            </w:r>
          </w:p>
        </w:tc>
        <w:tc>
          <w:tcPr>
            <w:tcW w:w="4535" w:type="dxa"/>
            <w:vAlign w:val="center"/>
          </w:tcPr>
          <w:p>
            <w:pPr>
              <w:pStyle w:val="15"/>
            </w:pPr>
            <w:r>
              <w:t>行政运行</w:t>
            </w:r>
          </w:p>
        </w:tc>
        <w:tc>
          <w:tcPr>
            <w:tcW w:w="2551" w:type="dxa"/>
            <w:vAlign w:val="center"/>
          </w:tcPr>
          <w:p>
            <w:pPr>
              <w:pStyle w:val="14"/>
            </w:pPr>
            <w:r>
              <w:t>121.14</w:t>
            </w:r>
          </w:p>
        </w:tc>
        <w:tc>
          <w:tcPr>
            <w:tcW w:w="2551" w:type="dxa"/>
            <w:vAlign w:val="center"/>
          </w:tcPr>
          <w:p>
            <w:pPr>
              <w:pStyle w:val="14"/>
            </w:pPr>
            <w:r>
              <w:t>121.14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31.92</w:t>
            </w:r>
          </w:p>
        </w:tc>
        <w:tc>
          <w:tcPr>
            <w:tcW w:w="2551" w:type="dxa"/>
            <w:vAlign w:val="center"/>
          </w:tcPr>
          <w:p>
            <w:pPr>
              <w:pStyle w:val="14"/>
            </w:pPr>
            <w:r>
              <w:t>31.92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30.91</w:t>
            </w:r>
          </w:p>
        </w:tc>
        <w:tc>
          <w:tcPr>
            <w:tcW w:w="2551" w:type="dxa"/>
            <w:vAlign w:val="center"/>
          </w:tcPr>
          <w:p>
            <w:pPr>
              <w:pStyle w:val="14"/>
            </w:pPr>
            <w:r>
              <w:t>30.91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23.22</w:t>
            </w:r>
          </w:p>
        </w:tc>
        <w:tc>
          <w:tcPr>
            <w:tcW w:w="2551" w:type="dxa"/>
            <w:vAlign w:val="center"/>
          </w:tcPr>
          <w:p>
            <w:pPr>
              <w:pStyle w:val="14"/>
            </w:pPr>
            <w:r>
              <w:t>23.22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7.69</w:t>
            </w:r>
          </w:p>
        </w:tc>
        <w:tc>
          <w:tcPr>
            <w:tcW w:w="2551" w:type="dxa"/>
            <w:vAlign w:val="center"/>
          </w:tcPr>
          <w:p>
            <w:pPr>
              <w:pStyle w:val="14"/>
            </w:pPr>
            <w:r>
              <w:t>7.69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0.81</w:t>
            </w:r>
          </w:p>
        </w:tc>
        <w:tc>
          <w:tcPr>
            <w:tcW w:w="2551" w:type="dxa"/>
            <w:vAlign w:val="center"/>
          </w:tcPr>
          <w:p>
            <w:pPr>
              <w:pStyle w:val="14"/>
            </w:pPr>
            <w:r>
              <w:t>0.81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2080801</w:t>
            </w:r>
          </w:p>
        </w:tc>
        <w:tc>
          <w:tcPr>
            <w:tcW w:w="4535" w:type="dxa"/>
            <w:vAlign w:val="center"/>
          </w:tcPr>
          <w:p>
            <w:pPr>
              <w:pStyle w:val="15"/>
            </w:pPr>
            <w:r>
              <w:t>死亡抚恤</w:t>
            </w:r>
          </w:p>
        </w:tc>
        <w:tc>
          <w:tcPr>
            <w:tcW w:w="2551" w:type="dxa"/>
            <w:vAlign w:val="center"/>
          </w:tcPr>
          <w:p>
            <w:pPr>
              <w:pStyle w:val="14"/>
            </w:pPr>
            <w:r>
              <w:t>0.81</w:t>
            </w:r>
          </w:p>
        </w:tc>
        <w:tc>
          <w:tcPr>
            <w:tcW w:w="2551" w:type="dxa"/>
            <w:vAlign w:val="center"/>
          </w:tcPr>
          <w:p>
            <w:pPr>
              <w:pStyle w:val="14"/>
            </w:pPr>
            <w:r>
              <w:t>0.81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20827</w:t>
            </w:r>
          </w:p>
        </w:tc>
        <w:tc>
          <w:tcPr>
            <w:tcW w:w="4535" w:type="dxa"/>
            <w:vAlign w:val="center"/>
          </w:tcPr>
          <w:p>
            <w:pPr>
              <w:pStyle w:val="15"/>
            </w:pPr>
            <w:r>
              <w:t>财政对其他社会保险基金的补助</w:t>
            </w:r>
          </w:p>
        </w:tc>
        <w:tc>
          <w:tcPr>
            <w:tcW w:w="2551" w:type="dxa"/>
            <w:vAlign w:val="center"/>
          </w:tcPr>
          <w:p>
            <w:pPr>
              <w:pStyle w:val="14"/>
            </w:pPr>
            <w:r>
              <w:t>0.21</w:t>
            </w:r>
          </w:p>
        </w:tc>
        <w:tc>
          <w:tcPr>
            <w:tcW w:w="2551" w:type="dxa"/>
            <w:vAlign w:val="center"/>
          </w:tcPr>
          <w:p>
            <w:pPr>
              <w:pStyle w:val="14"/>
            </w:pPr>
            <w:r>
              <w:t>0.21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2082702</w:t>
            </w:r>
          </w:p>
        </w:tc>
        <w:tc>
          <w:tcPr>
            <w:tcW w:w="4535" w:type="dxa"/>
            <w:vAlign w:val="center"/>
          </w:tcPr>
          <w:p>
            <w:pPr>
              <w:pStyle w:val="15"/>
            </w:pPr>
            <w:r>
              <w:t>财政对工伤保险基金的补助</w:t>
            </w:r>
          </w:p>
        </w:tc>
        <w:tc>
          <w:tcPr>
            <w:tcW w:w="2551" w:type="dxa"/>
            <w:vAlign w:val="center"/>
          </w:tcPr>
          <w:p>
            <w:pPr>
              <w:pStyle w:val="14"/>
            </w:pPr>
            <w:r>
              <w:t>0.21</w:t>
            </w:r>
          </w:p>
        </w:tc>
        <w:tc>
          <w:tcPr>
            <w:tcW w:w="2551" w:type="dxa"/>
            <w:vAlign w:val="center"/>
          </w:tcPr>
          <w:p>
            <w:pPr>
              <w:pStyle w:val="14"/>
            </w:pPr>
            <w:r>
              <w:t>0.21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3.50</w:t>
            </w:r>
          </w:p>
        </w:tc>
        <w:tc>
          <w:tcPr>
            <w:tcW w:w="2551" w:type="dxa"/>
            <w:vAlign w:val="center"/>
          </w:tcPr>
          <w:p>
            <w:pPr>
              <w:pStyle w:val="14"/>
            </w:pPr>
            <w:r>
              <w:t>3.50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21012</w:t>
            </w:r>
          </w:p>
        </w:tc>
        <w:tc>
          <w:tcPr>
            <w:tcW w:w="4535" w:type="dxa"/>
            <w:vAlign w:val="center"/>
          </w:tcPr>
          <w:p>
            <w:pPr>
              <w:pStyle w:val="15"/>
            </w:pPr>
            <w:r>
              <w:t>财政对基本医疗保险基金的补助</w:t>
            </w:r>
          </w:p>
        </w:tc>
        <w:tc>
          <w:tcPr>
            <w:tcW w:w="2551" w:type="dxa"/>
            <w:vAlign w:val="center"/>
          </w:tcPr>
          <w:p>
            <w:pPr>
              <w:pStyle w:val="14"/>
            </w:pPr>
            <w:r>
              <w:t>3.50</w:t>
            </w:r>
          </w:p>
        </w:tc>
        <w:tc>
          <w:tcPr>
            <w:tcW w:w="2551" w:type="dxa"/>
            <w:vAlign w:val="center"/>
          </w:tcPr>
          <w:p>
            <w:pPr>
              <w:pStyle w:val="14"/>
            </w:pPr>
            <w:r>
              <w:t>3.50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2101201</w:t>
            </w:r>
          </w:p>
        </w:tc>
        <w:tc>
          <w:tcPr>
            <w:tcW w:w="4535" w:type="dxa"/>
            <w:vAlign w:val="center"/>
          </w:tcPr>
          <w:p>
            <w:pPr>
              <w:pStyle w:val="15"/>
            </w:pPr>
            <w:r>
              <w:t>财政对职工基本医疗保险基金的补助</w:t>
            </w:r>
          </w:p>
        </w:tc>
        <w:tc>
          <w:tcPr>
            <w:tcW w:w="2551" w:type="dxa"/>
            <w:vAlign w:val="center"/>
          </w:tcPr>
          <w:p>
            <w:pPr>
              <w:pStyle w:val="14"/>
            </w:pPr>
            <w:r>
              <w:t>3.50</w:t>
            </w:r>
          </w:p>
        </w:tc>
        <w:tc>
          <w:tcPr>
            <w:tcW w:w="2551" w:type="dxa"/>
            <w:vAlign w:val="center"/>
          </w:tcPr>
          <w:p>
            <w:pPr>
              <w:pStyle w:val="14"/>
            </w:pPr>
            <w:r>
              <w:t>3.50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5.55</w:t>
            </w:r>
          </w:p>
        </w:tc>
        <w:tc>
          <w:tcPr>
            <w:tcW w:w="2551" w:type="dxa"/>
            <w:vAlign w:val="center"/>
          </w:tcPr>
          <w:p>
            <w:pPr>
              <w:pStyle w:val="14"/>
            </w:pPr>
            <w:r>
              <w:t>5.55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5.55</w:t>
            </w:r>
          </w:p>
        </w:tc>
        <w:tc>
          <w:tcPr>
            <w:tcW w:w="2551" w:type="dxa"/>
            <w:vAlign w:val="center"/>
          </w:tcPr>
          <w:p>
            <w:pPr>
              <w:pStyle w:val="14"/>
            </w:pPr>
            <w:r>
              <w:t>5.55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5.55</w:t>
            </w:r>
          </w:p>
        </w:tc>
        <w:tc>
          <w:tcPr>
            <w:tcW w:w="2551" w:type="dxa"/>
            <w:vAlign w:val="center"/>
          </w:tcPr>
          <w:p>
            <w:pPr>
              <w:pStyle w:val="14"/>
            </w:pPr>
            <w:r>
              <w:t>5.55</w:t>
            </w:r>
          </w:p>
        </w:tc>
        <w:tc>
          <w:tcPr>
            <w:tcW w:w="2551" w:type="dxa"/>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554成安县统战部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162.11</w:t>
            </w:r>
          </w:p>
        </w:tc>
        <w:tc>
          <w:tcPr>
            <w:tcW w:w="2551" w:type="dxa"/>
            <w:vAlign w:val="center"/>
          </w:tcPr>
          <w:p>
            <w:pPr>
              <w:pStyle w:val="18"/>
            </w:pPr>
            <w:r>
              <w:t>99.81</w:t>
            </w:r>
          </w:p>
        </w:tc>
        <w:tc>
          <w:tcPr>
            <w:tcW w:w="2551" w:type="dxa"/>
            <w:vAlign w:val="center"/>
          </w:tcPr>
          <w:p>
            <w:pPr>
              <w:pStyle w:val="18"/>
            </w:pPr>
            <w:r>
              <w:t>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75.79</w:t>
            </w:r>
          </w:p>
        </w:tc>
        <w:tc>
          <w:tcPr>
            <w:tcW w:w="2551" w:type="dxa"/>
            <w:vAlign w:val="center"/>
          </w:tcPr>
          <w:p>
            <w:pPr>
              <w:pStyle w:val="14"/>
            </w:pPr>
            <w:r>
              <w:t>75.79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34.97</w:t>
            </w:r>
          </w:p>
        </w:tc>
        <w:tc>
          <w:tcPr>
            <w:tcW w:w="2551" w:type="dxa"/>
            <w:vAlign w:val="center"/>
          </w:tcPr>
          <w:p>
            <w:pPr>
              <w:pStyle w:val="14"/>
            </w:pPr>
            <w:r>
              <w:t>34.97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11.27</w:t>
            </w:r>
          </w:p>
        </w:tc>
        <w:tc>
          <w:tcPr>
            <w:tcW w:w="2551" w:type="dxa"/>
            <w:vAlign w:val="center"/>
          </w:tcPr>
          <w:p>
            <w:pPr>
              <w:pStyle w:val="14"/>
            </w:pPr>
            <w:r>
              <w:t>11.27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12.02</w:t>
            </w:r>
          </w:p>
        </w:tc>
        <w:tc>
          <w:tcPr>
            <w:tcW w:w="2551" w:type="dxa"/>
            <w:vAlign w:val="center"/>
          </w:tcPr>
          <w:p>
            <w:pPr>
              <w:pStyle w:val="14"/>
            </w:pPr>
            <w:r>
              <w:t>12.02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0.58</w:t>
            </w:r>
          </w:p>
        </w:tc>
        <w:tc>
          <w:tcPr>
            <w:tcW w:w="2551" w:type="dxa"/>
            <w:vAlign w:val="center"/>
          </w:tcPr>
          <w:p>
            <w:pPr>
              <w:pStyle w:val="14"/>
            </w:pPr>
            <w:r>
              <w:t>0.58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7.69</w:t>
            </w:r>
          </w:p>
        </w:tc>
        <w:tc>
          <w:tcPr>
            <w:tcW w:w="2551" w:type="dxa"/>
            <w:vAlign w:val="center"/>
          </w:tcPr>
          <w:p>
            <w:pPr>
              <w:pStyle w:val="14"/>
            </w:pPr>
            <w:r>
              <w:t>7.69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3.50</w:t>
            </w:r>
          </w:p>
        </w:tc>
        <w:tc>
          <w:tcPr>
            <w:tcW w:w="2551" w:type="dxa"/>
            <w:vAlign w:val="center"/>
          </w:tcPr>
          <w:p>
            <w:pPr>
              <w:pStyle w:val="14"/>
            </w:pPr>
            <w:r>
              <w:t>3.50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0.21</w:t>
            </w:r>
          </w:p>
        </w:tc>
        <w:tc>
          <w:tcPr>
            <w:tcW w:w="2551" w:type="dxa"/>
            <w:vAlign w:val="center"/>
          </w:tcPr>
          <w:p>
            <w:pPr>
              <w:pStyle w:val="14"/>
            </w:pPr>
            <w:r>
              <w:t>0.21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5.55</w:t>
            </w:r>
          </w:p>
        </w:tc>
        <w:tc>
          <w:tcPr>
            <w:tcW w:w="2551" w:type="dxa"/>
            <w:vAlign w:val="center"/>
          </w:tcPr>
          <w:p>
            <w:pPr>
              <w:pStyle w:val="14"/>
            </w:pPr>
            <w:r>
              <w:t>5.55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62.30</w:t>
            </w:r>
          </w:p>
        </w:tc>
        <w:tc>
          <w:tcPr>
            <w:tcW w:w="2551" w:type="dxa"/>
            <w:vAlign w:val="center"/>
          </w:tcPr>
          <w:p>
            <w:pPr>
              <w:pStyle w:val="14"/>
            </w:pPr>
          </w:p>
        </w:tc>
        <w:tc>
          <w:tcPr>
            <w:tcW w:w="2551" w:type="dxa"/>
            <w:vAlign w:val="center"/>
          </w:tcPr>
          <w:p>
            <w:pPr>
              <w:pStyle w:val="14"/>
            </w:pPr>
            <w:r>
              <w:t>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57.20</w:t>
            </w:r>
          </w:p>
        </w:tc>
        <w:tc>
          <w:tcPr>
            <w:tcW w:w="2551" w:type="dxa"/>
            <w:vAlign w:val="center"/>
          </w:tcPr>
          <w:p>
            <w:pPr>
              <w:pStyle w:val="14"/>
            </w:pPr>
          </w:p>
        </w:tc>
        <w:tc>
          <w:tcPr>
            <w:tcW w:w="2551" w:type="dxa"/>
            <w:vAlign w:val="center"/>
          </w:tcPr>
          <w:p>
            <w:pPr>
              <w:pStyle w:val="14"/>
            </w:pPr>
            <w:r>
              <w:t>57.20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5.10</w:t>
            </w:r>
          </w:p>
        </w:tc>
        <w:tc>
          <w:tcPr>
            <w:tcW w:w="2551" w:type="dxa"/>
            <w:vAlign w:val="center"/>
          </w:tcPr>
          <w:p>
            <w:pPr>
              <w:pStyle w:val="14"/>
            </w:pPr>
          </w:p>
        </w:tc>
        <w:tc>
          <w:tcPr>
            <w:tcW w:w="2551"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24.02</w:t>
            </w:r>
          </w:p>
        </w:tc>
        <w:tc>
          <w:tcPr>
            <w:tcW w:w="2551" w:type="dxa"/>
            <w:vAlign w:val="center"/>
          </w:tcPr>
          <w:p>
            <w:pPr>
              <w:pStyle w:val="14"/>
            </w:pPr>
            <w:r>
              <w:t>24.02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30301</w:t>
            </w:r>
          </w:p>
        </w:tc>
        <w:tc>
          <w:tcPr>
            <w:tcW w:w="4535" w:type="dxa"/>
            <w:vAlign w:val="center"/>
          </w:tcPr>
          <w:p>
            <w:pPr>
              <w:pStyle w:val="15"/>
            </w:pPr>
            <w:r>
              <w:t>离休费</w:t>
            </w:r>
          </w:p>
        </w:tc>
        <w:tc>
          <w:tcPr>
            <w:tcW w:w="2551" w:type="dxa"/>
            <w:vAlign w:val="center"/>
          </w:tcPr>
          <w:p>
            <w:pPr>
              <w:pStyle w:val="14"/>
            </w:pPr>
            <w:r>
              <w:t>18.33</w:t>
            </w:r>
          </w:p>
        </w:tc>
        <w:tc>
          <w:tcPr>
            <w:tcW w:w="2551" w:type="dxa"/>
            <w:vAlign w:val="center"/>
          </w:tcPr>
          <w:p>
            <w:pPr>
              <w:pStyle w:val="14"/>
            </w:pPr>
            <w:r>
              <w:t>18.33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4.88</w:t>
            </w:r>
          </w:p>
        </w:tc>
        <w:tc>
          <w:tcPr>
            <w:tcW w:w="2551" w:type="dxa"/>
            <w:vAlign w:val="center"/>
          </w:tcPr>
          <w:p>
            <w:pPr>
              <w:pStyle w:val="14"/>
            </w:pPr>
            <w:r>
              <w:t>4.88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0.81</w:t>
            </w:r>
          </w:p>
        </w:tc>
        <w:tc>
          <w:tcPr>
            <w:tcW w:w="2551" w:type="dxa"/>
            <w:vAlign w:val="center"/>
          </w:tcPr>
          <w:p>
            <w:pPr>
              <w:pStyle w:val="14"/>
            </w:pPr>
            <w:r>
              <w:t>0.81</w:t>
            </w:r>
          </w:p>
        </w:tc>
        <w:tc>
          <w:tcPr>
            <w:tcW w:w="2551" w:type="dxa"/>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554成安县统战部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554成安县统战部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554成安县统战部</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成安县统战部2026年部门预算信息公开情况说明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成安县统战部2026年部门预算信息公开情况说明</w:t>
      </w:r>
    </w:p>
    <w:p>
      <w:pPr>
        <w:spacing w:before="10" w:after="10" w:line="360" w:lineRule="auto"/>
        <w:ind w:firstLine="640"/>
        <w:jc w:val="left"/>
        <w:outlineLvl w:val="2"/>
        <w:rPr>
          <w:rFonts w:ascii="黑体" w:hAnsi="黑体" w:eastAsia="黑体" w:cs="黑体"/>
          <w:color w:val="000000"/>
          <w:sz w:val="30"/>
          <w:szCs w:val="30"/>
        </w:rPr>
      </w:pPr>
      <w:r>
        <w:rPr>
          <w:rFonts w:ascii="黑体" w:hAnsi="黑体" w:eastAsia="黑体" w:cs="黑体"/>
          <w:color w:val="000000"/>
          <w:sz w:val="30"/>
          <w:szCs w:val="30"/>
        </w:rPr>
        <w:t>按照《中华人民共和国预算法》、《地方预决算公开操作规程》和《关于进一步推进预算公开工作的实施意见》规定，现</w:t>
      </w:r>
      <w:r>
        <w:rPr>
          <w:rFonts w:hint="eastAsia" w:ascii="黑体" w:hAnsi="黑体" w:eastAsia="黑体" w:cs="黑体"/>
          <w:color w:val="000000"/>
          <w:sz w:val="30"/>
          <w:szCs w:val="30"/>
          <w:lang w:eastAsia="zh-CN"/>
        </w:rPr>
        <w:t>将</w:t>
      </w:r>
      <w:r>
        <w:rPr>
          <w:rFonts w:ascii="黑体" w:hAnsi="黑体" w:eastAsia="黑体" w:cs="黑体"/>
          <w:color w:val="000000"/>
          <w:sz w:val="30"/>
          <w:szCs w:val="30"/>
        </w:rPr>
        <w:t>成安县统战部2026年部门预算公开如下：</w:t>
      </w:r>
    </w:p>
    <w:p>
      <w:pPr>
        <w:spacing w:before="10" w:after="10" w:line="360" w:lineRule="auto"/>
        <w:ind w:firstLine="640"/>
        <w:jc w:val="left"/>
        <w:outlineLvl w:val="2"/>
        <w:rPr>
          <w:rFonts w:hint="eastAsia" w:eastAsia="黑体"/>
          <w:lang w:eastAsia="zh-CN"/>
        </w:rPr>
      </w:pPr>
      <w:bookmarkStart w:id="9" w:name="_Toc_3_3_0000000010"/>
      <w:r>
        <w:rPr>
          <w:rFonts w:ascii="黑体" w:hAnsi="黑体" w:eastAsia="黑体" w:cs="黑体"/>
          <w:color w:val="000000"/>
          <w:sz w:val="32"/>
        </w:rPr>
        <w:t>一、部门职责及机构设置情况</w:t>
      </w:r>
      <w:bookmarkEnd w:id="9"/>
    </w:p>
    <w:p>
      <w:pPr>
        <w:keepNext w:val="0"/>
        <w:keepLines w:val="0"/>
        <w:pageBreakBefore w:val="0"/>
        <w:kinsoku/>
        <w:wordWrap/>
        <w:overflowPunct/>
        <w:topLinePunct w:val="0"/>
        <w:bidi w:val="0"/>
        <w:snapToGrid/>
        <w:spacing w:line="520" w:lineRule="exact"/>
        <w:ind w:firstLine="640" w:firstLineChars="200"/>
        <w:textAlignment w:val="auto"/>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keepNext w:val="0"/>
        <w:keepLines w:val="0"/>
        <w:pageBreakBefore w:val="0"/>
        <w:kinsoku/>
        <w:wordWrap/>
        <w:overflowPunct/>
        <w:topLinePunct w:val="0"/>
        <w:bidi w:val="0"/>
        <w:snapToGrid/>
        <w:spacing w:line="520" w:lineRule="exact"/>
        <w:ind w:firstLine="320" w:firstLineChars="100"/>
        <w:textAlignment w:val="auto"/>
        <w:rPr>
          <w:rFonts w:hint="eastAsia" w:ascii="仿宋" w:hAnsi="仿宋" w:eastAsia="仿宋" w:cs="宋体"/>
          <w:sz w:val="32"/>
          <w:szCs w:val="32"/>
          <w:lang w:eastAsia="zh-CN"/>
        </w:rPr>
      </w:pPr>
      <w:r>
        <w:rPr>
          <w:rFonts w:hint="eastAsia" w:ascii="仿宋" w:hAnsi="仿宋" w:eastAsia="仿宋" w:cs="宋体"/>
          <w:sz w:val="32"/>
          <w:szCs w:val="32"/>
        </w:rPr>
        <w:t>（1）组织贯彻执行统一战线的方针、政策；向县委反映统一战线全面情况，提出开展统战工作的意见和建议；检查统战政策执行情况，协调统一战线各方面的关系。</w:t>
      </w:r>
    </w:p>
    <w:p>
      <w:pPr>
        <w:keepNext w:val="0"/>
        <w:keepLines w:val="0"/>
        <w:pageBreakBefore w:val="0"/>
        <w:kinsoku/>
        <w:wordWrap/>
        <w:overflowPunct/>
        <w:topLinePunct w:val="0"/>
        <w:bidi w:val="0"/>
        <w:snapToGrid/>
        <w:spacing w:line="520" w:lineRule="exact"/>
        <w:ind w:firstLine="320" w:firstLineChars="100"/>
        <w:textAlignment w:val="auto"/>
        <w:rPr>
          <w:rFonts w:ascii="仿宋" w:hAnsi="仿宋" w:eastAsia="仿宋" w:cs="仿宋"/>
          <w:sz w:val="32"/>
          <w:szCs w:val="32"/>
        </w:rPr>
      </w:pPr>
      <w:r>
        <w:rPr>
          <w:rFonts w:ascii="仿宋" w:hAnsi="仿宋" w:eastAsia="仿宋" w:cs="宋体"/>
          <w:sz w:val="32"/>
          <w:szCs w:val="32"/>
        </w:rPr>
        <w:t>（</w:t>
      </w: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协助民主党派县委、县工商联和县有关统战团体做好干部管理工作</w:t>
      </w:r>
      <w:r>
        <w:rPr>
          <w:rFonts w:hint="eastAsia" w:ascii="仿宋" w:hAnsi="仿宋" w:eastAsia="仿宋" w:cs="仿宋"/>
          <w:sz w:val="32"/>
          <w:szCs w:val="32"/>
        </w:rPr>
        <w:t>完成县委交办的党史方面及其他方面的工作任务，为县委解决有关党史方面的问题提供资料的意见。</w:t>
      </w:r>
    </w:p>
    <w:p>
      <w:pPr>
        <w:keepNext w:val="0"/>
        <w:keepLines w:val="0"/>
        <w:pageBreakBefore w:val="0"/>
        <w:kinsoku/>
        <w:wordWrap/>
        <w:overflowPunct/>
        <w:topLinePunct w:val="0"/>
        <w:bidi w:val="0"/>
        <w:snapToGrid/>
        <w:spacing w:line="520" w:lineRule="exact"/>
        <w:ind w:firstLine="320" w:firstLineChars="100"/>
        <w:textAlignment w:val="auto"/>
      </w:pPr>
      <w:r>
        <w:rPr>
          <w:rFonts w:ascii="仿宋" w:hAnsi="仿宋" w:eastAsia="仿宋" w:cs="宋体"/>
          <w:sz w:val="32"/>
          <w:szCs w:val="32"/>
        </w:rPr>
        <w:t>（</w:t>
      </w: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仿宋"/>
          <w:sz w:val="32"/>
          <w:szCs w:val="32"/>
        </w:rPr>
        <w:t>完成县委交办其他方面的工作任务。</w:t>
      </w:r>
    </w:p>
    <w:p>
      <w:pPr>
        <w:keepNext w:val="0"/>
        <w:keepLines w:val="0"/>
        <w:pageBreakBefore w:val="0"/>
        <w:widowControl w:val="0"/>
        <w:kinsoku/>
        <w:wordWrap/>
        <w:overflowPunct/>
        <w:topLinePunct w:val="0"/>
        <w:autoSpaceDE w:val="0"/>
        <w:autoSpaceDN w:val="0"/>
        <w:bidi w:val="0"/>
        <w:adjustRightInd w:val="0"/>
        <w:snapToGrid/>
        <w:spacing w:line="520" w:lineRule="exact"/>
        <w:ind w:left="640"/>
        <w:textAlignment w:val="auto"/>
        <w:rPr>
          <w:rFonts w:hint="eastAsia" w:ascii="楷体" w:hAnsi="楷体" w:eastAsia="楷体"/>
          <w:b/>
          <w:sz w:val="32"/>
          <w:szCs w:val="32"/>
        </w:rPr>
      </w:pPr>
      <w:r>
        <w:rPr>
          <w:rFonts w:ascii="方正楷体_GBK" w:hAnsi="方正楷体_GBK" w:eastAsia="方正楷体_GBK" w:cs="方正楷体_GBK"/>
          <w:b/>
          <w:color w:val="000000"/>
          <w:sz w:val="32"/>
        </w:rPr>
        <w:t>机构设置：</w:t>
      </w:r>
      <w:r>
        <w:rPr>
          <w:rFonts w:hint="eastAsia" w:ascii="楷体" w:hAnsi="楷体" w:eastAsia="楷体"/>
          <w:b/>
          <w:sz w:val="32"/>
          <w:szCs w:val="32"/>
        </w:rPr>
        <w:t>办公室</w:t>
      </w:r>
    </w:p>
    <w:p>
      <w:pPr>
        <w:keepNext w:val="0"/>
        <w:keepLines w:val="0"/>
        <w:pageBreakBefore w:val="0"/>
        <w:widowControl w:val="0"/>
        <w:kinsoku/>
        <w:wordWrap/>
        <w:overflowPunct/>
        <w:topLinePunct w:val="0"/>
        <w:autoSpaceDE w:val="0"/>
        <w:autoSpaceDN w:val="0"/>
        <w:bidi w:val="0"/>
        <w:adjustRightInd w:val="0"/>
        <w:snapToGrid/>
        <w:spacing w:line="520" w:lineRule="exact"/>
        <w:ind w:left="640"/>
        <w:textAlignment w:val="auto"/>
        <w:rPr>
          <w:rFonts w:ascii="楷体" w:hAnsi="楷体" w:eastAsia="楷体"/>
          <w:b/>
          <w:sz w:val="32"/>
          <w:szCs w:val="32"/>
        </w:rPr>
      </w:pPr>
      <w:r>
        <w:rPr>
          <w:rFonts w:hint="eastAsia" w:ascii="仿宋" w:hAnsi="仿宋" w:eastAsia="仿宋" w:cs="仿宋"/>
          <w:bCs/>
          <w:sz w:val="32"/>
          <w:szCs w:val="32"/>
        </w:rPr>
        <w:t>中国共产党成安县委员会统战部，预算编码是554，内设1个内部机构。</w:t>
      </w:r>
    </w:p>
    <w:p>
      <w:pPr>
        <w:keepNext w:val="0"/>
        <w:keepLines w:val="0"/>
        <w:pageBreakBefore w:val="0"/>
        <w:kinsoku/>
        <w:wordWrap/>
        <w:overflowPunct/>
        <w:topLinePunct w:val="0"/>
        <w:bidi w:val="0"/>
        <w:snapToGrid/>
        <w:spacing w:line="520" w:lineRule="exact"/>
        <w:ind w:firstLine="640" w:firstLineChars="200"/>
        <w:textAlignment w:val="auto"/>
        <w:rPr>
          <w:rFonts w:hint="eastAsia" w:ascii="仿宋" w:hAnsi="仿宋" w:eastAsia="仿宋" w:cs="宋体"/>
          <w:sz w:val="32"/>
          <w:szCs w:val="32"/>
        </w:rPr>
      </w:pPr>
      <w:r>
        <w:rPr>
          <w:rFonts w:hint="eastAsia" w:ascii="仿宋" w:hAnsi="仿宋" w:eastAsia="仿宋" w:cs="仿宋"/>
          <w:bCs/>
          <w:sz w:val="32"/>
          <w:szCs w:val="32"/>
        </w:rPr>
        <w:t>办公室主要负责：日常工作事务，文件接收和发放，后勤保障工作。</w:t>
      </w:r>
      <w:r>
        <w:rPr>
          <w:rFonts w:hint="eastAsia" w:ascii="仿宋" w:hAnsi="仿宋" w:eastAsia="仿宋" w:cs="宋体"/>
          <w:sz w:val="32"/>
          <w:szCs w:val="32"/>
        </w:rPr>
        <w:t>组织贯彻执行统一战线的方针、政策；向县委反映统一战线全面情况，提出开展统战工作的意见和建议；检查统战政策执行情况，协调统一战线各方面的关系。</w:t>
      </w:r>
    </w:p>
    <w:p>
      <w:pPr>
        <w:keepNext w:val="0"/>
        <w:keepLines w:val="0"/>
        <w:pageBreakBefore w:val="0"/>
        <w:kinsoku/>
        <w:wordWrap/>
        <w:overflowPunct/>
        <w:topLinePunct w:val="0"/>
        <w:bidi w:val="0"/>
        <w:snapToGrid/>
        <w:spacing w:line="520" w:lineRule="exact"/>
        <w:ind w:left="993"/>
        <w:textAlignment w:val="auto"/>
        <w:rPr>
          <w:rFonts w:eastAsia="仿宋_GB2312" w:cs="Calibri"/>
          <w:b/>
          <w:sz w:val="32"/>
          <w:szCs w:val="32"/>
        </w:rPr>
      </w:pPr>
      <w:r>
        <w:rPr>
          <w:rFonts w:hint="eastAsia" w:eastAsia="仿宋_GB2312" w:cs="Calibri"/>
          <w:b/>
          <w:sz w:val="32"/>
          <w:szCs w:val="32"/>
        </w:rPr>
        <w:t>人员编制和领导职数</w:t>
      </w:r>
    </w:p>
    <w:p>
      <w:pPr>
        <w:keepNext w:val="0"/>
        <w:keepLines w:val="0"/>
        <w:pageBreakBefore w:val="0"/>
        <w:kinsoku/>
        <w:wordWrap/>
        <w:overflowPunct/>
        <w:topLinePunct w:val="0"/>
        <w:bidi w:val="0"/>
        <w:snapToGrid/>
        <w:spacing w:line="520" w:lineRule="exact"/>
        <w:ind w:firstLine="640"/>
        <w:textAlignment w:val="auto"/>
        <w:rPr>
          <w:rFonts w:hint="eastAsia" w:ascii="方正小标宋_GBK" w:hAnsi="方正小标宋_GBK" w:eastAsia="仿宋" w:cs="方正小标宋_GBK"/>
          <w:color w:val="000000"/>
          <w:sz w:val="32"/>
          <w:lang w:eastAsia="zh-CN"/>
        </w:rPr>
      </w:pPr>
      <w:r>
        <w:rPr>
          <w:rFonts w:hint="eastAsia" w:ascii="仿宋" w:hAnsi="仿宋" w:eastAsia="仿宋" w:cs="仿宋"/>
          <w:bCs/>
          <w:sz w:val="32"/>
          <w:szCs w:val="32"/>
        </w:rPr>
        <w:t>中国共产党成安县委员会统战部，人员编制7名，其中领导职数3个</w:t>
      </w:r>
      <w:r>
        <w:rPr>
          <w:rFonts w:hint="eastAsia" w:ascii="仿宋" w:hAnsi="仿宋" w:eastAsia="仿宋" w:cs="仿宋"/>
          <w:bCs/>
          <w:sz w:val="32"/>
          <w:szCs w:val="32"/>
          <w:lang w:eastAsia="zh-CN"/>
        </w:rPr>
        <w:t>。</w:t>
      </w:r>
    </w:p>
    <w:p>
      <w:pPr>
        <w:keepNext w:val="0"/>
        <w:keepLines w:val="0"/>
        <w:pageBreakBefore w:val="0"/>
        <w:kinsoku/>
        <w:wordWrap/>
        <w:overflowPunct/>
        <w:topLinePunct w:val="0"/>
        <w:bidi w:val="0"/>
        <w:snapToGrid/>
        <w:spacing w:line="520" w:lineRule="exact"/>
        <w:ind w:firstLine="640" w:firstLineChars="200"/>
        <w:textAlignment w:val="auto"/>
        <w:rPr>
          <w:rFonts w:hint="eastAsia" w:ascii="仿宋" w:hAnsi="仿宋" w:eastAsia="仿宋" w:cs="宋体"/>
          <w:sz w:val="32"/>
          <w:szCs w:val="32"/>
        </w:rPr>
      </w:pPr>
    </w:p>
    <w:p>
      <w:pPr>
        <w:spacing w:before="0" w:after="0" w:line="240" w:lineRule="auto"/>
        <w:ind w:firstLine="640"/>
        <w:jc w:val="left"/>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成安县统战部本级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numPr>
          <w:ilvl w:val="0"/>
          <w:numId w:val="0"/>
        </w:numPr>
        <w:spacing w:before="10" w:after="10" w:line="360" w:lineRule="auto"/>
        <w:ind w:firstLine="640" w:firstLineChars="200"/>
        <w:jc w:val="left"/>
        <w:outlineLvl w:val="2"/>
      </w:pPr>
      <w:bookmarkStart w:id="10" w:name="_Toc_3_3_0000000011"/>
      <w:r>
        <w:rPr>
          <w:rFonts w:ascii="黑体" w:hAnsi="黑体" w:eastAsia="黑体" w:cs="黑体"/>
          <w:color w:val="000000"/>
          <w:sz w:val="32"/>
        </w:rPr>
        <w:t>二、部门预算安排的总体情况</w:t>
      </w:r>
      <w:bookmarkEnd w:id="10"/>
    </w:p>
    <w:p>
      <w:pPr>
        <w:numPr>
          <w:ilvl w:val="0"/>
          <w:numId w:val="0"/>
        </w:numPr>
        <w:spacing w:before="10" w:after="10" w:line="360" w:lineRule="auto"/>
        <w:ind w:firstLine="640" w:firstLineChars="200"/>
        <w:jc w:val="left"/>
        <w:outlineLvl w:val="2"/>
        <w:rPr>
          <w:rFonts w:hint="eastAsia" w:ascii="仿宋" w:hAnsi="仿宋" w:eastAsia="仿宋" w:cs="仿宋"/>
          <w:color w:val="000000"/>
          <w:kern w:val="32"/>
          <w:sz w:val="32"/>
          <w:szCs w:val="32"/>
        </w:rPr>
      </w:pPr>
      <w:r>
        <w:rPr>
          <w:rFonts w:hint="eastAsia" w:ascii="仿宋" w:hAnsi="仿宋" w:eastAsia="仿宋" w:cs="仿宋"/>
          <w:color w:val="000000"/>
          <w:kern w:val="32"/>
          <w:sz w:val="32"/>
          <w:szCs w:val="32"/>
        </w:rPr>
        <w:t>按照预算管理有关规定，目前我省部门预算的编制实行综合预算管理，即全部收入和支出都反映在预算中。成安县统战部机关及所属事业单位的收支包含在部门预算中。</w:t>
      </w:r>
    </w:p>
    <w:p>
      <w:pPr>
        <w:keepNext w:val="0"/>
        <w:keepLines w:val="0"/>
        <w:pageBreakBefore w:val="0"/>
        <w:widowControl/>
        <w:kinsoku/>
        <w:wordWrap/>
        <w:overflowPunct/>
        <w:topLinePunct w:val="0"/>
        <w:autoSpaceDE/>
        <w:autoSpaceDN/>
        <w:bidi w:val="0"/>
        <w:adjustRightInd/>
        <w:snapToGrid/>
        <w:spacing w:line="520" w:lineRule="exact"/>
        <w:ind w:firstLine="630" w:firstLineChars="196"/>
        <w:textAlignment w:val="auto"/>
        <w:rPr>
          <w:rFonts w:ascii="楷体" w:hAnsi="楷体" w:eastAsia="楷体" w:cs="仿宋_GB2312"/>
          <w:b/>
          <w:sz w:val="32"/>
          <w:szCs w:val="32"/>
        </w:rPr>
      </w:pPr>
      <w:r>
        <w:rPr>
          <w:rFonts w:hint="eastAsia" w:ascii="楷体" w:hAnsi="楷体" w:eastAsia="楷体" w:cs="仿宋_GB2312"/>
          <w:b/>
          <w:sz w:val="32"/>
          <w:szCs w:val="32"/>
        </w:rPr>
        <w:t>1、收入说明</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162.11</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162.11</w:t>
      </w:r>
      <w:r>
        <w:rPr>
          <w:rFonts w:hint="eastAsia" w:ascii="仿宋" w:hAnsi="仿宋" w:eastAsia="仿宋" w:cs="仿宋"/>
          <w:sz w:val="32"/>
          <w:szCs w:val="32"/>
        </w:rPr>
        <w:t>万元。</w:t>
      </w:r>
      <w:r>
        <w:rPr>
          <w:rFonts w:hint="eastAsia" w:ascii="仿宋" w:hAnsi="仿宋" w:eastAsia="仿宋"/>
          <w:sz w:val="32"/>
          <w:szCs w:val="32"/>
        </w:rPr>
        <w:t>政府性基金收入0万元，国有资本经营收入0万元，事业收入0万元，其他收入0万元。</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楷体" w:hAnsi="楷体" w:eastAsia="楷体"/>
          <w:b/>
          <w:sz w:val="32"/>
          <w:szCs w:val="32"/>
        </w:rPr>
      </w:pPr>
      <w:r>
        <w:rPr>
          <w:rFonts w:hint="eastAsia" w:ascii="楷体" w:hAnsi="楷体" w:eastAsia="楷体"/>
          <w:b/>
          <w:sz w:val="32"/>
          <w:szCs w:val="32"/>
        </w:rPr>
        <w:t>2、支出说明</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宋体" w:hAnsi="宋体" w:cs="方正仿宋_GBK"/>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162.11</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162.11</w:t>
      </w:r>
      <w:r>
        <w:rPr>
          <w:rFonts w:hint="eastAsia" w:ascii="仿宋" w:hAnsi="仿宋" w:eastAsia="仿宋" w:cs="仿宋"/>
          <w:sz w:val="32"/>
          <w:szCs w:val="32"/>
        </w:rPr>
        <w:t>万元，包括人员经费和日常公用经费。</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textAlignment w:val="auto"/>
        <w:rPr>
          <w:rFonts w:hint="eastAsia" w:ascii="楷体" w:hAnsi="楷体" w:eastAsia="楷体"/>
          <w:b/>
          <w:sz w:val="32"/>
          <w:szCs w:val="32"/>
        </w:rPr>
      </w:pPr>
      <w:r>
        <w:rPr>
          <w:rFonts w:hint="eastAsia" w:ascii="楷体" w:hAnsi="楷体" w:eastAsia="楷体"/>
          <w:b/>
          <w:sz w:val="32"/>
          <w:szCs w:val="32"/>
        </w:rPr>
        <w:t>比上年增减变化情况</w:t>
      </w:r>
    </w:p>
    <w:p>
      <w:pPr>
        <w:numPr>
          <w:ilvl w:val="0"/>
          <w:numId w:val="0"/>
        </w:numPr>
        <w:spacing w:before="10" w:after="10" w:line="360" w:lineRule="auto"/>
        <w:ind w:firstLine="640" w:firstLineChars="200"/>
        <w:jc w:val="left"/>
        <w:outlineLvl w:val="2"/>
        <w:rPr>
          <w:rFonts w:hint="eastAsia" w:ascii="仿宋" w:hAnsi="仿宋" w:eastAsia="仿宋" w:cs="仿宋"/>
          <w:color w:val="000000"/>
          <w:kern w:val="32"/>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162.11</w:t>
      </w:r>
      <w:r>
        <w:rPr>
          <w:rFonts w:hint="eastAsia" w:ascii="仿宋" w:hAnsi="仿宋" w:eastAsia="仿宋" w:cs="仿宋"/>
          <w:sz w:val="32"/>
          <w:szCs w:val="32"/>
        </w:rPr>
        <w:t>万元，较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35.9</w:t>
      </w:r>
      <w:r>
        <w:rPr>
          <w:rFonts w:hint="eastAsia" w:ascii="仿宋" w:hAnsi="仿宋" w:eastAsia="仿宋" w:cs="仿宋"/>
          <w:sz w:val="32"/>
          <w:szCs w:val="32"/>
        </w:rPr>
        <w:t>万元，</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项目减少</w:t>
      </w:r>
      <w:r>
        <w:rPr>
          <w:rFonts w:hint="eastAsia" w:ascii="仿宋" w:hAnsi="仿宋" w:eastAsia="仿宋" w:cs="仿宋_GB2312"/>
          <w:sz w:val="32"/>
          <w:szCs w:val="32"/>
        </w:rPr>
        <w:t>。</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keepNext w:val="0"/>
        <w:keepLines w:val="0"/>
        <w:pageBreakBefore w:val="0"/>
        <w:kinsoku/>
        <w:wordWrap/>
        <w:overflowPunct/>
        <w:topLinePunct w:val="0"/>
        <w:autoSpaceDE w:val="0"/>
        <w:autoSpaceDN w:val="0"/>
        <w:bidi w:val="0"/>
        <w:adjustRightInd w:val="0"/>
        <w:snapToGrid/>
        <w:spacing w:line="520" w:lineRule="exact"/>
        <w:ind w:firstLine="640" w:firstLineChars="200"/>
        <w:textAlignment w:val="auto"/>
        <w:rPr>
          <w:rFonts w:ascii="黑体" w:hAnsi="黑体" w:eastAsia="黑体" w:cs="黑体"/>
          <w:color w:val="000000"/>
          <w:sz w:val="32"/>
        </w:rPr>
      </w:pPr>
      <w:r>
        <w:rPr>
          <w:rFonts w:hint="eastAsia" w:ascii="仿宋" w:hAnsi="仿宋" w:eastAsia="仿宋" w:cs="仿宋"/>
          <w:sz w:val="32"/>
          <w:szCs w:val="32"/>
        </w:rPr>
        <w:t>机关运行经费共计</w:t>
      </w:r>
      <w:r>
        <w:rPr>
          <w:rFonts w:hint="eastAsia" w:ascii="仿宋" w:hAnsi="仿宋" w:eastAsia="仿宋" w:cs="仿宋"/>
          <w:sz w:val="32"/>
          <w:szCs w:val="32"/>
          <w:lang w:val="en-US" w:eastAsia="zh-CN"/>
        </w:rPr>
        <w:t>62.3</w:t>
      </w:r>
      <w:r>
        <w:rPr>
          <w:rFonts w:hint="eastAsia" w:ascii="仿宋" w:hAnsi="仿宋" w:eastAsia="仿宋" w:cs="仿宋"/>
          <w:sz w:val="32"/>
          <w:szCs w:val="32"/>
        </w:rPr>
        <w:t>万元，主要用于办公费、邮电费、</w:t>
      </w:r>
      <w:r>
        <w:rPr>
          <w:rFonts w:hint="eastAsia" w:ascii="仿宋" w:hAnsi="仿宋" w:eastAsia="仿宋" w:cs="仿宋"/>
          <w:sz w:val="32"/>
          <w:szCs w:val="32"/>
          <w:lang w:eastAsia="zh-CN"/>
        </w:rPr>
        <w:t>其他</w:t>
      </w:r>
      <w:r>
        <w:rPr>
          <w:rFonts w:hint="eastAsia" w:ascii="仿宋" w:hAnsi="仿宋" w:eastAsia="仿宋" w:cs="仿宋"/>
          <w:sz w:val="32"/>
          <w:szCs w:val="32"/>
        </w:rPr>
        <w:t>交通费等日常运行支出。</w:t>
      </w:r>
    </w:p>
    <w:p>
      <w:pPr>
        <w:pStyle w:val="22"/>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keepNext w:val="0"/>
        <w:keepLines w:val="0"/>
        <w:pageBreakBefore w:val="0"/>
        <w:kinsoku/>
        <w:wordWrap/>
        <w:overflowPunct/>
        <w:topLinePunct w:val="0"/>
        <w:bidi w:val="0"/>
        <w:snapToGrid/>
        <w:spacing w:line="520" w:lineRule="exact"/>
        <w:textAlignment w:val="auto"/>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_GB2312"/>
          <w:sz w:val="32"/>
          <w:szCs w:val="32"/>
        </w:rPr>
        <w:t>年度“三公”预算安排0万元，其中，因公出国（境）费0元，安排公务用车维护费0万元，（其中公务用车购置费0元，公务用车运行维护费0万元），公务接</w:t>
      </w:r>
      <w:r>
        <w:rPr>
          <w:rFonts w:hint="eastAsia" w:ascii="仿宋" w:hAnsi="仿宋" w:eastAsia="仿宋" w:cs="仿宋_GB2312"/>
          <w:sz w:val="32"/>
          <w:szCs w:val="32"/>
          <w:lang w:eastAsia="zh-CN"/>
        </w:rPr>
        <w:t>待</w:t>
      </w:r>
      <w:r>
        <w:rPr>
          <w:rFonts w:hint="eastAsia" w:ascii="仿宋" w:hAnsi="仿宋" w:eastAsia="仿宋" w:cs="仿宋_GB2312"/>
          <w:sz w:val="32"/>
          <w:szCs w:val="32"/>
        </w:rPr>
        <w:t>费0万元，</w:t>
      </w:r>
      <w:r>
        <w:rPr>
          <w:rFonts w:hint="eastAsia" w:ascii="仿宋" w:hAnsi="仿宋" w:eastAsia="仿宋" w:cs="仿宋_GB2312"/>
          <w:sz w:val="32"/>
          <w:szCs w:val="32"/>
          <w:lang w:eastAsia="zh-CN"/>
        </w:rPr>
        <w:t>与去年持平。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（1）不断推进多党合作和政治协商的制度化、规范化，协助民主党派建设高素质干部队伍，不断提高参政议政、民主监督水平。</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（2）确</w:t>
      </w:r>
      <w:r>
        <w:rPr>
          <w:rFonts w:hint="eastAsia" w:ascii="仿宋" w:hAnsi="仿宋" w:eastAsia="仿宋" w:cs="仿宋"/>
          <w:sz w:val="32"/>
          <w:szCs w:val="32"/>
          <w:lang w:eastAsia="zh-CN"/>
        </w:rPr>
        <w:t>保</w:t>
      </w:r>
      <w:r>
        <w:rPr>
          <w:rFonts w:hint="eastAsia" w:ascii="仿宋" w:hAnsi="仿宋" w:eastAsia="仿宋" w:cs="仿宋"/>
          <w:sz w:val="32"/>
          <w:szCs w:val="32"/>
        </w:rPr>
        <w:t>促进非公经济人士健康成长和非公经济健康发展。</w:t>
      </w:r>
    </w:p>
    <w:p>
      <w:pPr>
        <w:keepNext w:val="0"/>
        <w:keepLines w:val="0"/>
        <w:pageBreakBefore w:val="0"/>
        <w:kinsoku/>
        <w:wordWrap/>
        <w:overflowPunct/>
        <w:topLinePunct w:val="0"/>
        <w:bidi w:val="0"/>
        <w:snapToGrid/>
        <w:spacing w:line="520" w:lineRule="exact"/>
        <w:ind w:firstLine="640" w:firstLineChars="200"/>
        <w:textAlignment w:val="auto"/>
        <w:outlineLvl w:val="0"/>
      </w:pPr>
      <w:r>
        <w:rPr>
          <w:rFonts w:hint="eastAsia" w:ascii="仿宋" w:hAnsi="仿宋" w:eastAsia="仿宋" w:cs="仿宋"/>
          <w:sz w:val="32"/>
          <w:szCs w:val="32"/>
        </w:rPr>
        <w:t>（3）提升党外干部队伍整体素质，增强党外干部政治把握能力、参政议政能力、组织领导能力和合作共事能力。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、开展统战工作</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职责描述：</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负责调查研究统一战线的理论和方针政策，组织贯彻执行中央和省、市、县委关于统一战线的方针、政策；向县委反映统一战线全面情况，提出开展统战工作的意见和建议；协调统一战线各方面的关系。不断推进多党合作和政治协商的制度化、规范化，协助有关部门建设高素质党外干部队伍，不断提高参政议政、民主监督水平；促进非公经济人士健康成长和非公经济健康发展。</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年度绩效目标：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不断推进多党合作和政治协商的制度化、规范化，协助有关部门建设高素质党外干部队伍，不断提高参政议政、民主监督水平。促进非公经济人士健康成长和非公经济健康发展。</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工作活动绩效指标：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专题调研报告数量</w:t>
      </w:r>
      <w:r>
        <w:rPr>
          <w:rFonts w:hint="eastAsia" w:ascii="仿宋" w:hAnsi="仿宋" w:eastAsia="仿宋" w:cs="仿宋"/>
          <w:sz w:val="32"/>
          <w:szCs w:val="32"/>
          <w:lang w:eastAsia="zh-CN"/>
        </w:rPr>
        <w:t>2</w:t>
      </w:r>
      <w:r>
        <w:rPr>
          <w:rFonts w:hint="eastAsia" w:ascii="仿宋" w:hAnsi="仿宋" w:eastAsia="仿宋" w:cs="仿宋"/>
          <w:sz w:val="32"/>
          <w:szCs w:val="32"/>
        </w:rPr>
        <w:t>篇以上，开展"送服务、解难题、促发展"活动次数</w:t>
      </w:r>
      <w:r>
        <w:rPr>
          <w:rFonts w:hint="eastAsia" w:ascii="仿宋" w:hAnsi="仿宋" w:eastAsia="仿宋" w:cs="仿宋"/>
          <w:sz w:val="32"/>
          <w:szCs w:val="32"/>
          <w:lang w:eastAsia="zh-CN"/>
        </w:rPr>
        <w:t>2</w:t>
      </w:r>
      <w:r>
        <w:rPr>
          <w:rFonts w:hint="eastAsia" w:ascii="仿宋" w:hAnsi="仿宋" w:eastAsia="仿宋" w:cs="仿宋"/>
          <w:sz w:val="32"/>
          <w:szCs w:val="32"/>
        </w:rPr>
        <w:t>次以上。</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、党外干部队伍建设</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职责描述：</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负责党外人士的政治安排；会同有关部门做好党外人士担任政府和司法机关领导职务的相关工作；做好党外后备干部和新的代表人物队伍的建设工作；协助民主党派县委、县工商联和县有关统战团体做好干部管理工作；提升党外干部队伍整体素质，增强党外干部政治把握能力、参政议政能力、组织领导能力和合作共事能力。</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年度绩效目标：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凝聚共识，弘扬正能量；发挥人才智力优势，服务经济社会发展。提升党外干部队伍整体素质，增强党外干部政治把握能力、参政议政能力、组织领导能力和合作共事能力；完善全县党外代表人士信息。</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工作活动绩效指标：</w:t>
      </w:r>
    </w:p>
    <w:p>
      <w:pPr>
        <w:keepNext w:val="0"/>
        <w:keepLines w:val="0"/>
        <w:pageBreakBefore w:val="0"/>
        <w:kinsoku/>
        <w:wordWrap/>
        <w:overflowPunct/>
        <w:topLinePunct w:val="0"/>
        <w:bidi w:val="0"/>
        <w:snapToGrid/>
        <w:spacing w:line="520" w:lineRule="exact"/>
        <w:ind w:firstLine="640" w:firstLineChars="200"/>
        <w:textAlignment w:val="auto"/>
        <w:outlineLvl w:val="0"/>
      </w:pPr>
      <w:r>
        <w:rPr>
          <w:rFonts w:hint="eastAsia" w:ascii="仿宋" w:hAnsi="仿宋" w:eastAsia="仿宋" w:cs="仿宋"/>
          <w:sz w:val="32"/>
          <w:szCs w:val="32"/>
        </w:rPr>
        <w:t>遴选推荐人数</w:t>
      </w:r>
      <w:r>
        <w:rPr>
          <w:rFonts w:hint="eastAsia" w:ascii="仿宋" w:hAnsi="仿宋" w:eastAsia="仿宋" w:cs="仿宋"/>
          <w:sz w:val="32"/>
          <w:szCs w:val="32"/>
          <w:lang w:eastAsia="zh-CN"/>
        </w:rPr>
        <w:t>2</w:t>
      </w:r>
      <w:r>
        <w:rPr>
          <w:rFonts w:hint="eastAsia" w:ascii="仿宋" w:hAnsi="仿宋" w:eastAsia="仿宋" w:cs="仿宋"/>
          <w:sz w:val="32"/>
          <w:szCs w:val="32"/>
        </w:rPr>
        <w:t>人以上，跟踪培养人数</w:t>
      </w:r>
      <w:r>
        <w:rPr>
          <w:rFonts w:hint="eastAsia" w:ascii="仿宋" w:hAnsi="仿宋" w:eastAsia="仿宋" w:cs="仿宋"/>
          <w:sz w:val="32"/>
          <w:szCs w:val="32"/>
          <w:lang w:eastAsia="zh-CN"/>
        </w:rPr>
        <w:t>10</w:t>
      </w:r>
      <w:r>
        <w:rPr>
          <w:rFonts w:hint="eastAsia" w:ascii="仿宋" w:hAnsi="仿宋" w:eastAsia="仿宋" w:cs="仿宋"/>
          <w:sz w:val="32"/>
          <w:szCs w:val="32"/>
        </w:rPr>
        <w:t>人以上，年度培训率达到90%以上。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成立组织，加强领导</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成立以县委常委统战部长为组长，各分管部长为成员的工作推进领导小组。下设办公室，具体负责各项工作的组织、协调、督导、检查等工作，各乡镇成立相应办公室，形成上下联动，工作明确，各司其职的工作机制。</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明确任务，压死责任</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将全年统战工作任务目标进行分解量化，明确各科室和分管领导，明确完成时间，压死责任，一抓到底。</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督导检查，严格奖惩</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根据全年工作任务目标，制定严格的考核办法，不定期进行督导检查调度，实行季考评，半年小结，全年总评，根据完成情况兑现奖惩。</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p>
    <w:p>
      <w:pPr>
        <w:pStyle w:val="26"/>
        <w:sectPr>
          <w:pgSz w:w="16840" w:h="11900" w:orient="landscape"/>
          <w:pgMar w:top="1361" w:right="1020" w:bottom="1361" w:left="1020" w:header="720" w:footer="720" w:gutter="0"/>
          <w:pgNumType w:fmt="decimal"/>
          <w:cols w:space="720" w:num="1"/>
        </w:sectPr>
      </w:pPr>
    </w:p>
    <w:p>
      <w:pPr>
        <w:numPr>
          <w:ilvl w:val="0"/>
          <w:numId w:val="3"/>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1280" w:firstLineChars="400"/>
        <w:jc w:val="left"/>
        <w:outlineLvl w:val="2"/>
        <w:rPr>
          <w:rFonts w:hint="default" w:ascii="仿宋" w:hAnsi="仿宋" w:eastAsia="仿宋" w:cs="仿宋"/>
          <w:color w:val="000000"/>
          <w:kern w:val="32"/>
          <w:sz w:val="32"/>
          <w:szCs w:val="32"/>
          <w:lang w:val="en-US" w:eastAsia="zh-CN"/>
        </w:rPr>
        <w:sectPr>
          <w:pgSz w:w="16840" w:h="11900" w:orient="landscape"/>
          <w:pgMar w:top="1361" w:right="1020" w:bottom="1134" w:left="1020" w:header="720" w:footer="720" w:gutter="0"/>
          <w:pgNumType w:fmt="decimal"/>
          <w:cols w:space="720" w:num="1"/>
        </w:sectPr>
      </w:pPr>
      <w:r>
        <w:rPr>
          <w:rFonts w:hint="eastAsia" w:ascii="仿宋" w:hAnsi="仿宋" w:eastAsia="仿宋" w:cs="仿宋"/>
          <w:color w:val="000000"/>
          <w:kern w:val="32"/>
          <w:sz w:val="32"/>
          <w:szCs w:val="32"/>
          <w:lang w:val="en-US" w:eastAsia="zh-CN"/>
        </w:rPr>
        <w:t>注：我部门无主管的专项资金预算。</w:t>
      </w:r>
    </w:p>
    <w:p>
      <w:pPr>
        <w:numPr>
          <w:ilvl w:val="0"/>
          <w:numId w:val="3"/>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pPr>
        <w:numPr>
          <w:ilvl w:val="0"/>
          <w:numId w:val="0"/>
        </w:numPr>
        <w:spacing w:before="10" w:after="10" w:line="360" w:lineRule="auto"/>
        <w:ind w:firstLine="1280" w:firstLineChars="400"/>
        <w:jc w:val="left"/>
        <w:outlineLvl w:val="2"/>
        <w:rPr>
          <w:rFonts w:hint="eastAsia" w:ascii="仿宋" w:hAnsi="仿宋" w:eastAsia="仿宋" w:cs="仿宋"/>
          <w:color w:val="000000"/>
          <w:kern w:val="32"/>
          <w:sz w:val="32"/>
          <w:szCs w:val="32"/>
          <w:lang w:val="en-US" w:eastAsia="zh-CN"/>
        </w:rPr>
        <w:sectPr>
          <w:pgSz w:w="16840" w:h="11900" w:orient="landscape"/>
          <w:pgMar w:top="1361" w:right="1020" w:bottom="1134" w:left="1020" w:header="720" w:footer="720" w:gutter="0"/>
          <w:pgNumType w:fmt="decimal"/>
          <w:cols w:space="720" w:num="1"/>
        </w:sectPr>
      </w:pPr>
      <w:r>
        <w:rPr>
          <w:rFonts w:hint="eastAsia" w:ascii="仿宋" w:hAnsi="仿宋" w:eastAsia="仿宋" w:cs="仿宋"/>
          <w:color w:val="000000"/>
          <w:kern w:val="32"/>
          <w:sz w:val="32"/>
          <w:szCs w:val="32"/>
          <w:lang w:val="en-US" w:eastAsia="zh-CN"/>
        </w:rPr>
        <w:t>注：我单位无部门项目预算安排情况及绩效目标。</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554成安县统战部</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0.32</w:t>
            </w:r>
          </w:p>
        </w:tc>
        <w:tc>
          <w:tcPr>
            <w:tcW w:w="964" w:type="dxa"/>
            <w:vAlign w:val="center"/>
          </w:tcPr>
          <w:p>
            <w:pPr>
              <w:pStyle w:val="18"/>
            </w:pPr>
            <w:r>
              <w:t>0.32</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成安县统战部本级小计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0.32</w:t>
            </w:r>
          </w:p>
        </w:tc>
        <w:tc>
          <w:tcPr>
            <w:tcW w:w="964" w:type="dxa"/>
            <w:vAlign w:val="center"/>
          </w:tcPr>
          <w:p>
            <w:pPr>
              <w:pStyle w:val="18"/>
            </w:pPr>
            <w:r>
              <w:t>0.32</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公用经费一</w:t>
            </w:r>
          </w:p>
        </w:tc>
        <w:tc>
          <w:tcPr>
            <w:tcW w:w="964" w:type="dxa"/>
            <w:vAlign w:val="center"/>
          </w:tcPr>
          <w:p>
            <w:pPr>
              <w:pStyle w:val="14"/>
            </w:pPr>
            <w:r>
              <w:t>57.20</w:t>
            </w:r>
          </w:p>
        </w:tc>
        <w:tc>
          <w:tcPr>
            <w:tcW w:w="1134" w:type="dxa"/>
            <w:vAlign w:val="center"/>
          </w:tcPr>
          <w:p>
            <w:pPr>
              <w:pStyle w:val="15"/>
            </w:pPr>
            <w:r>
              <w:t>纸制品</w:t>
            </w:r>
          </w:p>
        </w:tc>
        <w:tc>
          <w:tcPr>
            <w:tcW w:w="1134" w:type="dxa"/>
            <w:vAlign w:val="center"/>
          </w:tcPr>
          <w:p>
            <w:pPr>
              <w:pStyle w:val="15"/>
            </w:pPr>
            <w:r>
              <w:t>A07100300</w:t>
            </w:r>
          </w:p>
        </w:tc>
        <w:tc>
          <w:tcPr>
            <w:tcW w:w="709" w:type="dxa"/>
            <w:vAlign w:val="center"/>
          </w:tcPr>
          <w:p>
            <w:pPr>
              <w:pStyle w:val="16"/>
            </w:pPr>
            <w:r>
              <w:t>件</w:t>
            </w:r>
          </w:p>
        </w:tc>
        <w:tc>
          <w:tcPr>
            <w:tcW w:w="850" w:type="dxa"/>
            <w:vAlign w:val="center"/>
          </w:tcPr>
          <w:p>
            <w:pPr>
              <w:pStyle w:val="14"/>
            </w:pPr>
            <w:r>
              <w:t>15</w:t>
            </w:r>
          </w:p>
        </w:tc>
        <w:tc>
          <w:tcPr>
            <w:tcW w:w="850" w:type="dxa"/>
            <w:vAlign w:val="center"/>
          </w:tcPr>
          <w:p>
            <w:pPr>
              <w:pStyle w:val="14"/>
            </w:pPr>
            <w:r>
              <w:t>0.02</w:t>
            </w:r>
          </w:p>
        </w:tc>
        <w:tc>
          <w:tcPr>
            <w:tcW w:w="964" w:type="dxa"/>
            <w:vAlign w:val="center"/>
          </w:tcPr>
          <w:p>
            <w:pPr>
              <w:pStyle w:val="14"/>
            </w:pPr>
            <w:r>
              <w:t>0.32</w:t>
            </w:r>
          </w:p>
        </w:tc>
        <w:tc>
          <w:tcPr>
            <w:tcW w:w="964" w:type="dxa"/>
            <w:vAlign w:val="center"/>
          </w:tcPr>
          <w:p>
            <w:pPr>
              <w:pStyle w:val="14"/>
            </w:pPr>
            <w:r>
              <w:t>0.32</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0.32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成安县统战部（含所属单位）上年末固定资产金额为</w:t>
      </w:r>
      <w:r>
        <w:rPr>
          <w:rFonts w:hint="eastAsia" w:eastAsia="方正仿宋_GBK" w:cs="Times New Roman"/>
          <w:b w:val="0"/>
          <w:color w:val="000000"/>
          <w:sz w:val="28"/>
          <w:lang w:val="en-US" w:eastAsia="zh-CN"/>
        </w:rPr>
        <w:t>10.29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bookmarkStart w:id="20" w:name="_GoBack"/>
      <w:bookmarkEnd w:id="2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83"/>
        <w:gridCol w:w="2877"/>
        <w:gridCol w:w="2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8" w:hRule="atLeast"/>
          <w:tblHeader/>
          <w:jc w:val="center"/>
        </w:trPr>
        <w:tc>
          <w:tcPr>
            <w:tcW w:w="7483" w:type="dxa"/>
            <w:tcBorders>
              <w:top w:val="single" w:color="FFFFFF" w:sz="6" w:space="0"/>
              <w:left w:val="single" w:color="FFFFFF" w:sz="6" w:space="0"/>
              <w:right w:val="single" w:color="FFFFFF" w:sz="6" w:space="0"/>
            </w:tcBorders>
            <w:vAlign w:val="center"/>
          </w:tcPr>
          <w:p>
            <w:pPr>
              <w:pStyle w:val="12"/>
            </w:pPr>
            <w:r>
              <w:t>554成安县统战部</w:t>
            </w:r>
          </w:p>
        </w:tc>
        <w:tc>
          <w:tcPr>
            <w:tcW w:w="5756"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tblHeader/>
          <w:jc w:val="center"/>
        </w:trPr>
        <w:tc>
          <w:tcPr>
            <w:tcW w:w="7483" w:type="dxa"/>
            <w:vAlign w:val="center"/>
          </w:tcPr>
          <w:p>
            <w:pPr>
              <w:pStyle w:val="13"/>
            </w:pPr>
            <w:r>
              <w:t>项   目</w:t>
            </w:r>
          </w:p>
        </w:tc>
        <w:tc>
          <w:tcPr>
            <w:tcW w:w="2877" w:type="dxa"/>
            <w:vAlign w:val="center"/>
          </w:tcPr>
          <w:p>
            <w:pPr>
              <w:pStyle w:val="13"/>
            </w:pPr>
            <w:r>
              <w:t>数量</w:t>
            </w:r>
          </w:p>
        </w:tc>
        <w:tc>
          <w:tcPr>
            <w:tcW w:w="2879"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7483" w:type="dxa"/>
            <w:vAlign w:val="center"/>
          </w:tcPr>
          <w:p>
            <w:pPr>
              <w:jc w:val="center"/>
              <w:rPr>
                <w:rFonts w:ascii="宋体" w:hAnsi="宋体" w:eastAsiaTheme="minorEastAsia" w:cstheme="minorBidi"/>
                <w:sz w:val="22"/>
                <w:szCs w:val="24"/>
                <w:lang w:val="en-US" w:eastAsia="uk-UA" w:bidi="ar-SA"/>
              </w:rPr>
            </w:pPr>
            <w:r>
              <w:rPr>
                <w:rFonts w:hint="eastAsia" w:ascii="宋体" w:hAnsi="宋体" w:cs="宋体"/>
                <w:sz w:val="22"/>
              </w:rPr>
              <w:t>资产总额</w:t>
            </w:r>
          </w:p>
        </w:tc>
        <w:tc>
          <w:tcPr>
            <w:tcW w:w="2877" w:type="dxa"/>
            <w:vAlign w:val="center"/>
          </w:tcPr>
          <w:p>
            <w:pPr>
              <w:jc w:val="center"/>
              <w:rPr>
                <w:rFonts w:ascii="宋体" w:hAnsi="宋体" w:cs="宋体" w:eastAsiaTheme="minorEastAsia"/>
                <w:sz w:val="22"/>
                <w:szCs w:val="24"/>
                <w:lang w:val="en-US" w:eastAsia="uk-UA" w:bidi="ar-SA"/>
              </w:rPr>
            </w:pPr>
            <w:r>
              <w:rPr>
                <w:rFonts w:ascii="宋体" w:hAnsi="宋体" w:cs="宋体"/>
                <w:sz w:val="22"/>
              </w:rPr>
              <w:t>——</w:t>
            </w:r>
          </w:p>
        </w:tc>
        <w:tc>
          <w:tcPr>
            <w:tcW w:w="2879" w:type="dxa"/>
            <w:vAlign w:val="center"/>
          </w:tcPr>
          <w:p>
            <w:pPr>
              <w:jc w:val="center"/>
              <w:rPr>
                <w:rFonts w:hint="default" w:ascii="宋体" w:hAnsi="宋体" w:eastAsia="宋体" w:cs="宋体"/>
                <w:sz w:val="22"/>
                <w:szCs w:val="24"/>
                <w:lang w:val="en-US" w:eastAsia="zh-CN" w:bidi="ar-SA"/>
              </w:rPr>
            </w:pPr>
            <w:r>
              <w:rPr>
                <w:rFonts w:hint="eastAsia" w:ascii="宋体" w:hAnsi="宋体" w:eastAsia="宋体" w:cs="宋体"/>
                <w:sz w:val="22"/>
                <w:lang w:val="en-US" w:eastAsia="zh-CN"/>
              </w:rPr>
              <w:t>10.29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7483" w:type="dxa"/>
            <w:vAlign w:val="center"/>
          </w:tcPr>
          <w:p>
            <w:pPr>
              <w:rPr>
                <w:rFonts w:ascii="宋体" w:hAnsi="宋体" w:eastAsiaTheme="minorEastAsia" w:cstheme="minorBidi"/>
                <w:sz w:val="22"/>
                <w:szCs w:val="24"/>
                <w:lang w:val="en-US" w:eastAsia="uk-UA" w:bidi="ar-SA"/>
              </w:rPr>
            </w:pPr>
            <w:r>
              <w:rPr>
                <w:rFonts w:ascii="宋体" w:hAnsi="宋体" w:cs="宋体"/>
                <w:sz w:val="22"/>
              </w:rPr>
              <w:t>1</w:t>
            </w:r>
            <w:r>
              <w:rPr>
                <w:rFonts w:hint="eastAsia" w:ascii="宋体" w:hAnsi="宋体" w:cs="宋体"/>
                <w:sz w:val="22"/>
              </w:rPr>
              <w:t>、房屋（平方米）</w:t>
            </w:r>
          </w:p>
        </w:tc>
        <w:tc>
          <w:tcPr>
            <w:tcW w:w="2877" w:type="dxa"/>
            <w:vAlign w:val="center"/>
          </w:tcPr>
          <w:p>
            <w:pPr>
              <w:jc w:val="center"/>
              <w:rPr>
                <w:rFonts w:ascii="宋体" w:hAnsi="宋体" w:eastAsiaTheme="minorEastAsia" w:cstheme="minorBidi"/>
                <w:sz w:val="22"/>
                <w:szCs w:val="24"/>
                <w:lang w:val="en-US" w:eastAsia="uk-UA" w:bidi="ar-SA"/>
              </w:rPr>
            </w:pPr>
            <w:r>
              <w:rPr>
                <w:rFonts w:hint="eastAsia" w:ascii="宋体" w:hAnsi="宋体"/>
                <w:sz w:val="22"/>
              </w:rPr>
              <w:t>80</w:t>
            </w:r>
          </w:p>
        </w:tc>
        <w:tc>
          <w:tcPr>
            <w:tcW w:w="2879" w:type="dxa"/>
            <w:vAlign w:val="center"/>
          </w:tcPr>
          <w:p>
            <w:pPr>
              <w:jc w:val="center"/>
              <w:rPr>
                <w:rFonts w:ascii="宋体" w:hAnsi="宋体" w:eastAsiaTheme="minorEastAsia" w:cstheme="minorBidi"/>
                <w:sz w:val="22"/>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7483" w:type="dxa"/>
            <w:vAlign w:val="center"/>
          </w:tcPr>
          <w:p>
            <w:pPr>
              <w:rPr>
                <w:rFonts w:ascii="宋体" w:hAnsi="宋体" w:eastAsiaTheme="minorEastAsia" w:cstheme="minorBidi"/>
                <w:sz w:val="22"/>
                <w:szCs w:val="24"/>
                <w:lang w:val="en-US" w:eastAsia="uk-UA" w:bidi="ar-SA"/>
              </w:rPr>
            </w:pPr>
            <w:r>
              <w:rPr>
                <w:rFonts w:ascii="宋体" w:hAnsi="宋体" w:cs="宋体"/>
                <w:sz w:val="22"/>
              </w:rPr>
              <w:t xml:space="preserve">   </w:t>
            </w:r>
            <w:r>
              <w:rPr>
                <w:rFonts w:hint="eastAsia" w:ascii="宋体" w:hAnsi="宋体" w:cs="宋体"/>
                <w:sz w:val="22"/>
              </w:rPr>
              <w:t>其中：办公用房（平方米）</w:t>
            </w:r>
          </w:p>
        </w:tc>
        <w:tc>
          <w:tcPr>
            <w:tcW w:w="2877" w:type="dxa"/>
            <w:vAlign w:val="center"/>
          </w:tcPr>
          <w:p>
            <w:pPr>
              <w:jc w:val="center"/>
              <w:rPr>
                <w:rFonts w:ascii="宋体" w:hAnsi="宋体" w:eastAsiaTheme="minorEastAsia" w:cstheme="minorBidi"/>
                <w:sz w:val="22"/>
                <w:szCs w:val="24"/>
                <w:lang w:val="en-US" w:eastAsia="uk-UA" w:bidi="ar-SA"/>
              </w:rPr>
            </w:pPr>
            <w:r>
              <w:rPr>
                <w:rFonts w:hint="eastAsia" w:ascii="宋体" w:hAnsi="宋体"/>
                <w:sz w:val="22"/>
              </w:rPr>
              <w:t>65</w:t>
            </w:r>
          </w:p>
        </w:tc>
        <w:tc>
          <w:tcPr>
            <w:tcW w:w="2879" w:type="dxa"/>
            <w:vAlign w:val="center"/>
          </w:tcPr>
          <w:p>
            <w:pPr>
              <w:jc w:val="center"/>
              <w:rPr>
                <w:rFonts w:ascii="宋体" w:hAnsi="宋体" w:eastAsiaTheme="minorEastAsia" w:cstheme="minorBidi"/>
                <w:sz w:val="22"/>
                <w:szCs w:val="24"/>
                <w:lang w:val="en-US" w:eastAsia="uk-UA" w:bidi="ar-SA"/>
              </w:rPr>
            </w:pPr>
            <w:r>
              <w:rPr>
                <w:rFonts w:hint="eastAsia" w:ascii="宋体" w:hAnsi="宋体"/>
                <w:sz w:val="22"/>
              </w:rPr>
              <w:t>在政府集中办公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7483" w:type="dxa"/>
            <w:vAlign w:val="center"/>
          </w:tcPr>
          <w:p>
            <w:pPr>
              <w:rPr>
                <w:rFonts w:ascii="宋体" w:hAnsi="宋体" w:eastAsiaTheme="minorEastAsia" w:cstheme="minorBidi"/>
                <w:sz w:val="22"/>
                <w:szCs w:val="24"/>
                <w:lang w:val="en-US" w:eastAsia="uk-UA" w:bidi="ar-SA"/>
              </w:rPr>
            </w:pPr>
            <w:r>
              <w:rPr>
                <w:rFonts w:ascii="宋体" w:hAnsi="宋体" w:cs="宋体"/>
                <w:sz w:val="22"/>
              </w:rPr>
              <w:t>2</w:t>
            </w:r>
            <w:r>
              <w:rPr>
                <w:rFonts w:hint="eastAsia" w:ascii="宋体" w:hAnsi="宋体" w:cs="宋体"/>
                <w:sz w:val="22"/>
              </w:rPr>
              <w:t>、车辆（台、辆）</w:t>
            </w:r>
          </w:p>
        </w:tc>
        <w:tc>
          <w:tcPr>
            <w:tcW w:w="2877" w:type="dxa"/>
            <w:vAlign w:val="center"/>
          </w:tcPr>
          <w:p>
            <w:pPr>
              <w:jc w:val="center"/>
              <w:rPr>
                <w:rFonts w:ascii="宋体" w:hAnsi="宋体" w:eastAsiaTheme="minorEastAsia" w:cstheme="minorBidi"/>
                <w:sz w:val="22"/>
                <w:szCs w:val="24"/>
                <w:lang w:val="en-US" w:eastAsia="uk-UA" w:bidi="ar-SA"/>
              </w:rPr>
            </w:pPr>
          </w:p>
        </w:tc>
        <w:tc>
          <w:tcPr>
            <w:tcW w:w="2879" w:type="dxa"/>
            <w:vAlign w:val="center"/>
          </w:tcPr>
          <w:p>
            <w:pPr>
              <w:jc w:val="center"/>
              <w:rPr>
                <w:rFonts w:ascii="宋体" w:hAnsi="宋体" w:eastAsiaTheme="minorEastAsia" w:cstheme="minorBidi"/>
                <w:sz w:val="22"/>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0" w:type="auto"/>
            <w:vAlign w:val="center"/>
          </w:tcPr>
          <w:p>
            <w:pPr>
              <w:rPr>
                <w:rFonts w:ascii="宋体" w:hAnsi="宋体" w:eastAsiaTheme="minorEastAsia" w:cstheme="minorBidi"/>
                <w:sz w:val="22"/>
                <w:szCs w:val="24"/>
                <w:lang w:val="en-US" w:eastAsia="uk-UA" w:bidi="ar-SA"/>
              </w:rPr>
            </w:pPr>
            <w:r>
              <w:rPr>
                <w:rFonts w:ascii="宋体" w:hAnsi="宋体" w:cs="宋体"/>
                <w:sz w:val="22"/>
              </w:rPr>
              <w:t>3</w:t>
            </w:r>
            <w:r>
              <w:rPr>
                <w:rFonts w:hint="eastAsia" w:ascii="宋体" w:hAnsi="宋体" w:cs="宋体"/>
                <w:sz w:val="22"/>
              </w:rPr>
              <w:t>、单价在</w:t>
            </w:r>
            <w:r>
              <w:rPr>
                <w:rFonts w:ascii="宋体" w:hAnsi="宋体" w:cs="宋体"/>
                <w:sz w:val="22"/>
              </w:rPr>
              <w:t>50</w:t>
            </w:r>
            <w:r>
              <w:rPr>
                <w:rFonts w:hint="eastAsia" w:ascii="宋体" w:hAnsi="宋体" w:cs="宋体"/>
                <w:sz w:val="22"/>
              </w:rPr>
              <w:t>万元以上的设备</w:t>
            </w:r>
          </w:p>
        </w:tc>
        <w:tc>
          <w:tcPr>
            <w:tcW w:w="0" w:type="auto"/>
            <w:vAlign w:val="center"/>
          </w:tcPr>
          <w:p>
            <w:pPr>
              <w:jc w:val="center"/>
              <w:rPr>
                <w:rFonts w:ascii="宋体" w:hAnsi="宋体" w:eastAsiaTheme="minorEastAsia" w:cstheme="minorBidi"/>
                <w:sz w:val="22"/>
                <w:szCs w:val="24"/>
                <w:lang w:val="en-US" w:eastAsia="uk-UA" w:bidi="ar-SA"/>
              </w:rPr>
            </w:pPr>
          </w:p>
        </w:tc>
        <w:tc>
          <w:tcPr>
            <w:tcW w:w="0" w:type="auto"/>
            <w:vAlign w:val="center"/>
          </w:tcPr>
          <w:p>
            <w:pPr>
              <w:jc w:val="center"/>
              <w:rPr>
                <w:rFonts w:ascii="宋体" w:hAnsi="宋体" w:eastAsiaTheme="minorEastAsia" w:cstheme="minorBidi"/>
                <w:sz w:val="22"/>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8" w:hRule="atLeast"/>
          <w:jc w:val="center"/>
        </w:trPr>
        <w:tc>
          <w:tcPr>
            <w:tcW w:w="0" w:type="auto"/>
            <w:vAlign w:val="center"/>
          </w:tcPr>
          <w:p>
            <w:pPr>
              <w:rPr>
                <w:rFonts w:ascii="宋体" w:hAnsi="宋体" w:eastAsiaTheme="minorEastAsia" w:cstheme="minorBidi"/>
                <w:sz w:val="22"/>
                <w:szCs w:val="24"/>
                <w:lang w:val="en-US" w:eastAsia="uk-UA" w:bidi="ar-SA"/>
              </w:rPr>
            </w:pPr>
            <w:r>
              <w:rPr>
                <w:rFonts w:ascii="宋体" w:hAnsi="宋体" w:cs="宋体"/>
                <w:sz w:val="22"/>
              </w:rPr>
              <w:t>4</w:t>
            </w:r>
            <w:r>
              <w:rPr>
                <w:rFonts w:hint="eastAsia" w:ascii="宋体" w:hAnsi="宋体" w:cs="宋体"/>
                <w:sz w:val="22"/>
              </w:rPr>
              <w:t>、其他固定资产</w:t>
            </w:r>
          </w:p>
        </w:tc>
        <w:tc>
          <w:tcPr>
            <w:tcW w:w="0" w:type="auto"/>
            <w:vAlign w:val="center"/>
          </w:tcPr>
          <w:p>
            <w:pPr>
              <w:jc w:val="center"/>
              <w:rPr>
                <w:rFonts w:hint="default" w:ascii="宋体" w:hAnsi="宋体" w:eastAsiaTheme="minorEastAsia" w:cstheme="minorBidi"/>
                <w:sz w:val="22"/>
                <w:szCs w:val="24"/>
                <w:lang w:val="en-US" w:eastAsia="zh-CN" w:bidi="ar-SA"/>
              </w:rPr>
            </w:pPr>
            <w:r>
              <w:rPr>
                <w:rFonts w:hint="eastAsia" w:ascii="宋体" w:hAnsi="宋体" w:cstheme="minorBidi"/>
                <w:sz w:val="22"/>
                <w:szCs w:val="24"/>
                <w:lang w:val="en-US" w:eastAsia="zh-CN" w:bidi="ar-SA"/>
              </w:rPr>
              <w:t>114</w:t>
            </w:r>
          </w:p>
        </w:tc>
        <w:tc>
          <w:tcPr>
            <w:tcW w:w="0" w:type="auto"/>
            <w:vAlign w:val="center"/>
          </w:tcPr>
          <w:p>
            <w:pPr>
              <w:jc w:val="center"/>
              <w:rPr>
                <w:rFonts w:ascii="宋体" w:hAnsi="宋体" w:eastAsiaTheme="minorEastAsia" w:cstheme="minorBidi"/>
                <w:sz w:val="22"/>
                <w:szCs w:val="24"/>
                <w:lang w:val="en-US" w:eastAsia="uk-UA" w:bidi="ar-SA"/>
              </w:rPr>
            </w:pPr>
            <w:r>
              <w:rPr>
                <w:rFonts w:hint="eastAsia" w:ascii="宋体" w:hAnsi="宋体" w:eastAsia="宋体"/>
                <w:sz w:val="22"/>
                <w:lang w:val="en-US" w:eastAsia="zh-CN"/>
              </w:rPr>
              <w:t>10.29</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8" w:name="_Toc_3_3_0000000019"/>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21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20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C2157"/>
    <w:multiLevelType w:val="singleLevel"/>
    <w:tmpl w:val="AF5C2157"/>
    <w:lvl w:ilvl="0" w:tentative="0">
      <w:start w:val="6"/>
      <w:numFmt w:val="chineseCounting"/>
      <w:suff w:val="nothing"/>
      <w:lvlText w:val="%1、"/>
      <w:lvlJc w:val="left"/>
      <w:rPr>
        <w:rFonts w:hint="eastAsia"/>
      </w:rPr>
    </w:lvl>
  </w:abstractNum>
  <w:abstractNum w:abstractNumId="1">
    <w:nsid w:val="1DCB7CC0"/>
    <w:multiLevelType w:val="singleLevel"/>
    <w:tmpl w:val="1DCB7CC0"/>
    <w:lvl w:ilvl="0" w:tentative="0">
      <w:start w:val="3"/>
      <w:numFmt w:val="chineseCounting"/>
      <w:suff w:val="nothing"/>
      <w:lvlText w:val="%1、"/>
      <w:lvlJc w:val="left"/>
      <w:rPr>
        <w:rFonts w:hint="eastAsia"/>
      </w:rPr>
    </w:lvl>
  </w:abstractNum>
  <w:abstractNum w:abstractNumId="2">
    <w:nsid w:val="53110C68"/>
    <w:multiLevelType w:val="singleLevel"/>
    <w:tmpl w:val="53110C6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3FD0147"/>
    <w:rsid w:val="04270E5D"/>
    <w:rsid w:val="04DB62F2"/>
    <w:rsid w:val="05312735"/>
    <w:rsid w:val="058D79CB"/>
    <w:rsid w:val="07611513"/>
    <w:rsid w:val="084C11B9"/>
    <w:rsid w:val="08FF3155"/>
    <w:rsid w:val="0A197E5F"/>
    <w:rsid w:val="0CB12AEF"/>
    <w:rsid w:val="0EE14F5F"/>
    <w:rsid w:val="151D5EC4"/>
    <w:rsid w:val="17466021"/>
    <w:rsid w:val="17D77B26"/>
    <w:rsid w:val="1A6804D2"/>
    <w:rsid w:val="1A793A5E"/>
    <w:rsid w:val="1AD91E61"/>
    <w:rsid w:val="1E8D1C4F"/>
    <w:rsid w:val="21AD3C98"/>
    <w:rsid w:val="235E527B"/>
    <w:rsid w:val="23D8270A"/>
    <w:rsid w:val="241D767C"/>
    <w:rsid w:val="252718A8"/>
    <w:rsid w:val="258E3A27"/>
    <w:rsid w:val="261E2D5A"/>
    <w:rsid w:val="26767630"/>
    <w:rsid w:val="27541B1A"/>
    <w:rsid w:val="2783341E"/>
    <w:rsid w:val="285D5812"/>
    <w:rsid w:val="28A43B93"/>
    <w:rsid w:val="2A082EBE"/>
    <w:rsid w:val="2AEB21B8"/>
    <w:rsid w:val="2D0E5707"/>
    <w:rsid w:val="2DA946D2"/>
    <w:rsid w:val="2E1A2D1F"/>
    <w:rsid w:val="2E562F95"/>
    <w:rsid w:val="2F220D37"/>
    <w:rsid w:val="325B15A1"/>
    <w:rsid w:val="35A5751A"/>
    <w:rsid w:val="36460CC5"/>
    <w:rsid w:val="36F36C9C"/>
    <w:rsid w:val="3B456DE3"/>
    <w:rsid w:val="3BBD0DC0"/>
    <w:rsid w:val="3D4B6AD4"/>
    <w:rsid w:val="3D695A68"/>
    <w:rsid w:val="40C67B8C"/>
    <w:rsid w:val="414B465E"/>
    <w:rsid w:val="47F01FA3"/>
    <w:rsid w:val="481B64B7"/>
    <w:rsid w:val="4926234B"/>
    <w:rsid w:val="498F3EC6"/>
    <w:rsid w:val="4BFD3081"/>
    <w:rsid w:val="4CF753F8"/>
    <w:rsid w:val="4E2C39D0"/>
    <w:rsid w:val="4F700173"/>
    <w:rsid w:val="50AD104A"/>
    <w:rsid w:val="50EC1323"/>
    <w:rsid w:val="518F3E3C"/>
    <w:rsid w:val="523D3A94"/>
    <w:rsid w:val="54DF6C98"/>
    <w:rsid w:val="5653313A"/>
    <w:rsid w:val="565A1327"/>
    <w:rsid w:val="57354A9D"/>
    <w:rsid w:val="58683FC5"/>
    <w:rsid w:val="59FC2753"/>
    <w:rsid w:val="5A584C47"/>
    <w:rsid w:val="5AC91F6C"/>
    <w:rsid w:val="5BB65EDB"/>
    <w:rsid w:val="5D943D96"/>
    <w:rsid w:val="5E1217C3"/>
    <w:rsid w:val="5E763B1B"/>
    <w:rsid w:val="5F30750A"/>
    <w:rsid w:val="5FDF0C49"/>
    <w:rsid w:val="60EF01D7"/>
    <w:rsid w:val="62537B03"/>
    <w:rsid w:val="64170BD7"/>
    <w:rsid w:val="657E5781"/>
    <w:rsid w:val="65C74B9B"/>
    <w:rsid w:val="65D76387"/>
    <w:rsid w:val="689C77C1"/>
    <w:rsid w:val="6C035AEC"/>
    <w:rsid w:val="6C3913CA"/>
    <w:rsid w:val="6DCD77FD"/>
    <w:rsid w:val="6DD27E25"/>
    <w:rsid w:val="733B3AA7"/>
    <w:rsid w:val="74A8122B"/>
    <w:rsid w:val="77644ACE"/>
    <w:rsid w:val="77CC4ADE"/>
    <w:rsid w:val="7A0A2A1A"/>
    <w:rsid w:val="7B605832"/>
    <w:rsid w:val="7E463833"/>
    <w:rsid w:val="7F3A3AE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15</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2026-02-03T09:26:00Z</dcterms:created>
  <dc:creator>1</dc:creator>
  <cp:lastModifiedBy>1</cp:lastModifiedBy>
  <dcterms:modified xsi:type="dcterms:W3CDTF">2026-02-04T01:36:22Z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