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bookmarkStart w:id="2" w:name="_GoBack"/>
      <w:bookmarkEnd w:id="2"/>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单位</w:t>
      </w:r>
      <w:r>
        <w:t>整体绩效目标</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3</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3</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3</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3</w:t>
      </w:r>
      <w:r>
        <w:fldChar w:fldCharType="end"/>
      </w:r>
      <w:r>
        <w:rPr>
          <w:rFonts w:hint="eastAsia"/>
          <w:lang w:val="en-US" w:eastAsia="zh-CN"/>
        </w:rPr>
        <w:t>2</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一、成安县辛义乡政府机关本级收支预算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760.74</w:t>
            </w:r>
          </w:p>
        </w:tc>
        <w:tc>
          <w:tcPr>
            <w:tcW w:w="4535" w:type="dxa"/>
            <w:vAlign w:val="center"/>
          </w:tcPr>
          <w:p>
            <w:pPr>
              <w:pStyle w:val="12"/>
            </w:pPr>
            <w:r>
              <w:t>一、一般公共服务支出</w:t>
            </w:r>
          </w:p>
        </w:tc>
        <w:tc>
          <w:tcPr>
            <w:tcW w:w="2126" w:type="dxa"/>
            <w:vAlign w:val="center"/>
          </w:tcPr>
          <w:p>
            <w:pPr>
              <w:pStyle w:val="11"/>
            </w:pPr>
            <w:r>
              <w:t>575.53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71.91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760.74</w:t>
            </w:r>
          </w:p>
        </w:tc>
        <w:tc>
          <w:tcPr>
            <w:tcW w:w="4535" w:type="dxa"/>
            <w:vAlign w:val="center"/>
          </w:tcPr>
          <w:p>
            <w:pPr>
              <w:pStyle w:val="14"/>
            </w:pPr>
            <w:r>
              <w:t>本年支出合计</w:t>
            </w:r>
          </w:p>
        </w:tc>
        <w:tc>
          <w:tcPr>
            <w:tcW w:w="2126" w:type="dxa"/>
            <w:vAlign w:val="center"/>
          </w:tcPr>
          <w:p>
            <w:pPr>
              <w:pStyle w:val="15"/>
            </w:pPr>
            <w:r>
              <w:t>760.74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760.74</w:t>
            </w:r>
          </w:p>
        </w:tc>
        <w:tc>
          <w:tcPr>
            <w:tcW w:w="4535" w:type="dxa"/>
            <w:vAlign w:val="center"/>
          </w:tcPr>
          <w:p>
            <w:pPr>
              <w:pStyle w:val="14"/>
            </w:pPr>
            <w:r>
              <w:t>支出总计</w:t>
            </w:r>
          </w:p>
        </w:tc>
        <w:tc>
          <w:tcPr>
            <w:tcW w:w="2126" w:type="dxa"/>
            <w:vAlign w:val="center"/>
          </w:tcPr>
          <w:p>
            <w:pPr>
              <w:pStyle w:val="15"/>
            </w:pPr>
            <w:r>
              <w:t>760.74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760.74</w:t>
            </w:r>
          </w:p>
        </w:tc>
        <w:tc>
          <w:tcPr>
            <w:tcW w:w="1134" w:type="dxa"/>
            <w:vAlign w:val="center"/>
          </w:tcPr>
          <w:p>
            <w:pPr>
              <w:pStyle w:val="15"/>
            </w:pPr>
            <w:r>
              <w:t>760.74</w:t>
            </w:r>
          </w:p>
        </w:tc>
        <w:tc>
          <w:tcPr>
            <w:tcW w:w="1134" w:type="dxa"/>
            <w:vAlign w:val="center"/>
          </w:tcPr>
          <w:p>
            <w:pPr>
              <w:pStyle w:val="15"/>
            </w:pPr>
            <w:r>
              <w:t>760.74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575.53</w:t>
            </w:r>
          </w:p>
        </w:tc>
        <w:tc>
          <w:tcPr>
            <w:tcW w:w="1134" w:type="dxa"/>
            <w:vAlign w:val="center"/>
          </w:tcPr>
          <w:p>
            <w:pPr>
              <w:pStyle w:val="11"/>
            </w:pPr>
            <w:r>
              <w:t>575.53</w:t>
            </w:r>
          </w:p>
        </w:tc>
        <w:tc>
          <w:tcPr>
            <w:tcW w:w="1134" w:type="dxa"/>
            <w:vAlign w:val="center"/>
          </w:tcPr>
          <w:p>
            <w:pPr>
              <w:pStyle w:val="11"/>
            </w:pPr>
            <w:r>
              <w:t>575.53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555.53</w:t>
            </w:r>
          </w:p>
        </w:tc>
        <w:tc>
          <w:tcPr>
            <w:tcW w:w="1134" w:type="dxa"/>
            <w:vAlign w:val="center"/>
          </w:tcPr>
          <w:p>
            <w:pPr>
              <w:pStyle w:val="11"/>
            </w:pPr>
            <w:r>
              <w:t>555.53</w:t>
            </w:r>
          </w:p>
        </w:tc>
        <w:tc>
          <w:tcPr>
            <w:tcW w:w="1134" w:type="dxa"/>
            <w:vAlign w:val="center"/>
          </w:tcPr>
          <w:p>
            <w:pPr>
              <w:pStyle w:val="11"/>
            </w:pPr>
            <w:r>
              <w:t>555.53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555.53</w:t>
            </w:r>
          </w:p>
        </w:tc>
        <w:tc>
          <w:tcPr>
            <w:tcW w:w="1134" w:type="dxa"/>
            <w:vAlign w:val="center"/>
          </w:tcPr>
          <w:p>
            <w:pPr>
              <w:pStyle w:val="11"/>
            </w:pPr>
            <w:r>
              <w:t>555.53</w:t>
            </w:r>
          </w:p>
        </w:tc>
        <w:tc>
          <w:tcPr>
            <w:tcW w:w="1134" w:type="dxa"/>
            <w:vAlign w:val="center"/>
          </w:tcPr>
          <w:p>
            <w:pPr>
              <w:pStyle w:val="11"/>
            </w:pPr>
            <w:r>
              <w:t>555.53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2014099</w:t>
            </w:r>
          </w:p>
        </w:tc>
        <w:tc>
          <w:tcPr>
            <w:tcW w:w="1559" w:type="dxa"/>
            <w:vAlign w:val="center"/>
          </w:tcPr>
          <w:p>
            <w:pPr>
              <w:pStyle w:val="12"/>
            </w:pPr>
            <w:r>
              <w:t>其他信访事务支出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71.91</w:t>
            </w:r>
          </w:p>
        </w:tc>
        <w:tc>
          <w:tcPr>
            <w:tcW w:w="1134" w:type="dxa"/>
            <w:vAlign w:val="center"/>
          </w:tcPr>
          <w:p>
            <w:pPr>
              <w:pStyle w:val="11"/>
            </w:pPr>
            <w:r>
              <w:t>71.91</w:t>
            </w:r>
          </w:p>
        </w:tc>
        <w:tc>
          <w:tcPr>
            <w:tcW w:w="1134" w:type="dxa"/>
            <w:vAlign w:val="center"/>
          </w:tcPr>
          <w:p>
            <w:pPr>
              <w:pStyle w:val="11"/>
            </w:pPr>
            <w:r>
              <w:t>71.91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68.54</w:t>
            </w:r>
          </w:p>
        </w:tc>
        <w:tc>
          <w:tcPr>
            <w:tcW w:w="1134" w:type="dxa"/>
            <w:vAlign w:val="center"/>
          </w:tcPr>
          <w:p>
            <w:pPr>
              <w:pStyle w:val="11"/>
            </w:pPr>
            <w:r>
              <w:t>68.54</w:t>
            </w:r>
          </w:p>
        </w:tc>
        <w:tc>
          <w:tcPr>
            <w:tcW w:w="1134" w:type="dxa"/>
            <w:vAlign w:val="center"/>
          </w:tcPr>
          <w:p>
            <w:pPr>
              <w:pStyle w:val="11"/>
            </w:pPr>
            <w:r>
              <w:t>68.54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30.91</w:t>
            </w:r>
          </w:p>
        </w:tc>
        <w:tc>
          <w:tcPr>
            <w:tcW w:w="1134" w:type="dxa"/>
            <w:vAlign w:val="center"/>
          </w:tcPr>
          <w:p>
            <w:pPr>
              <w:pStyle w:val="11"/>
            </w:pPr>
            <w:r>
              <w:t>30.91</w:t>
            </w:r>
          </w:p>
        </w:tc>
        <w:tc>
          <w:tcPr>
            <w:tcW w:w="1134" w:type="dxa"/>
            <w:vAlign w:val="center"/>
          </w:tcPr>
          <w:p>
            <w:pPr>
              <w:pStyle w:val="11"/>
            </w:pPr>
            <w:r>
              <w:t>30.91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37.63</w:t>
            </w:r>
          </w:p>
        </w:tc>
        <w:tc>
          <w:tcPr>
            <w:tcW w:w="1134" w:type="dxa"/>
            <w:vAlign w:val="center"/>
          </w:tcPr>
          <w:p>
            <w:pPr>
              <w:pStyle w:val="11"/>
            </w:pPr>
            <w:r>
              <w:t>37.63</w:t>
            </w:r>
          </w:p>
        </w:tc>
        <w:tc>
          <w:tcPr>
            <w:tcW w:w="1134" w:type="dxa"/>
            <w:vAlign w:val="center"/>
          </w:tcPr>
          <w:p>
            <w:pPr>
              <w:pStyle w:val="11"/>
            </w:pPr>
            <w:r>
              <w:t>37.63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r>
              <w:t>20.95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r>
              <w:t>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760.74</w:t>
            </w:r>
          </w:p>
        </w:tc>
        <w:tc>
          <w:tcPr>
            <w:tcW w:w="1361" w:type="dxa"/>
            <w:vAlign w:val="center"/>
          </w:tcPr>
          <w:p>
            <w:pPr>
              <w:pStyle w:val="15"/>
            </w:pPr>
            <w:r>
              <w:t>541.34</w:t>
            </w:r>
          </w:p>
        </w:tc>
        <w:tc>
          <w:tcPr>
            <w:tcW w:w="1361" w:type="dxa"/>
            <w:vAlign w:val="center"/>
          </w:tcPr>
          <w:p>
            <w:pPr>
              <w:pStyle w:val="15"/>
            </w:pPr>
            <w:r>
              <w:t>219.41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575.53</w:t>
            </w:r>
          </w:p>
        </w:tc>
        <w:tc>
          <w:tcPr>
            <w:tcW w:w="1361" w:type="dxa"/>
            <w:vAlign w:val="center"/>
          </w:tcPr>
          <w:p>
            <w:pPr>
              <w:pStyle w:val="11"/>
            </w:pPr>
            <w:r>
              <w:t>421.12</w:t>
            </w:r>
          </w:p>
        </w:tc>
        <w:tc>
          <w:tcPr>
            <w:tcW w:w="1361" w:type="dxa"/>
            <w:vAlign w:val="center"/>
          </w:tcPr>
          <w:p>
            <w:pPr>
              <w:pStyle w:val="11"/>
            </w:pPr>
            <w:r>
              <w:t>154.41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555.53</w:t>
            </w:r>
          </w:p>
        </w:tc>
        <w:tc>
          <w:tcPr>
            <w:tcW w:w="1361" w:type="dxa"/>
            <w:vAlign w:val="center"/>
          </w:tcPr>
          <w:p>
            <w:pPr>
              <w:pStyle w:val="11"/>
            </w:pPr>
            <w:r>
              <w:t>421.12</w:t>
            </w:r>
          </w:p>
        </w:tc>
        <w:tc>
          <w:tcPr>
            <w:tcW w:w="1361" w:type="dxa"/>
            <w:vAlign w:val="center"/>
          </w:tcPr>
          <w:p>
            <w:pPr>
              <w:pStyle w:val="11"/>
            </w:pPr>
            <w:r>
              <w:t>134.41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555.53</w:t>
            </w:r>
          </w:p>
        </w:tc>
        <w:tc>
          <w:tcPr>
            <w:tcW w:w="1361" w:type="dxa"/>
            <w:vAlign w:val="center"/>
          </w:tcPr>
          <w:p>
            <w:pPr>
              <w:pStyle w:val="11"/>
            </w:pPr>
            <w:r>
              <w:t>421.12</w:t>
            </w:r>
          </w:p>
        </w:tc>
        <w:tc>
          <w:tcPr>
            <w:tcW w:w="1361" w:type="dxa"/>
            <w:vAlign w:val="center"/>
          </w:tcPr>
          <w:p>
            <w:pPr>
              <w:pStyle w:val="11"/>
            </w:pPr>
            <w:r>
              <w:t>134.41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2014099</w:t>
            </w:r>
          </w:p>
        </w:tc>
        <w:tc>
          <w:tcPr>
            <w:tcW w:w="4535" w:type="dxa"/>
            <w:vAlign w:val="center"/>
          </w:tcPr>
          <w:p>
            <w:pPr>
              <w:pStyle w:val="12"/>
            </w:pPr>
            <w:r>
              <w:t>其他信访事务支出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71.91</w:t>
            </w:r>
          </w:p>
        </w:tc>
        <w:tc>
          <w:tcPr>
            <w:tcW w:w="1361" w:type="dxa"/>
            <w:vAlign w:val="center"/>
          </w:tcPr>
          <w:p>
            <w:pPr>
              <w:pStyle w:val="11"/>
            </w:pPr>
            <w:r>
              <w:t>71.91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68.54</w:t>
            </w:r>
          </w:p>
        </w:tc>
        <w:tc>
          <w:tcPr>
            <w:tcW w:w="1361" w:type="dxa"/>
            <w:vAlign w:val="center"/>
          </w:tcPr>
          <w:p>
            <w:pPr>
              <w:pStyle w:val="11"/>
            </w:pPr>
            <w:r>
              <w:t>68.54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30.91</w:t>
            </w:r>
          </w:p>
        </w:tc>
        <w:tc>
          <w:tcPr>
            <w:tcW w:w="1361" w:type="dxa"/>
            <w:vAlign w:val="center"/>
          </w:tcPr>
          <w:p>
            <w:pPr>
              <w:pStyle w:val="11"/>
            </w:pPr>
            <w:r>
              <w:t>30.91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37.63</w:t>
            </w:r>
          </w:p>
        </w:tc>
        <w:tc>
          <w:tcPr>
            <w:tcW w:w="1361" w:type="dxa"/>
            <w:vAlign w:val="center"/>
          </w:tcPr>
          <w:p>
            <w:pPr>
              <w:pStyle w:val="11"/>
            </w:pPr>
            <w:r>
              <w:t>37.63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2.35</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2.35</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1.03</w:t>
            </w:r>
          </w:p>
        </w:tc>
        <w:tc>
          <w:tcPr>
            <w:tcW w:w="1361" w:type="dxa"/>
            <w:vAlign w:val="center"/>
          </w:tcPr>
          <w:p>
            <w:pPr>
              <w:pStyle w:val="11"/>
            </w:pPr>
            <w:r>
              <w:t>1.03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1.03</w:t>
            </w:r>
          </w:p>
        </w:tc>
        <w:tc>
          <w:tcPr>
            <w:tcW w:w="1361" w:type="dxa"/>
            <w:vAlign w:val="center"/>
          </w:tcPr>
          <w:p>
            <w:pPr>
              <w:pStyle w:val="11"/>
            </w:pPr>
            <w:r>
              <w:t>1.03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20.95</w:t>
            </w:r>
          </w:p>
        </w:tc>
        <w:tc>
          <w:tcPr>
            <w:tcW w:w="1361" w:type="dxa"/>
            <w:vAlign w:val="center"/>
          </w:tcPr>
          <w:p>
            <w:pPr>
              <w:pStyle w:val="11"/>
            </w:pPr>
            <w:r>
              <w:t>20.95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20.95</w:t>
            </w:r>
          </w:p>
        </w:tc>
        <w:tc>
          <w:tcPr>
            <w:tcW w:w="1361" w:type="dxa"/>
            <w:vAlign w:val="center"/>
          </w:tcPr>
          <w:p>
            <w:pPr>
              <w:pStyle w:val="11"/>
            </w:pPr>
            <w:r>
              <w:t>20.95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20.95</w:t>
            </w:r>
          </w:p>
        </w:tc>
        <w:tc>
          <w:tcPr>
            <w:tcW w:w="1361" w:type="dxa"/>
            <w:vAlign w:val="center"/>
          </w:tcPr>
          <w:p>
            <w:pPr>
              <w:pStyle w:val="11"/>
            </w:pPr>
            <w:r>
              <w:t>20.95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27.35</w:t>
            </w:r>
          </w:p>
        </w:tc>
        <w:tc>
          <w:tcPr>
            <w:tcW w:w="1361" w:type="dxa"/>
            <w:vAlign w:val="center"/>
          </w:tcPr>
          <w:p>
            <w:pPr>
              <w:pStyle w:val="11"/>
            </w:pPr>
            <w:r>
              <w:t>27.35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760.74</w:t>
            </w:r>
          </w:p>
        </w:tc>
        <w:tc>
          <w:tcPr>
            <w:tcW w:w="3402" w:type="dxa"/>
            <w:vAlign w:val="center"/>
          </w:tcPr>
          <w:p>
            <w:pPr>
              <w:pStyle w:val="12"/>
            </w:pPr>
            <w:r>
              <w:t>一、一般公共服务支出</w:t>
            </w:r>
          </w:p>
        </w:tc>
        <w:tc>
          <w:tcPr>
            <w:tcW w:w="1474" w:type="dxa"/>
            <w:vAlign w:val="center"/>
          </w:tcPr>
          <w:p>
            <w:pPr>
              <w:pStyle w:val="11"/>
            </w:pPr>
            <w:r>
              <w:t>575.53</w:t>
            </w:r>
          </w:p>
        </w:tc>
        <w:tc>
          <w:tcPr>
            <w:tcW w:w="1474" w:type="dxa"/>
            <w:vAlign w:val="center"/>
          </w:tcPr>
          <w:p>
            <w:pPr>
              <w:pStyle w:val="11"/>
            </w:pPr>
            <w:r>
              <w:t>575.53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71.91</w:t>
            </w:r>
          </w:p>
        </w:tc>
        <w:tc>
          <w:tcPr>
            <w:tcW w:w="1474" w:type="dxa"/>
            <w:vAlign w:val="center"/>
          </w:tcPr>
          <w:p>
            <w:pPr>
              <w:pStyle w:val="11"/>
            </w:pPr>
            <w:r>
              <w:t>71.91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20.95</w:t>
            </w:r>
          </w:p>
        </w:tc>
        <w:tc>
          <w:tcPr>
            <w:tcW w:w="1474" w:type="dxa"/>
            <w:vAlign w:val="center"/>
          </w:tcPr>
          <w:p>
            <w:pPr>
              <w:pStyle w:val="11"/>
            </w:pPr>
            <w:r>
              <w:t>20.95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20.00</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45.00</w:t>
            </w:r>
          </w:p>
        </w:tc>
        <w:tc>
          <w:tcPr>
            <w:tcW w:w="1474" w:type="dxa"/>
            <w:vAlign w:val="center"/>
          </w:tcPr>
          <w:p>
            <w:pPr>
              <w:pStyle w:val="11"/>
            </w:pPr>
            <w:r>
              <w:t>45.00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27.35</w:t>
            </w:r>
          </w:p>
        </w:tc>
        <w:tc>
          <w:tcPr>
            <w:tcW w:w="1474" w:type="dxa"/>
            <w:vAlign w:val="center"/>
          </w:tcPr>
          <w:p>
            <w:pPr>
              <w:pStyle w:val="11"/>
            </w:pPr>
            <w:r>
              <w:t>27.35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760.74</w:t>
            </w:r>
          </w:p>
        </w:tc>
        <w:tc>
          <w:tcPr>
            <w:tcW w:w="3402" w:type="dxa"/>
            <w:vAlign w:val="center"/>
          </w:tcPr>
          <w:p>
            <w:pPr>
              <w:pStyle w:val="14"/>
            </w:pPr>
            <w:r>
              <w:t>本年支出合计</w:t>
            </w:r>
          </w:p>
        </w:tc>
        <w:tc>
          <w:tcPr>
            <w:tcW w:w="1474" w:type="dxa"/>
            <w:vAlign w:val="center"/>
          </w:tcPr>
          <w:p>
            <w:pPr>
              <w:pStyle w:val="15"/>
            </w:pPr>
            <w:r>
              <w:t>760.74</w:t>
            </w:r>
          </w:p>
        </w:tc>
        <w:tc>
          <w:tcPr>
            <w:tcW w:w="1474" w:type="dxa"/>
            <w:vAlign w:val="center"/>
          </w:tcPr>
          <w:p>
            <w:pPr>
              <w:pStyle w:val="15"/>
            </w:pPr>
            <w:r>
              <w:t>760.74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760.74</w:t>
            </w:r>
          </w:p>
        </w:tc>
        <w:tc>
          <w:tcPr>
            <w:tcW w:w="3402" w:type="dxa"/>
            <w:vAlign w:val="center"/>
          </w:tcPr>
          <w:p>
            <w:pPr>
              <w:pStyle w:val="14"/>
            </w:pPr>
            <w:r>
              <w:t>支出总计</w:t>
            </w:r>
          </w:p>
        </w:tc>
        <w:tc>
          <w:tcPr>
            <w:tcW w:w="1474" w:type="dxa"/>
            <w:vAlign w:val="center"/>
          </w:tcPr>
          <w:p>
            <w:pPr>
              <w:pStyle w:val="15"/>
            </w:pPr>
            <w:r>
              <w:t>760.74</w:t>
            </w:r>
          </w:p>
        </w:tc>
        <w:tc>
          <w:tcPr>
            <w:tcW w:w="1474" w:type="dxa"/>
            <w:vAlign w:val="center"/>
          </w:tcPr>
          <w:p>
            <w:pPr>
              <w:pStyle w:val="15"/>
            </w:pPr>
            <w:r>
              <w:t>760.74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760.74</w:t>
            </w:r>
          </w:p>
        </w:tc>
        <w:tc>
          <w:tcPr>
            <w:tcW w:w="2551" w:type="dxa"/>
            <w:vAlign w:val="center"/>
          </w:tcPr>
          <w:p>
            <w:pPr>
              <w:pStyle w:val="15"/>
            </w:pPr>
            <w:r>
              <w:t>541.34</w:t>
            </w:r>
          </w:p>
        </w:tc>
        <w:tc>
          <w:tcPr>
            <w:tcW w:w="2551" w:type="dxa"/>
            <w:vAlign w:val="center"/>
          </w:tcPr>
          <w:p>
            <w:pPr>
              <w:pStyle w:val="15"/>
            </w:pPr>
            <w:r>
              <w:t>219.41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575.53</w:t>
            </w:r>
          </w:p>
        </w:tc>
        <w:tc>
          <w:tcPr>
            <w:tcW w:w="2551" w:type="dxa"/>
            <w:vAlign w:val="center"/>
          </w:tcPr>
          <w:p>
            <w:pPr>
              <w:pStyle w:val="11"/>
            </w:pPr>
            <w:r>
              <w:t>421.12</w:t>
            </w:r>
          </w:p>
        </w:tc>
        <w:tc>
          <w:tcPr>
            <w:tcW w:w="2551" w:type="dxa"/>
            <w:vAlign w:val="center"/>
          </w:tcPr>
          <w:p>
            <w:pPr>
              <w:pStyle w:val="11"/>
            </w:pPr>
            <w:r>
              <w:t>154.41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555.53</w:t>
            </w:r>
          </w:p>
        </w:tc>
        <w:tc>
          <w:tcPr>
            <w:tcW w:w="2551" w:type="dxa"/>
            <w:vAlign w:val="center"/>
          </w:tcPr>
          <w:p>
            <w:pPr>
              <w:pStyle w:val="11"/>
            </w:pPr>
            <w:r>
              <w:t>421.12</w:t>
            </w:r>
          </w:p>
        </w:tc>
        <w:tc>
          <w:tcPr>
            <w:tcW w:w="2551" w:type="dxa"/>
            <w:vAlign w:val="center"/>
          </w:tcPr>
          <w:p>
            <w:pPr>
              <w:pStyle w:val="11"/>
            </w:pPr>
            <w:r>
              <w:t>134.41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555.53</w:t>
            </w:r>
          </w:p>
        </w:tc>
        <w:tc>
          <w:tcPr>
            <w:tcW w:w="2551" w:type="dxa"/>
            <w:vAlign w:val="center"/>
          </w:tcPr>
          <w:p>
            <w:pPr>
              <w:pStyle w:val="11"/>
            </w:pPr>
            <w:r>
              <w:t>421.12</w:t>
            </w:r>
          </w:p>
        </w:tc>
        <w:tc>
          <w:tcPr>
            <w:tcW w:w="2551" w:type="dxa"/>
            <w:vAlign w:val="center"/>
          </w:tcPr>
          <w:p>
            <w:pPr>
              <w:pStyle w:val="11"/>
            </w:pPr>
            <w:r>
              <w:t>134.41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2014099</w:t>
            </w:r>
          </w:p>
        </w:tc>
        <w:tc>
          <w:tcPr>
            <w:tcW w:w="4535" w:type="dxa"/>
            <w:vAlign w:val="center"/>
          </w:tcPr>
          <w:p>
            <w:pPr>
              <w:pStyle w:val="12"/>
            </w:pPr>
            <w:r>
              <w:t>其他信访事务支出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71.91</w:t>
            </w:r>
          </w:p>
        </w:tc>
        <w:tc>
          <w:tcPr>
            <w:tcW w:w="2551" w:type="dxa"/>
            <w:vAlign w:val="center"/>
          </w:tcPr>
          <w:p>
            <w:pPr>
              <w:pStyle w:val="11"/>
            </w:pPr>
            <w:r>
              <w:t>71.91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68.54</w:t>
            </w:r>
          </w:p>
        </w:tc>
        <w:tc>
          <w:tcPr>
            <w:tcW w:w="2551" w:type="dxa"/>
            <w:vAlign w:val="center"/>
          </w:tcPr>
          <w:p>
            <w:pPr>
              <w:pStyle w:val="11"/>
            </w:pPr>
            <w:r>
              <w:t>68.54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30.91</w:t>
            </w:r>
          </w:p>
        </w:tc>
        <w:tc>
          <w:tcPr>
            <w:tcW w:w="2551" w:type="dxa"/>
            <w:vAlign w:val="center"/>
          </w:tcPr>
          <w:p>
            <w:pPr>
              <w:pStyle w:val="11"/>
            </w:pPr>
            <w:r>
              <w:t>30.91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37.63</w:t>
            </w:r>
          </w:p>
        </w:tc>
        <w:tc>
          <w:tcPr>
            <w:tcW w:w="2551" w:type="dxa"/>
            <w:vAlign w:val="center"/>
          </w:tcPr>
          <w:p>
            <w:pPr>
              <w:pStyle w:val="11"/>
            </w:pPr>
            <w:r>
              <w:t>37.63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2.35</w:t>
            </w:r>
          </w:p>
        </w:tc>
        <w:tc>
          <w:tcPr>
            <w:tcW w:w="2551" w:type="dxa"/>
            <w:vAlign w:val="center"/>
          </w:tcPr>
          <w:p>
            <w:pPr>
              <w:pStyle w:val="11"/>
            </w:pPr>
            <w:r>
              <w:t>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2.35</w:t>
            </w:r>
          </w:p>
        </w:tc>
        <w:tc>
          <w:tcPr>
            <w:tcW w:w="2551" w:type="dxa"/>
            <w:vAlign w:val="center"/>
          </w:tcPr>
          <w:p>
            <w:pPr>
              <w:pStyle w:val="11"/>
            </w:pPr>
            <w:r>
              <w:t>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1.03</w:t>
            </w:r>
          </w:p>
        </w:tc>
        <w:tc>
          <w:tcPr>
            <w:tcW w:w="2551" w:type="dxa"/>
            <w:vAlign w:val="center"/>
          </w:tcPr>
          <w:p>
            <w:pPr>
              <w:pStyle w:val="11"/>
            </w:pPr>
            <w:r>
              <w:t>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1.03</w:t>
            </w:r>
          </w:p>
        </w:tc>
        <w:tc>
          <w:tcPr>
            <w:tcW w:w="2551" w:type="dxa"/>
            <w:vAlign w:val="center"/>
          </w:tcPr>
          <w:p>
            <w:pPr>
              <w:pStyle w:val="11"/>
            </w:pPr>
            <w:r>
              <w:t>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20.95</w:t>
            </w:r>
          </w:p>
        </w:tc>
        <w:tc>
          <w:tcPr>
            <w:tcW w:w="2551" w:type="dxa"/>
            <w:vAlign w:val="center"/>
          </w:tcPr>
          <w:p>
            <w:pPr>
              <w:pStyle w:val="11"/>
            </w:pPr>
            <w:r>
              <w:t>20.95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20.95</w:t>
            </w:r>
          </w:p>
        </w:tc>
        <w:tc>
          <w:tcPr>
            <w:tcW w:w="2551" w:type="dxa"/>
            <w:vAlign w:val="center"/>
          </w:tcPr>
          <w:p>
            <w:pPr>
              <w:pStyle w:val="11"/>
            </w:pPr>
            <w:r>
              <w:t>20.95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20.95</w:t>
            </w:r>
          </w:p>
        </w:tc>
        <w:tc>
          <w:tcPr>
            <w:tcW w:w="2551" w:type="dxa"/>
            <w:vAlign w:val="center"/>
          </w:tcPr>
          <w:p>
            <w:pPr>
              <w:pStyle w:val="11"/>
            </w:pPr>
            <w:r>
              <w:t>20.95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541.34</w:t>
            </w:r>
          </w:p>
        </w:tc>
        <w:tc>
          <w:tcPr>
            <w:tcW w:w="2551" w:type="dxa"/>
            <w:vAlign w:val="center"/>
          </w:tcPr>
          <w:p>
            <w:pPr>
              <w:pStyle w:val="15"/>
            </w:pPr>
            <w:r>
              <w:t>505.82</w:t>
            </w:r>
          </w:p>
        </w:tc>
        <w:tc>
          <w:tcPr>
            <w:tcW w:w="2551" w:type="dxa"/>
            <w:vAlign w:val="center"/>
          </w:tcPr>
          <w:p>
            <w:pPr>
              <w:pStyle w:val="15"/>
            </w:pPr>
            <w:r>
              <w:t>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472.56</w:t>
            </w:r>
          </w:p>
        </w:tc>
        <w:tc>
          <w:tcPr>
            <w:tcW w:w="2551" w:type="dxa"/>
            <w:vAlign w:val="center"/>
          </w:tcPr>
          <w:p>
            <w:pPr>
              <w:pStyle w:val="11"/>
            </w:pPr>
            <w:r>
              <w:t>472.56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164.44</w:t>
            </w:r>
          </w:p>
        </w:tc>
        <w:tc>
          <w:tcPr>
            <w:tcW w:w="2551" w:type="dxa"/>
            <w:vAlign w:val="center"/>
          </w:tcPr>
          <w:p>
            <w:pPr>
              <w:pStyle w:val="11"/>
            </w:pPr>
            <w:r>
              <w:t>164.44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125.22</w:t>
            </w:r>
          </w:p>
        </w:tc>
        <w:tc>
          <w:tcPr>
            <w:tcW w:w="2551" w:type="dxa"/>
            <w:vAlign w:val="center"/>
          </w:tcPr>
          <w:p>
            <w:pPr>
              <w:pStyle w:val="11"/>
            </w:pPr>
            <w:r>
              <w:t>125.22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56.84</w:t>
            </w:r>
          </w:p>
        </w:tc>
        <w:tc>
          <w:tcPr>
            <w:tcW w:w="2551" w:type="dxa"/>
            <w:vAlign w:val="center"/>
          </w:tcPr>
          <w:p>
            <w:pPr>
              <w:pStyle w:val="11"/>
            </w:pPr>
            <w:r>
              <w:t>56.84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18.84</w:t>
            </w:r>
          </w:p>
        </w:tc>
        <w:tc>
          <w:tcPr>
            <w:tcW w:w="2551" w:type="dxa"/>
            <w:vAlign w:val="center"/>
          </w:tcPr>
          <w:p>
            <w:pPr>
              <w:pStyle w:val="11"/>
            </w:pPr>
            <w:r>
              <w:t>18.84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56.99</w:t>
            </w:r>
          </w:p>
        </w:tc>
        <w:tc>
          <w:tcPr>
            <w:tcW w:w="2551" w:type="dxa"/>
            <w:vAlign w:val="center"/>
          </w:tcPr>
          <w:p>
            <w:pPr>
              <w:pStyle w:val="11"/>
            </w:pPr>
            <w:r>
              <w:t>56.99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20.95</w:t>
            </w:r>
          </w:p>
        </w:tc>
        <w:tc>
          <w:tcPr>
            <w:tcW w:w="2551" w:type="dxa"/>
            <w:vAlign w:val="center"/>
          </w:tcPr>
          <w:p>
            <w:pPr>
              <w:pStyle w:val="11"/>
            </w:pPr>
            <w:r>
              <w:t>20.95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27.35</w:t>
            </w:r>
          </w:p>
        </w:tc>
        <w:tc>
          <w:tcPr>
            <w:tcW w:w="2551" w:type="dxa"/>
            <w:vAlign w:val="center"/>
          </w:tcPr>
          <w:p>
            <w:pPr>
              <w:pStyle w:val="11"/>
            </w:pPr>
            <w:r>
              <w:t>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35.52</w:t>
            </w:r>
          </w:p>
        </w:tc>
        <w:tc>
          <w:tcPr>
            <w:tcW w:w="2551" w:type="dxa"/>
            <w:vAlign w:val="center"/>
          </w:tcPr>
          <w:p>
            <w:pPr>
              <w:pStyle w:val="11"/>
            </w:pPr>
          </w:p>
        </w:tc>
        <w:tc>
          <w:tcPr>
            <w:tcW w:w="2551" w:type="dxa"/>
            <w:vAlign w:val="center"/>
          </w:tcPr>
          <w:p>
            <w:pPr>
              <w:pStyle w:val="11"/>
            </w:pPr>
            <w:r>
              <w:t>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20.52</w:t>
            </w:r>
          </w:p>
        </w:tc>
        <w:tc>
          <w:tcPr>
            <w:tcW w:w="2551" w:type="dxa"/>
            <w:vAlign w:val="center"/>
          </w:tcPr>
          <w:p>
            <w:pPr>
              <w:pStyle w:val="11"/>
            </w:pPr>
          </w:p>
        </w:tc>
        <w:tc>
          <w:tcPr>
            <w:tcW w:w="2551" w:type="dxa"/>
            <w:vAlign w:val="center"/>
          </w:tcPr>
          <w:p>
            <w:pPr>
              <w:pStyle w:val="11"/>
            </w:pPr>
            <w:r>
              <w:t>20.52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33.26</w:t>
            </w:r>
          </w:p>
        </w:tc>
        <w:tc>
          <w:tcPr>
            <w:tcW w:w="2551" w:type="dxa"/>
            <w:vAlign w:val="center"/>
          </w:tcPr>
          <w:p>
            <w:pPr>
              <w:pStyle w:val="11"/>
            </w:pPr>
            <w:r>
              <w:t>33.26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30.91</w:t>
            </w:r>
          </w:p>
        </w:tc>
        <w:tc>
          <w:tcPr>
            <w:tcW w:w="2551" w:type="dxa"/>
            <w:vAlign w:val="center"/>
          </w:tcPr>
          <w:p>
            <w:pPr>
              <w:pStyle w:val="11"/>
            </w:pPr>
            <w:r>
              <w:t>30.91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2.35</w:t>
            </w:r>
          </w:p>
        </w:tc>
        <w:tc>
          <w:tcPr>
            <w:tcW w:w="2551" w:type="dxa"/>
            <w:vAlign w:val="center"/>
          </w:tcPr>
          <w:p>
            <w:pPr>
              <w:pStyle w:val="11"/>
            </w:pPr>
            <w:r>
              <w:t>2.35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成安县辛义乡政府机关本级2026年单位预算信息公开情况说明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按照《中华人民共和国预算法》、《地方预决算公开操作规程》和《关于进一步推进预算公开工作的实施意见》规定，现将成安县辛义乡政府机关本级2026年单位预算公开如下：</w:t>
      </w: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240" w:lineRule="auto"/>
        <w:ind w:firstLine="641"/>
        <w:jc w:val="left"/>
        <w:textAlignment w:val="auto"/>
        <w:outlineLvl w:val="9"/>
      </w:pPr>
      <w:r>
        <w:rPr>
          <w:rFonts w:ascii="方正楷体_GBK" w:hAnsi="方正楷体_GBK" w:eastAsia="方正楷体_GBK" w:cs="方正楷体_GBK"/>
          <w:b/>
          <w:color w:val="000000"/>
          <w:sz w:val="32"/>
        </w:rPr>
        <w:t>单位职责：</w:t>
      </w:r>
    </w:p>
    <w:p>
      <w:pPr>
        <w:pStyle w:val="22"/>
      </w:pPr>
      <w:r>
        <w:rPr>
          <w:rFonts w:hint="eastAsia"/>
        </w:rPr>
        <w:t>1、宣传、贯彻党的路线、方针、政策和上级党组织的决议，执行乡党员代表大会(党员大会)决议，讨论决定本乡的重大问题。</w:t>
      </w:r>
    </w:p>
    <w:p>
      <w:pPr>
        <w:pStyle w:val="22"/>
      </w:pPr>
      <w:r>
        <w:rPr>
          <w:rFonts w:hint="eastAsia"/>
        </w:rPr>
        <w:t>2、抓好自身和所属党组织以及非公企业和社会组织的党组织建设。</w:t>
      </w:r>
    </w:p>
    <w:p>
      <w:pPr>
        <w:pStyle w:val="22"/>
      </w:pPr>
      <w:r>
        <w:rPr>
          <w:rFonts w:hint="eastAsia"/>
        </w:rPr>
        <w:t>3、领导乡经济建设，制定本乡经济和社会发展规划并组织实施。</w:t>
      </w:r>
    </w:p>
    <w:p>
      <w:pPr>
        <w:pStyle w:val="22"/>
      </w:pPr>
      <w:r>
        <w:rPr>
          <w:rFonts w:hint="eastAsia"/>
        </w:rPr>
        <w:t>4、领导乡社会主义精神文明和民主法</w:t>
      </w:r>
      <w:r>
        <w:rPr>
          <w:rFonts w:hint="eastAsia"/>
          <w:lang w:eastAsia="zh-CN"/>
        </w:rPr>
        <w:t>治建设</w:t>
      </w:r>
      <w:r>
        <w:rPr>
          <w:rFonts w:hint="eastAsia"/>
        </w:rPr>
        <w:t>加强农村社会治安综合治理，落实统一战线工作任务，做好民族事务工作。</w:t>
      </w:r>
    </w:p>
    <w:p>
      <w:pPr>
        <w:pStyle w:val="22"/>
      </w:pPr>
      <w:r>
        <w:rPr>
          <w:rFonts w:hint="eastAsia"/>
        </w:rPr>
        <w:t>5、领导并支持乡政府依法行使各项行政管理职权。</w:t>
      </w:r>
    </w:p>
    <w:p>
      <w:pPr>
        <w:pStyle w:val="22"/>
      </w:pPr>
      <w:r>
        <w:rPr>
          <w:rFonts w:hint="eastAsia"/>
        </w:rPr>
        <w:t>6、领导人大主席团及经济组织、人民武装和共青团、妇联等人民团体的工作。</w:t>
      </w:r>
    </w:p>
    <w:p>
      <w:pPr>
        <w:pStyle w:val="22"/>
      </w:pPr>
      <w:r>
        <w:rPr>
          <w:rFonts w:hint="eastAsia"/>
        </w:rPr>
        <w:t>7、统一指挥协调上级有关部门派驻乡单位的工作。</w:t>
      </w:r>
    </w:p>
    <w:p>
      <w:pPr>
        <w:pStyle w:val="22"/>
      </w:pPr>
      <w:r>
        <w:rPr>
          <w:rFonts w:hint="eastAsia"/>
        </w:rPr>
        <w:t>8、完成上级党组织交办的其他任务。</w:t>
      </w:r>
    </w:p>
    <w:p>
      <w:pPr>
        <w:pStyle w:val="22"/>
        <w:rPr>
          <w:lang w:eastAsia="zh-CN"/>
        </w:rPr>
      </w:pPr>
      <w:r>
        <w:rPr>
          <w:rFonts w:hint="eastAsia"/>
        </w:rPr>
        <w:t>9、促进经济发展、增加农民收入</w:t>
      </w:r>
      <w:r>
        <w:rPr>
          <w:rFonts w:hint="eastAsia"/>
          <w:lang w:eastAsia="zh-CN"/>
        </w:rPr>
        <w:t>。</w:t>
      </w:r>
    </w:p>
    <w:p>
      <w:pPr>
        <w:pStyle w:val="22"/>
        <w:rPr>
          <w:lang w:eastAsia="zh-CN"/>
        </w:rPr>
      </w:pPr>
      <w:r>
        <w:rPr>
          <w:rFonts w:hint="eastAsia"/>
        </w:rPr>
        <w:t>10、优化公共服务、着力改善民生</w:t>
      </w:r>
      <w:r>
        <w:rPr>
          <w:rFonts w:hint="eastAsia"/>
          <w:lang w:eastAsia="zh-CN"/>
        </w:rPr>
        <w:t>。</w:t>
      </w:r>
    </w:p>
    <w:p>
      <w:pPr>
        <w:pStyle w:val="22"/>
        <w:rPr>
          <w:lang w:eastAsia="zh-CN"/>
        </w:rPr>
      </w:pPr>
      <w:r>
        <w:rPr>
          <w:rFonts w:hint="eastAsia"/>
        </w:rPr>
        <w:t>11、强化社会管理、维护农村稳定</w:t>
      </w:r>
      <w:r>
        <w:rPr>
          <w:rFonts w:hint="eastAsia"/>
          <w:lang w:eastAsia="zh-CN"/>
        </w:rPr>
        <w:t>。</w:t>
      </w:r>
    </w:p>
    <w:p>
      <w:pPr>
        <w:pStyle w:val="22"/>
        <w:rPr>
          <w:lang w:eastAsia="zh-CN"/>
        </w:rPr>
      </w:pPr>
      <w:r>
        <w:rPr>
          <w:rFonts w:hint="eastAsia"/>
        </w:rPr>
        <w:t>12、推进基层民主、促进农村和谐</w:t>
      </w:r>
      <w:r>
        <w:rPr>
          <w:rFonts w:hint="eastAsia"/>
          <w:lang w:eastAsia="zh-CN"/>
        </w:rPr>
        <w:t>。</w:t>
      </w:r>
    </w:p>
    <w:p>
      <w:pPr>
        <w:pStyle w:val="22"/>
        <w:rPr>
          <w:lang w:eastAsia="zh-CN"/>
        </w:rPr>
      </w:pPr>
      <w:r>
        <w:rPr>
          <w:rFonts w:hint="eastAsia"/>
        </w:rPr>
        <w:t>13、改善生态环境、提升乡风文明</w:t>
      </w:r>
      <w:r>
        <w:rPr>
          <w:rFonts w:hint="eastAsia"/>
          <w:lang w:eastAsia="zh-CN"/>
        </w:rPr>
        <w:t>。</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成安县辛义乡政府机关本级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spacing w:before="0" w:beforeAutospacing="0"/>
        <w:ind w:firstLine="561"/>
      </w:pPr>
      <w:r>
        <w:rPr>
          <w:rFonts w:hint="eastAsia"/>
        </w:rPr>
        <w:t>按照预算管理有关规定，目前我</w:t>
      </w:r>
      <w:r>
        <w:rPr>
          <w:rFonts w:hint="eastAsia"/>
          <w:lang w:val="en-US" w:eastAsia="zh-CN"/>
        </w:rPr>
        <w:t>单位</w:t>
      </w:r>
      <w:r>
        <w:rPr>
          <w:rFonts w:hint="eastAsia"/>
        </w:rPr>
        <w:t>预算的编制实行综合预算管理，即全部收入和支出都反映在预算中。成安县辛义乡政府机关及所属事业单位的收支包含在</w:t>
      </w:r>
      <w:r>
        <w:rPr>
          <w:rFonts w:hint="eastAsia"/>
          <w:lang w:val="en-US" w:eastAsia="zh-CN"/>
        </w:rPr>
        <w:t>单位</w:t>
      </w:r>
      <w:r>
        <w:rPr>
          <w:rFonts w:hint="eastAsia"/>
        </w:rPr>
        <w:t>预算中。</w:t>
      </w:r>
    </w:p>
    <w:p>
      <w:pPr>
        <w:pStyle w:val="23"/>
        <w:ind w:firstLine="561"/>
      </w:pPr>
      <w:r>
        <w:rPr>
          <w:rFonts w:hint="eastAsia"/>
        </w:rPr>
        <w:t>1、收入说明</w:t>
      </w:r>
    </w:p>
    <w:p>
      <w:pPr>
        <w:pStyle w:val="23"/>
        <w:ind w:firstLine="561"/>
      </w:pPr>
      <w:r>
        <w:rPr>
          <w:rFonts w:hint="eastAsia"/>
          <w:lang w:eastAsia="zh-CN"/>
        </w:rPr>
        <w:t>2026年</w:t>
      </w:r>
      <w:r>
        <w:rPr>
          <w:rFonts w:hint="eastAsia"/>
        </w:rPr>
        <w:t>预算收入</w:t>
      </w:r>
      <w:r>
        <w:rPr>
          <w:rFonts w:hint="eastAsia"/>
          <w:lang w:val="en-US" w:eastAsia="zh-CN"/>
        </w:rPr>
        <w:t>760.74</w:t>
      </w:r>
      <w:r>
        <w:rPr>
          <w:rFonts w:hint="eastAsia"/>
        </w:rPr>
        <w:t>万元，其中：一般公共预算收入</w:t>
      </w:r>
      <w:r>
        <w:rPr>
          <w:rFonts w:hint="eastAsia"/>
          <w:lang w:val="en-US" w:eastAsia="zh-CN"/>
        </w:rPr>
        <w:t>760.74</w:t>
      </w:r>
      <w:r>
        <w:rPr>
          <w:rFonts w:hint="eastAsia"/>
        </w:rPr>
        <w:t>万元，政府性基金收入0万元，国有资本经营收入0万元，事业收入0万元，其他收入0万元。</w:t>
      </w:r>
    </w:p>
    <w:p>
      <w:pPr>
        <w:pStyle w:val="23"/>
        <w:ind w:firstLine="561"/>
      </w:pPr>
      <w:r>
        <w:rPr>
          <w:rFonts w:hint="eastAsia"/>
        </w:rPr>
        <w:t>2、支出说明</w:t>
      </w:r>
    </w:p>
    <w:p>
      <w:pPr>
        <w:pStyle w:val="23"/>
        <w:ind w:firstLine="561"/>
      </w:pPr>
      <w:r>
        <w:rPr>
          <w:rFonts w:hint="eastAsia"/>
          <w:lang w:eastAsia="zh-CN"/>
        </w:rPr>
        <w:t>2026年</w:t>
      </w:r>
      <w:r>
        <w:rPr>
          <w:rFonts w:hint="eastAsia"/>
        </w:rPr>
        <w:t>支出预算</w:t>
      </w:r>
      <w:r>
        <w:rPr>
          <w:rFonts w:hint="eastAsia"/>
          <w:lang w:val="en-US" w:eastAsia="zh-CN"/>
        </w:rPr>
        <w:t>760.74</w:t>
      </w:r>
      <w:r>
        <w:rPr>
          <w:rFonts w:hint="eastAsia"/>
        </w:rPr>
        <w:t>万元，其中基本支出541.34万元，包括人员经费和日常公用经费；项目支出219.41万元。</w:t>
      </w:r>
    </w:p>
    <w:p>
      <w:pPr>
        <w:pStyle w:val="23"/>
        <w:ind w:firstLine="561"/>
      </w:pPr>
      <w:r>
        <w:rPr>
          <w:rFonts w:hint="eastAsia"/>
        </w:rPr>
        <w:t>3、比上年增减变化情况</w:t>
      </w:r>
    </w:p>
    <w:p>
      <w:pPr>
        <w:pStyle w:val="23"/>
        <w:ind w:firstLine="561"/>
      </w:pPr>
      <w:r>
        <w:rPr>
          <w:rFonts w:hint="eastAsia"/>
          <w:lang w:eastAsia="zh-CN"/>
        </w:rPr>
        <w:t>2026年</w:t>
      </w:r>
      <w:r>
        <w:rPr>
          <w:rFonts w:hint="eastAsia"/>
        </w:rPr>
        <w:t>预算收支安排</w:t>
      </w:r>
      <w:r>
        <w:rPr>
          <w:rFonts w:hint="eastAsia"/>
          <w:lang w:val="en-US" w:eastAsia="zh-CN"/>
        </w:rPr>
        <w:t>760.74</w:t>
      </w:r>
      <w:r>
        <w:rPr>
          <w:rFonts w:hint="eastAsia"/>
        </w:rPr>
        <w:t>万元，较202</w:t>
      </w:r>
      <w:r>
        <w:rPr>
          <w:rFonts w:hint="eastAsia"/>
          <w:lang w:val="en-US" w:eastAsia="zh-CN"/>
        </w:rPr>
        <w:t>5</w:t>
      </w:r>
      <w:r>
        <w:rPr>
          <w:rFonts w:hint="eastAsia"/>
        </w:rPr>
        <w:t>年预算</w:t>
      </w:r>
      <w:r>
        <w:rPr>
          <w:rFonts w:hint="eastAsia"/>
          <w:lang w:val="en-US" w:eastAsia="zh-CN"/>
        </w:rPr>
        <w:t>减少1407.71</w:t>
      </w:r>
      <w:r>
        <w:rPr>
          <w:rFonts w:hint="eastAsia"/>
        </w:rPr>
        <w:t>万元，其中：基本支出</w:t>
      </w:r>
      <w:r>
        <w:rPr>
          <w:rFonts w:hint="eastAsia"/>
          <w:lang w:val="en-US" w:eastAsia="zh-CN"/>
        </w:rPr>
        <w:t>减少</w:t>
      </w:r>
      <w:r>
        <w:rPr>
          <w:rFonts w:hint="eastAsia"/>
          <w:lang w:eastAsia="zh-CN"/>
        </w:rPr>
        <w:t>16.7</w:t>
      </w:r>
      <w:r>
        <w:rPr>
          <w:rFonts w:hint="eastAsia"/>
        </w:rPr>
        <w:t>万元，主要是财政供养人员</w:t>
      </w:r>
      <w:r>
        <w:rPr>
          <w:rFonts w:hint="eastAsia"/>
          <w:lang w:val="en-US" w:eastAsia="zh-CN"/>
        </w:rPr>
        <w:t>增加</w:t>
      </w:r>
      <w:r>
        <w:rPr>
          <w:rFonts w:hint="eastAsia"/>
        </w:rPr>
        <w:t>；项目支出</w:t>
      </w:r>
      <w:r>
        <w:rPr>
          <w:rFonts w:hint="eastAsia"/>
          <w:lang w:val="en-US" w:eastAsia="zh-CN"/>
        </w:rPr>
        <w:t>减少</w:t>
      </w:r>
      <w:r>
        <w:rPr>
          <w:rFonts w:hint="eastAsia"/>
          <w:lang w:eastAsia="zh-CN"/>
        </w:rPr>
        <w:t>1424.4</w:t>
      </w:r>
      <w:r>
        <w:rPr>
          <w:rFonts w:hint="eastAsia"/>
        </w:rPr>
        <w:t>万元，主要是</w:t>
      </w:r>
      <w:r>
        <w:rPr>
          <w:rFonts w:hint="eastAsia"/>
          <w:lang w:eastAsia="zh-CN"/>
        </w:rPr>
        <w:t>专款项目的</w:t>
      </w:r>
      <w:r>
        <w:rPr>
          <w:rFonts w:hint="eastAsia"/>
          <w:lang w:val="en-US" w:eastAsia="zh-CN"/>
        </w:rPr>
        <w:t>减少</w:t>
      </w:r>
      <w:r>
        <w:rPr>
          <w:rFonts w:hint="eastAsia"/>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4"/>
        <w:keepNext w:val="0"/>
        <w:keepLines w:val="0"/>
        <w:pageBreakBefore w:val="0"/>
        <w:widowControl/>
        <w:kinsoku/>
        <w:wordWrap/>
        <w:overflowPunct/>
        <w:topLinePunct w:val="0"/>
        <w:autoSpaceDE/>
        <w:autoSpaceDN/>
        <w:bidi w:val="0"/>
        <w:adjustRightInd/>
        <w:snapToGrid/>
        <w:spacing w:line="240" w:lineRule="auto"/>
        <w:ind w:firstLine="561"/>
        <w:textAlignment w:val="auto"/>
      </w:pPr>
      <w:r>
        <w:rPr>
          <w:rFonts w:hint="eastAsia"/>
        </w:rPr>
        <w:t>机关运行经费共计安排</w:t>
      </w:r>
      <w:r>
        <w:rPr>
          <w:rFonts w:hint="eastAsia"/>
          <w:lang w:eastAsia="zh-CN"/>
        </w:rPr>
        <w:t>35.52</w:t>
      </w:r>
      <w:r>
        <w:rPr>
          <w:rFonts w:hint="eastAsia"/>
        </w:rPr>
        <w:t>万元，主要用于办公费和其他交通费用等日常运行支出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5"/>
      </w:pPr>
      <w:r>
        <w:rPr>
          <w:rFonts w:hint="eastAsia"/>
        </w:rPr>
        <w:t>202</w:t>
      </w:r>
      <w:r>
        <w:rPr>
          <w:rFonts w:hint="eastAsia"/>
          <w:lang w:val="en-US" w:eastAsia="zh-CN"/>
        </w:rPr>
        <w:t>6</w:t>
      </w:r>
      <w:r>
        <w:rPr>
          <w:rFonts w:hint="eastAsia"/>
        </w:rPr>
        <w:t>年，我部门“三公”经费预算安排</w:t>
      </w:r>
      <w:r>
        <w:rPr>
          <w:rFonts w:hint="eastAsia"/>
          <w:lang w:val="en-US" w:eastAsia="zh-CN"/>
        </w:rPr>
        <w:t>0</w:t>
      </w:r>
      <w:r>
        <w:rPr>
          <w:rFonts w:hint="eastAsia"/>
        </w:rPr>
        <w:t>万元，其中因公出国（境）费0万元,较上年数持平；公务用车购置及运维费</w:t>
      </w:r>
      <w:r>
        <w:rPr>
          <w:rFonts w:hint="eastAsia"/>
          <w:lang w:val="en-US" w:eastAsia="zh-CN"/>
        </w:rPr>
        <w:t>0</w:t>
      </w:r>
      <w:r>
        <w:rPr>
          <w:rFonts w:hint="eastAsia"/>
        </w:rPr>
        <w:t>万元（其中：公务用车购置费为0万元，公务用车运行费</w:t>
      </w:r>
      <w:r>
        <w:rPr>
          <w:rFonts w:hint="eastAsia"/>
          <w:lang w:val="en-US" w:eastAsia="zh-CN"/>
        </w:rPr>
        <w:t>0</w:t>
      </w:r>
      <w:r>
        <w:rPr>
          <w:rFonts w:hint="eastAsia"/>
        </w:rPr>
        <w:t>万元) ，较上年</w:t>
      </w:r>
      <w:r>
        <w:rPr>
          <w:rFonts w:hint="eastAsia"/>
          <w:lang w:val="en-US" w:eastAsia="zh-CN"/>
        </w:rPr>
        <w:t>减少1万元，主要</w:t>
      </w:r>
      <w:r>
        <w:rPr>
          <w:rFonts w:hint="eastAsia"/>
        </w:rPr>
        <w:t>；公务接待费0万元，较上年持平。“三公”经费与上年持平。</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6"/>
        <w:rPr>
          <w:rFonts w:hint="eastAsia"/>
        </w:rPr>
      </w:pPr>
      <w:r>
        <w:rPr>
          <w:rFonts w:hint="eastAsia"/>
        </w:rPr>
        <w:t>以习近平新时代中国特色社会主义思想为指导，全面贯彻落实党的二十大精神，以党的建设为统揽，紧扣乡村振兴战略，坚定信心、砥砺奋进，持续推进和改善民生，维护社会和谐稳定，提升群众幸福指数。</w:t>
      </w:r>
    </w:p>
    <w:p>
      <w:pPr>
        <w:pStyle w:val="26"/>
      </w:pPr>
      <w:r>
        <w:rPr>
          <w:rFonts w:hint="eastAsia"/>
        </w:rPr>
        <w:t>完成县委对本年度各项考评指标任务。在今年收支预算内，确保完成以下整体目标：目标1：围绕项目建设，突出发展农业经济；目标2：全力推动社会各项事业，促进经济社会协调发展；目标3：巩固农村环境整治工作成果，建设美丽、宜居新乡；目标4：全力推进乡村振兴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7"/>
        <w:rPr>
          <w:rFonts w:hint="eastAsia"/>
        </w:rPr>
      </w:pPr>
      <w:r>
        <w:rPr>
          <w:rFonts w:hint="eastAsia"/>
        </w:rPr>
        <w:t>1、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其中每村集体经济当年收入不低于3万元，完成率达95%以上。</w:t>
      </w:r>
    </w:p>
    <w:p>
      <w:pPr>
        <w:pStyle w:val="27"/>
        <w:rPr>
          <w:rFonts w:hint="eastAsia"/>
        </w:rPr>
      </w:pPr>
      <w:r>
        <w:rPr>
          <w:rFonts w:hint="eastAsia"/>
        </w:rPr>
        <w:t>2、强化公共服务、着力改善民生职责绩效目标：加强农田水利、基础设施建设，做好农村人居环境整治工作，做好农村社会保障工作，提升为民服务能力，其中正常工作保障率、惠农补贴落实率达到95%以上。</w:t>
      </w:r>
    </w:p>
    <w:p>
      <w:pPr>
        <w:pStyle w:val="27"/>
        <w:rPr>
          <w:rFonts w:hint="eastAsia"/>
        </w:rPr>
      </w:pPr>
      <w:r>
        <w:rPr>
          <w:rFonts w:hint="eastAsia"/>
        </w:rPr>
        <w:t>3、加强社会管理、维护农村稳定职责绩效目标：全面贯彻落实党的路线方针政策，抓好疫情防控、大气治理、扫黑除恶、信访稳定、殡葬改革等工作，其中乡辖中小企业环保达标率、秸秆还田率、政策宣传普及率达到95%以上，火化率95%以上，文明办丧祭祀100%。</w:t>
      </w:r>
    </w:p>
    <w:p>
      <w:pPr>
        <w:pStyle w:val="27"/>
        <w:rPr>
          <w:rFonts w:hint="eastAsia"/>
        </w:rPr>
      </w:pPr>
      <w:r>
        <w:rPr>
          <w:rFonts w:hint="eastAsia"/>
        </w:rPr>
        <w:t>4、推进基层民主、促进农村和谐职责：扎实开展党的主题教育，不断加强农村党支部书记、村“两委”干部、党员干部和优秀青年四支队伍规范化管理和学习教育培训力度，提升党员干部履职尽责能力和综合素质，全年举办各类培训不低于5次，村民满意度达到93%以上，培训完成率100%。</w:t>
      </w:r>
    </w:p>
    <w:p>
      <w:pPr>
        <w:pStyle w:val="27"/>
      </w:pPr>
      <w:r>
        <w:rPr>
          <w:rFonts w:hint="eastAsia"/>
        </w:rPr>
        <w:t>5、改善生态环境、提升乡风文明：扎实推进农村人居环境整治行动，做好垃圾整理，积水处理，村容村貌提升等工作，使农村变得更加生态，更加宜居，村民素质明显提升，村风民俗文明进步，其中环境卫生达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8"/>
      </w:pPr>
      <w:r>
        <w:t>1、促进经济发展、增加农民收入：全力推进农业农村全面转型，依托我乡西阳寺有机农业示范园、北豆公全自动肉鸡养殖产业，南豆公苗木基地、南连送自动化养猪产业等，以“村集体+合作社+农户”的形式，促进周边传统种植、养殖业向规模化、产业化方向发展，提高经济发展的质量和水平，新增规模化产业不少于一户。</w:t>
      </w:r>
    </w:p>
    <w:p>
      <w:pPr>
        <w:pStyle w:val="28"/>
      </w:pPr>
      <w:r>
        <w:t>2、强化公共服务、着力改善民生：全力做好农村社会保障工作，确保耕地地力保护补贴、种粮补</w:t>
      </w:r>
      <w:r>
        <w:rPr>
          <w:rFonts w:hint="eastAsia"/>
          <w:lang w:eastAsia="zh-CN"/>
        </w:rPr>
        <w:t>贴</w:t>
      </w:r>
      <w:r>
        <w:t>、棉花补贴等各项惠农政策精准落实到户，不错一人；不断加强农田水利、基础设施建设，改善农民生产生活环境；优化便民服务流程，通过“一站式”服务、办事代理制等多种形式，努力实现群众小事不出门，大事不出乡。</w:t>
      </w:r>
    </w:p>
    <w:p>
      <w:pPr>
        <w:pStyle w:val="28"/>
      </w:pPr>
      <w:r>
        <w:t>3、加强社会管理、维护农村稳定：全力抓好农村环境卫生整治、大气污染防治、卫片执法等工作，促进农村经济社会的健康、和谐、可持续发展；加强社会治安综合治理，抓细扫黑除恶工作，消除社会不稳定因素，确保人民群众生命财产安全。</w:t>
      </w:r>
    </w:p>
    <w:p>
      <w:pPr>
        <w:pStyle w:val="28"/>
      </w:pPr>
      <w:r>
        <w:t>4、推进基层民主、促进农村和谐：全力加大对党员干部的学习教育培训力度，特别是新任村“两委”干部，提升党员干部履职尽责能力和综合素质。健全完善村务公开制度，切规范民主决策机制，实维护农民合法权益。</w:t>
      </w:r>
    </w:p>
    <w:p>
      <w:pPr>
        <w:pStyle w:val="28"/>
      </w:pPr>
      <w:r>
        <w:t>5、改善生态环境、提升乡风文明</w:t>
      </w:r>
    </w:p>
    <w:p>
      <w:pPr>
        <w:pStyle w:val="28"/>
      </w:pPr>
      <w:r>
        <w:t>围绕“产业兴旺、生态宜居、乡风文明、治理有效、生活富裕”的目标，推进农村人居环境整治行动，做好垃圾整理，污水处理，村容村貌提升等工作，使农村变得更加生态，更加宜居，村民素质明显提升，村风民俗文明进步，让乡村迸发勃勃生机。</w:t>
      </w: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 w:name="_Toc_3_3_0000000015"/>
      <w:r>
        <w:rPr>
          <w:rFonts w:hint="eastAsia" w:ascii="黑体" w:hAnsi="黑体" w:eastAsia="黑体" w:cs="黑体"/>
          <w:color w:val="000000"/>
          <w:sz w:val="32"/>
          <w:lang w:val="en-US" w:eastAsia="zh-CN"/>
        </w:rPr>
        <w:t>单位</w:t>
      </w:r>
      <w:r>
        <w:rPr>
          <w:rFonts w:ascii="黑体" w:hAnsi="黑体" w:eastAsia="黑体" w:cs="黑体"/>
          <w:color w:val="000000"/>
          <w:sz w:val="32"/>
        </w:rPr>
        <w:t>主管专项资金预算安排情况及绩效目标</w:t>
      </w:r>
      <w:bookmarkEnd w:id="1"/>
    </w:p>
    <w:p>
      <w:pPr>
        <w:pStyle w:val="28"/>
        <w:rPr>
          <w:sz w:val="28"/>
          <w:szCs w:val="24"/>
        </w:rPr>
      </w:pPr>
      <w:r>
        <w:rPr>
          <w:rFonts w:hint="eastAsia"/>
          <w:sz w:val="28"/>
          <w:szCs w:val="24"/>
        </w:rPr>
        <w:t>我</w:t>
      </w:r>
      <w:r>
        <w:rPr>
          <w:rFonts w:hint="eastAsia"/>
          <w:sz w:val="28"/>
          <w:szCs w:val="24"/>
          <w:lang w:val="en-US" w:eastAsia="zh-CN"/>
        </w:rPr>
        <w:t>单位</w:t>
      </w:r>
      <w:r>
        <w:rPr>
          <w:rFonts w:hint="eastAsia"/>
          <w:sz w:val="28"/>
          <w:szCs w:val="24"/>
        </w:rPr>
        <w:t>无主管的专项资金预算</w:t>
      </w:r>
    </w:p>
    <w:p>
      <w:pPr>
        <w:pStyle w:val="28"/>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13042426P000005100022</w:t>
            </w:r>
          </w:p>
        </w:tc>
        <w:tc>
          <w:tcPr>
            <w:tcW w:w="2835" w:type="dxa"/>
            <w:vAlign w:val="center"/>
          </w:tcPr>
          <w:p>
            <w:pPr>
              <w:pStyle w:val="10"/>
            </w:pPr>
            <w:r>
              <w:t>项目名称</w:t>
            </w:r>
          </w:p>
        </w:tc>
        <w:tc>
          <w:tcPr>
            <w:tcW w:w="6095" w:type="dxa"/>
            <w:gridSpan w:val="3"/>
            <w:vAlign w:val="center"/>
          </w:tcPr>
          <w:p>
            <w:pPr>
              <w:pStyle w:val="12"/>
            </w:pPr>
            <w:r>
              <w:t>2026年差补人员工资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资金用于差补工资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1.保障职工福利待遇，激励职工工作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本单位享有补助的职工数量</w:t>
            </w:r>
          </w:p>
        </w:tc>
        <w:tc>
          <w:tcPr>
            <w:tcW w:w="5386" w:type="dxa"/>
            <w:vAlign w:val="center"/>
          </w:tcPr>
          <w:p>
            <w:pPr>
              <w:pStyle w:val="12"/>
            </w:pPr>
            <w:r>
              <w:t>本单位享有补助的职工数量</w:t>
            </w:r>
          </w:p>
        </w:tc>
        <w:tc>
          <w:tcPr>
            <w:tcW w:w="2268" w:type="dxa"/>
            <w:vAlign w:val="center"/>
          </w:tcPr>
          <w:p>
            <w:pPr>
              <w:pStyle w:val="12"/>
            </w:pPr>
            <w:r>
              <w:t>6人</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差补工资发放率</w:t>
            </w:r>
          </w:p>
        </w:tc>
        <w:tc>
          <w:tcPr>
            <w:tcW w:w="5386" w:type="dxa"/>
            <w:vAlign w:val="center"/>
          </w:tcPr>
          <w:p>
            <w:pPr>
              <w:pStyle w:val="12"/>
            </w:pPr>
            <w:r>
              <w:t>差补工资发放率</w:t>
            </w:r>
          </w:p>
        </w:tc>
        <w:tc>
          <w:tcPr>
            <w:tcW w:w="2268" w:type="dxa"/>
            <w:vAlign w:val="center"/>
          </w:tcPr>
          <w:p>
            <w:pPr>
              <w:pStyle w:val="12"/>
            </w:pPr>
            <w:r>
              <w:t>100百分比</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该项资金使用期限</w:t>
            </w:r>
          </w:p>
        </w:tc>
        <w:tc>
          <w:tcPr>
            <w:tcW w:w="5386" w:type="dxa"/>
            <w:vAlign w:val="center"/>
          </w:tcPr>
          <w:p>
            <w:pPr>
              <w:pStyle w:val="12"/>
            </w:pPr>
            <w:r>
              <w:t>该项资金使用期限</w:t>
            </w:r>
          </w:p>
        </w:tc>
        <w:tc>
          <w:tcPr>
            <w:tcW w:w="2268" w:type="dxa"/>
            <w:vAlign w:val="center"/>
          </w:tcPr>
          <w:p>
            <w:pPr>
              <w:pStyle w:val="12"/>
            </w:pPr>
            <w:r>
              <w:t>≤12月</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平均每名职工享有的补助金额</w:t>
            </w:r>
          </w:p>
        </w:tc>
        <w:tc>
          <w:tcPr>
            <w:tcW w:w="5386" w:type="dxa"/>
            <w:vAlign w:val="center"/>
          </w:tcPr>
          <w:p>
            <w:pPr>
              <w:pStyle w:val="12"/>
            </w:pPr>
            <w:r>
              <w:t>平均每名职工享有的补助金额</w:t>
            </w:r>
          </w:p>
        </w:tc>
        <w:tc>
          <w:tcPr>
            <w:tcW w:w="2268" w:type="dxa"/>
            <w:vAlign w:val="center"/>
          </w:tcPr>
          <w:p>
            <w:pPr>
              <w:pStyle w:val="12"/>
            </w:pPr>
            <w:r>
              <w:t>0.6万元</w:t>
            </w:r>
          </w:p>
        </w:tc>
        <w:tc>
          <w:tcPr>
            <w:tcW w:w="1276" w:type="dxa"/>
            <w:vAlign w:val="center"/>
          </w:tcPr>
          <w:p>
            <w:pPr>
              <w:pStyle w:val="12"/>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提高职工的收入水平，增加幸福感</w:t>
            </w:r>
          </w:p>
        </w:tc>
        <w:tc>
          <w:tcPr>
            <w:tcW w:w="5386" w:type="dxa"/>
            <w:vAlign w:val="center"/>
          </w:tcPr>
          <w:p>
            <w:pPr>
              <w:pStyle w:val="12"/>
            </w:pPr>
            <w:r>
              <w:t>提高职工的收入水平，增加幸福感</w:t>
            </w:r>
          </w:p>
        </w:tc>
        <w:tc>
          <w:tcPr>
            <w:tcW w:w="2268" w:type="dxa"/>
            <w:vAlign w:val="center"/>
          </w:tcPr>
          <w:p>
            <w:pPr>
              <w:pStyle w:val="12"/>
            </w:pPr>
            <w:r>
              <w:t>得到提高</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激励职工努力工作，更好地服务基层</w:t>
            </w:r>
          </w:p>
        </w:tc>
        <w:tc>
          <w:tcPr>
            <w:tcW w:w="5386" w:type="dxa"/>
            <w:vAlign w:val="center"/>
          </w:tcPr>
          <w:p>
            <w:pPr>
              <w:pStyle w:val="12"/>
            </w:pPr>
            <w:r>
              <w:t>激励职工努力工作，更好地服务基层</w:t>
            </w:r>
          </w:p>
        </w:tc>
        <w:tc>
          <w:tcPr>
            <w:tcW w:w="2268" w:type="dxa"/>
            <w:vAlign w:val="center"/>
          </w:tcPr>
          <w:p>
            <w:pPr>
              <w:pStyle w:val="12"/>
            </w:pPr>
            <w:r>
              <w:t>得到激励</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享有补助人员的满意度</w:t>
            </w:r>
          </w:p>
        </w:tc>
        <w:tc>
          <w:tcPr>
            <w:tcW w:w="5386" w:type="dxa"/>
            <w:vAlign w:val="center"/>
          </w:tcPr>
          <w:p>
            <w:pPr>
              <w:pStyle w:val="12"/>
            </w:pPr>
            <w:r>
              <w:t>享有补助人员的满意度</w:t>
            </w:r>
          </w:p>
        </w:tc>
        <w:tc>
          <w:tcPr>
            <w:tcW w:w="2268" w:type="dxa"/>
            <w:vAlign w:val="center"/>
          </w:tcPr>
          <w:p>
            <w:pPr>
              <w:pStyle w:val="12"/>
            </w:pPr>
            <w:r>
              <w:t>≥99百分比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13042426P00003310016N</w:t>
            </w:r>
          </w:p>
        </w:tc>
        <w:tc>
          <w:tcPr>
            <w:tcW w:w="2835" w:type="dxa"/>
            <w:vAlign w:val="center"/>
          </w:tcPr>
          <w:p>
            <w:pPr>
              <w:pStyle w:val="10"/>
            </w:pPr>
            <w:r>
              <w:t>项目名称</w:t>
            </w:r>
          </w:p>
        </w:tc>
        <w:tc>
          <w:tcPr>
            <w:tcW w:w="6095" w:type="dxa"/>
            <w:gridSpan w:val="3"/>
            <w:vAlign w:val="center"/>
          </w:tcPr>
          <w:p>
            <w:pPr>
              <w:pStyle w:val="12"/>
            </w:pPr>
            <w:r>
              <w:t>2026年村级组织办公经费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资金用于村级办公支出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11.25</w:t>
            </w:r>
          </w:p>
        </w:tc>
        <w:tc>
          <w:tcPr>
            <w:tcW w:w="2835" w:type="dxa"/>
            <w:vAlign w:val="center"/>
          </w:tcPr>
          <w:p>
            <w:pPr>
              <w:pStyle w:val="13"/>
            </w:pPr>
            <w:r>
              <w:t>22.50</w:t>
            </w:r>
          </w:p>
        </w:tc>
        <w:tc>
          <w:tcPr>
            <w:tcW w:w="2551" w:type="dxa"/>
            <w:vAlign w:val="center"/>
          </w:tcPr>
          <w:p>
            <w:pPr>
              <w:pStyle w:val="13"/>
            </w:pPr>
            <w:r>
              <w:t>33.75</w:t>
            </w:r>
          </w:p>
        </w:tc>
        <w:tc>
          <w:tcPr>
            <w:tcW w:w="3544" w:type="dxa"/>
            <w:gridSpan w:val="2"/>
            <w:vAlign w:val="center"/>
          </w:tcPr>
          <w:p>
            <w:pPr>
              <w:pStyle w:val="13"/>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1.保障村级日常办公，提高村级办事效率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使用村级转移支付的村数量</w:t>
            </w:r>
          </w:p>
        </w:tc>
        <w:tc>
          <w:tcPr>
            <w:tcW w:w="5386" w:type="dxa"/>
            <w:vAlign w:val="center"/>
          </w:tcPr>
          <w:p>
            <w:pPr>
              <w:pStyle w:val="12"/>
            </w:pPr>
            <w:r>
              <w:t>使用村级转移支付的村数量</w:t>
            </w:r>
          </w:p>
        </w:tc>
        <w:tc>
          <w:tcPr>
            <w:tcW w:w="2268" w:type="dxa"/>
            <w:vAlign w:val="center"/>
          </w:tcPr>
          <w:p>
            <w:pPr>
              <w:pStyle w:val="12"/>
            </w:pPr>
            <w:r>
              <w:t>25个</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资金使用规范率</w:t>
            </w:r>
          </w:p>
        </w:tc>
        <w:tc>
          <w:tcPr>
            <w:tcW w:w="5386" w:type="dxa"/>
            <w:vAlign w:val="center"/>
          </w:tcPr>
          <w:p>
            <w:pPr>
              <w:pStyle w:val="12"/>
            </w:pPr>
            <w:r>
              <w:t>资金使用规范率</w:t>
            </w:r>
          </w:p>
        </w:tc>
        <w:tc>
          <w:tcPr>
            <w:tcW w:w="2268" w:type="dxa"/>
            <w:vAlign w:val="center"/>
          </w:tcPr>
          <w:p>
            <w:pPr>
              <w:pStyle w:val="12"/>
            </w:pPr>
            <w:r>
              <w:t>≥99百分比</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资金保障期限</w:t>
            </w:r>
          </w:p>
        </w:tc>
        <w:tc>
          <w:tcPr>
            <w:tcW w:w="5386" w:type="dxa"/>
            <w:vAlign w:val="center"/>
          </w:tcPr>
          <w:p>
            <w:pPr>
              <w:pStyle w:val="12"/>
            </w:pPr>
            <w:r>
              <w:t>资金保障期限</w:t>
            </w:r>
          </w:p>
        </w:tc>
        <w:tc>
          <w:tcPr>
            <w:tcW w:w="2268" w:type="dxa"/>
            <w:vAlign w:val="center"/>
          </w:tcPr>
          <w:p>
            <w:pPr>
              <w:pStyle w:val="12"/>
            </w:pPr>
            <w:r>
              <w:t>≤1年</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每村每年拨款标准</w:t>
            </w:r>
          </w:p>
        </w:tc>
        <w:tc>
          <w:tcPr>
            <w:tcW w:w="5386" w:type="dxa"/>
            <w:vAlign w:val="center"/>
          </w:tcPr>
          <w:p>
            <w:pPr>
              <w:pStyle w:val="12"/>
            </w:pPr>
            <w:r>
              <w:t>每村每年拨款标准</w:t>
            </w:r>
          </w:p>
        </w:tc>
        <w:tc>
          <w:tcPr>
            <w:tcW w:w="2268" w:type="dxa"/>
            <w:vAlign w:val="center"/>
          </w:tcPr>
          <w:p>
            <w:pPr>
              <w:pStyle w:val="12"/>
            </w:pPr>
            <w:r>
              <w:t>≥10000元/村/年</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保障村级日常办公</w:t>
            </w:r>
          </w:p>
        </w:tc>
        <w:tc>
          <w:tcPr>
            <w:tcW w:w="5386" w:type="dxa"/>
            <w:vAlign w:val="center"/>
          </w:tcPr>
          <w:p>
            <w:pPr>
              <w:pStyle w:val="12"/>
            </w:pPr>
            <w:r>
              <w:t>保障村级日常办公</w:t>
            </w:r>
          </w:p>
        </w:tc>
        <w:tc>
          <w:tcPr>
            <w:tcW w:w="2268" w:type="dxa"/>
            <w:vAlign w:val="center"/>
          </w:tcPr>
          <w:p>
            <w:pPr>
              <w:pStyle w:val="12"/>
            </w:pPr>
            <w:r>
              <w:t>得到保障</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提高村级办事效率</w:t>
            </w:r>
          </w:p>
        </w:tc>
        <w:tc>
          <w:tcPr>
            <w:tcW w:w="5386" w:type="dxa"/>
            <w:vAlign w:val="center"/>
          </w:tcPr>
          <w:p>
            <w:pPr>
              <w:pStyle w:val="12"/>
            </w:pPr>
            <w:r>
              <w:t>提高村级办事效率</w:t>
            </w:r>
          </w:p>
        </w:tc>
        <w:tc>
          <w:tcPr>
            <w:tcW w:w="2268" w:type="dxa"/>
            <w:vAlign w:val="center"/>
          </w:tcPr>
          <w:p>
            <w:pPr>
              <w:pStyle w:val="12"/>
            </w:pPr>
            <w:r>
              <w:t>得到提高</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3、2026年党委值班值守视频系统服务费绩效目标表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13042426P00002810021M</w:t>
            </w:r>
          </w:p>
        </w:tc>
        <w:tc>
          <w:tcPr>
            <w:tcW w:w="2835" w:type="dxa"/>
            <w:vAlign w:val="center"/>
          </w:tcPr>
          <w:p>
            <w:pPr>
              <w:pStyle w:val="10"/>
            </w:pPr>
            <w:r>
              <w:t>项目名称</w:t>
            </w:r>
          </w:p>
        </w:tc>
        <w:tc>
          <w:tcPr>
            <w:tcW w:w="6095" w:type="dxa"/>
            <w:gridSpan w:val="3"/>
            <w:vAlign w:val="center"/>
          </w:tcPr>
          <w:p>
            <w:pPr>
              <w:pStyle w:val="12"/>
            </w:pPr>
            <w:r>
              <w:t>2026年党委值班值守视频系统服务费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资金全部用于系统缴费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1.提高应急值守指挥调度能力和水平，提高应急事件响应处置效率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值守系统缴费数量</w:t>
            </w:r>
          </w:p>
        </w:tc>
        <w:tc>
          <w:tcPr>
            <w:tcW w:w="5386" w:type="dxa"/>
            <w:vAlign w:val="center"/>
          </w:tcPr>
          <w:p>
            <w:pPr>
              <w:pStyle w:val="12"/>
            </w:pPr>
            <w:r>
              <w:t>值守系统缴费数量</w:t>
            </w:r>
          </w:p>
        </w:tc>
        <w:tc>
          <w:tcPr>
            <w:tcW w:w="2268" w:type="dxa"/>
            <w:vAlign w:val="center"/>
          </w:tcPr>
          <w:p>
            <w:pPr>
              <w:pStyle w:val="12"/>
            </w:pPr>
            <w:r>
              <w:t>1套</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系统设备畅通率</w:t>
            </w:r>
          </w:p>
        </w:tc>
        <w:tc>
          <w:tcPr>
            <w:tcW w:w="5386" w:type="dxa"/>
            <w:vAlign w:val="center"/>
          </w:tcPr>
          <w:p>
            <w:pPr>
              <w:pStyle w:val="12"/>
            </w:pPr>
            <w:r>
              <w:t>系统设备畅通率</w:t>
            </w:r>
          </w:p>
        </w:tc>
        <w:tc>
          <w:tcPr>
            <w:tcW w:w="2268" w:type="dxa"/>
            <w:vAlign w:val="center"/>
          </w:tcPr>
          <w:p>
            <w:pPr>
              <w:pStyle w:val="12"/>
            </w:pPr>
            <w:r>
              <w:t>≥98百分比</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系统缴费使用期限</w:t>
            </w:r>
          </w:p>
        </w:tc>
        <w:tc>
          <w:tcPr>
            <w:tcW w:w="5386" w:type="dxa"/>
            <w:vAlign w:val="center"/>
          </w:tcPr>
          <w:p>
            <w:pPr>
              <w:pStyle w:val="12"/>
            </w:pPr>
            <w:r>
              <w:t>系统缴费使用期限</w:t>
            </w:r>
          </w:p>
        </w:tc>
        <w:tc>
          <w:tcPr>
            <w:tcW w:w="2268" w:type="dxa"/>
            <w:vAlign w:val="center"/>
          </w:tcPr>
          <w:p>
            <w:pPr>
              <w:pStyle w:val="12"/>
            </w:pPr>
            <w:r>
              <w:t>1年</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每年信息技术服务费成本</w:t>
            </w:r>
          </w:p>
        </w:tc>
        <w:tc>
          <w:tcPr>
            <w:tcW w:w="5386" w:type="dxa"/>
            <w:vAlign w:val="center"/>
          </w:tcPr>
          <w:p>
            <w:pPr>
              <w:pStyle w:val="12"/>
            </w:pPr>
            <w:r>
              <w:t>每年信息技术服务费成本</w:t>
            </w:r>
          </w:p>
        </w:tc>
        <w:tc>
          <w:tcPr>
            <w:tcW w:w="2268" w:type="dxa"/>
            <w:vAlign w:val="center"/>
          </w:tcPr>
          <w:p>
            <w:pPr>
              <w:pStyle w:val="12"/>
            </w:pPr>
            <w:r>
              <w:t>≤5万元</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提高应急值守指挥调度能力和水平</w:t>
            </w:r>
          </w:p>
        </w:tc>
        <w:tc>
          <w:tcPr>
            <w:tcW w:w="5386" w:type="dxa"/>
            <w:vAlign w:val="center"/>
          </w:tcPr>
          <w:p>
            <w:pPr>
              <w:pStyle w:val="12"/>
            </w:pPr>
            <w:r>
              <w:t>提高应急值守指挥调度能力和水平</w:t>
            </w:r>
          </w:p>
        </w:tc>
        <w:tc>
          <w:tcPr>
            <w:tcW w:w="2268" w:type="dxa"/>
            <w:vAlign w:val="center"/>
          </w:tcPr>
          <w:p>
            <w:pPr>
              <w:pStyle w:val="12"/>
            </w:pPr>
            <w:r>
              <w:t>有所提高</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提高应急事件响应处置效率</w:t>
            </w:r>
          </w:p>
        </w:tc>
        <w:tc>
          <w:tcPr>
            <w:tcW w:w="5386" w:type="dxa"/>
            <w:vAlign w:val="center"/>
          </w:tcPr>
          <w:p>
            <w:pPr>
              <w:pStyle w:val="12"/>
            </w:pPr>
            <w:r>
              <w:t>提高应急事件响应处置效率</w:t>
            </w:r>
          </w:p>
        </w:tc>
        <w:tc>
          <w:tcPr>
            <w:tcW w:w="2268" w:type="dxa"/>
            <w:vAlign w:val="center"/>
          </w:tcPr>
          <w:p>
            <w:pPr>
              <w:pStyle w:val="12"/>
            </w:pPr>
            <w:r>
              <w:t>有所提高</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4、2026年禁烧禁燃经费绩效目标表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13042426P00003410010N</w:t>
            </w:r>
          </w:p>
        </w:tc>
        <w:tc>
          <w:tcPr>
            <w:tcW w:w="2835" w:type="dxa"/>
            <w:vAlign w:val="center"/>
          </w:tcPr>
          <w:p>
            <w:pPr>
              <w:pStyle w:val="10"/>
            </w:pPr>
            <w:r>
              <w:t>项目名称</w:t>
            </w:r>
          </w:p>
        </w:tc>
        <w:tc>
          <w:tcPr>
            <w:tcW w:w="6095" w:type="dxa"/>
            <w:gridSpan w:val="3"/>
            <w:vAlign w:val="center"/>
          </w:tcPr>
          <w:p>
            <w:pPr>
              <w:pStyle w:val="12"/>
            </w:pPr>
            <w:r>
              <w:t>2026年禁烧禁燃经费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资金用于禁烧禁燃相关支出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1.有效遏制大气污染案件发生，有效提升空气环境质量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大气污染案件和隐患处置数量</w:t>
            </w:r>
          </w:p>
        </w:tc>
        <w:tc>
          <w:tcPr>
            <w:tcW w:w="5386" w:type="dxa"/>
            <w:vAlign w:val="center"/>
          </w:tcPr>
          <w:p>
            <w:pPr>
              <w:pStyle w:val="12"/>
            </w:pPr>
            <w:r>
              <w:t>大气污染案件和隐患处置数量</w:t>
            </w:r>
          </w:p>
        </w:tc>
        <w:tc>
          <w:tcPr>
            <w:tcW w:w="2268" w:type="dxa"/>
            <w:vAlign w:val="center"/>
          </w:tcPr>
          <w:p>
            <w:pPr>
              <w:pStyle w:val="12"/>
            </w:pPr>
            <w:r>
              <w:t>≥5件</w:t>
            </w:r>
          </w:p>
        </w:tc>
        <w:tc>
          <w:tcPr>
            <w:tcW w:w="1276" w:type="dxa"/>
            <w:vAlign w:val="center"/>
          </w:tcPr>
          <w:p>
            <w:pPr>
              <w:pStyle w:val="12"/>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大气污染案件发现处置率</w:t>
            </w:r>
          </w:p>
        </w:tc>
        <w:tc>
          <w:tcPr>
            <w:tcW w:w="5386" w:type="dxa"/>
            <w:vAlign w:val="center"/>
          </w:tcPr>
          <w:p>
            <w:pPr>
              <w:pStyle w:val="12"/>
            </w:pPr>
            <w:r>
              <w:t>大气污染案件发现处置率</w:t>
            </w:r>
          </w:p>
        </w:tc>
        <w:tc>
          <w:tcPr>
            <w:tcW w:w="2268" w:type="dxa"/>
            <w:vAlign w:val="center"/>
          </w:tcPr>
          <w:p>
            <w:pPr>
              <w:pStyle w:val="12"/>
            </w:pPr>
            <w:r>
              <w:t>≥95百分比</w:t>
            </w:r>
          </w:p>
        </w:tc>
        <w:tc>
          <w:tcPr>
            <w:tcW w:w="1276" w:type="dxa"/>
            <w:vAlign w:val="center"/>
          </w:tcPr>
          <w:p>
            <w:pPr>
              <w:pStyle w:val="12"/>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突发大气污染事件处置时限</w:t>
            </w:r>
          </w:p>
        </w:tc>
        <w:tc>
          <w:tcPr>
            <w:tcW w:w="5386" w:type="dxa"/>
            <w:vAlign w:val="center"/>
          </w:tcPr>
          <w:p>
            <w:pPr>
              <w:pStyle w:val="12"/>
            </w:pPr>
            <w:r>
              <w:t>突发大气污染事件处置时限</w:t>
            </w:r>
          </w:p>
        </w:tc>
        <w:tc>
          <w:tcPr>
            <w:tcW w:w="2268" w:type="dxa"/>
            <w:vAlign w:val="center"/>
          </w:tcPr>
          <w:p>
            <w:pPr>
              <w:pStyle w:val="12"/>
            </w:pPr>
            <w:r>
              <w:t>≤2小时</w:t>
            </w:r>
          </w:p>
        </w:tc>
        <w:tc>
          <w:tcPr>
            <w:tcW w:w="1276" w:type="dxa"/>
            <w:vAlign w:val="center"/>
          </w:tcPr>
          <w:p>
            <w:pPr>
              <w:pStyle w:val="12"/>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租用运输车辆成本</w:t>
            </w:r>
          </w:p>
        </w:tc>
        <w:tc>
          <w:tcPr>
            <w:tcW w:w="5386" w:type="dxa"/>
            <w:vAlign w:val="center"/>
          </w:tcPr>
          <w:p>
            <w:pPr>
              <w:pStyle w:val="12"/>
            </w:pPr>
            <w:r>
              <w:t>租用运输车辆成本</w:t>
            </w:r>
          </w:p>
        </w:tc>
        <w:tc>
          <w:tcPr>
            <w:tcW w:w="2268" w:type="dxa"/>
            <w:vAlign w:val="center"/>
          </w:tcPr>
          <w:p>
            <w:pPr>
              <w:pStyle w:val="12"/>
            </w:pPr>
            <w:r>
              <w:t>≤300元</w:t>
            </w:r>
          </w:p>
        </w:tc>
        <w:tc>
          <w:tcPr>
            <w:tcW w:w="1276" w:type="dxa"/>
            <w:vAlign w:val="center"/>
          </w:tcPr>
          <w:p>
            <w:pPr>
              <w:pStyle w:val="12"/>
            </w:pPr>
            <w:r>
              <w:t>环保资料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有效遏制大气污染事件发生</w:t>
            </w:r>
          </w:p>
        </w:tc>
        <w:tc>
          <w:tcPr>
            <w:tcW w:w="5386" w:type="dxa"/>
            <w:vAlign w:val="center"/>
          </w:tcPr>
          <w:p>
            <w:pPr>
              <w:pStyle w:val="12"/>
            </w:pPr>
            <w:r>
              <w:t>有效遏制大气污染事件发生</w:t>
            </w:r>
          </w:p>
        </w:tc>
        <w:tc>
          <w:tcPr>
            <w:tcW w:w="2268" w:type="dxa"/>
            <w:vAlign w:val="center"/>
          </w:tcPr>
          <w:p>
            <w:pPr>
              <w:pStyle w:val="12"/>
            </w:pPr>
            <w:r>
              <w:t>有效遏制</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保障持续改善空气环境质量</w:t>
            </w:r>
          </w:p>
        </w:tc>
        <w:tc>
          <w:tcPr>
            <w:tcW w:w="5386" w:type="dxa"/>
            <w:vAlign w:val="center"/>
          </w:tcPr>
          <w:p>
            <w:pPr>
              <w:pStyle w:val="12"/>
            </w:pPr>
            <w:r>
              <w:t>保障持续改善空气环境质量</w:t>
            </w:r>
          </w:p>
        </w:tc>
        <w:tc>
          <w:tcPr>
            <w:tcW w:w="2268" w:type="dxa"/>
            <w:vAlign w:val="center"/>
          </w:tcPr>
          <w:p>
            <w:pPr>
              <w:pStyle w:val="12"/>
            </w:pPr>
            <w:r>
              <w:t>得到保障</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调查中满意和较满意的群众人数占全部调查人数的比率</w:t>
            </w:r>
          </w:p>
        </w:tc>
        <w:tc>
          <w:tcPr>
            <w:tcW w:w="2268" w:type="dxa"/>
            <w:vAlign w:val="center"/>
          </w:tcPr>
          <w:p>
            <w:pPr>
              <w:pStyle w:val="12"/>
            </w:pPr>
            <w:r>
              <w:t>≥96百分比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5、2026年乡镇转移支付绩效目标表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13042426P000032100161</w:t>
            </w:r>
          </w:p>
        </w:tc>
        <w:tc>
          <w:tcPr>
            <w:tcW w:w="2835" w:type="dxa"/>
            <w:vAlign w:val="center"/>
          </w:tcPr>
          <w:p>
            <w:pPr>
              <w:pStyle w:val="10"/>
            </w:pPr>
            <w:r>
              <w:t>项目名称</w:t>
            </w:r>
          </w:p>
        </w:tc>
        <w:tc>
          <w:tcPr>
            <w:tcW w:w="6095" w:type="dxa"/>
            <w:gridSpan w:val="3"/>
            <w:vAlign w:val="center"/>
          </w:tcPr>
          <w:p>
            <w:pPr>
              <w:pStyle w:val="12"/>
            </w:pPr>
            <w:r>
              <w:t>2026年乡镇转移支付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130.81</w:t>
            </w:r>
          </w:p>
        </w:tc>
        <w:tc>
          <w:tcPr>
            <w:tcW w:w="2835" w:type="dxa"/>
            <w:vAlign w:val="center"/>
          </w:tcPr>
          <w:p>
            <w:pPr>
              <w:pStyle w:val="10"/>
            </w:pPr>
            <w:r>
              <w:t>其中：财政    资金</w:t>
            </w:r>
          </w:p>
        </w:tc>
        <w:tc>
          <w:tcPr>
            <w:tcW w:w="2551" w:type="dxa"/>
            <w:vAlign w:val="center"/>
          </w:tcPr>
          <w:p>
            <w:pPr>
              <w:pStyle w:val="12"/>
            </w:pPr>
            <w:r>
              <w:t>130.81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资金用于乡机关运转相关支出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32.00</w:t>
            </w:r>
          </w:p>
        </w:tc>
        <w:tc>
          <w:tcPr>
            <w:tcW w:w="2835" w:type="dxa"/>
            <w:vAlign w:val="center"/>
          </w:tcPr>
          <w:p>
            <w:pPr>
              <w:pStyle w:val="13"/>
            </w:pPr>
            <w:r>
              <w:t>65.00</w:t>
            </w:r>
          </w:p>
        </w:tc>
        <w:tc>
          <w:tcPr>
            <w:tcW w:w="2551" w:type="dxa"/>
            <w:vAlign w:val="center"/>
          </w:tcPr>
          <w:p>
            <w:pPr>
              <w:pStyle w:val="13"/>
            </w:pPr>
            <w:r>
              <w:t>98.00</w:t>
            </w:r>
          </w:p>
        </w:tc>
        <w:tc>
          <w:tcPr>
            <w:tcW w:w="3544" w:type="dxa"/>
            <w:gridSpan w:val="2"/>
            <w:vAlign w:val="center"/>
          </w:tcPr>
          <w:p>
            <w:pPr>
              <w:pStyle w:val="13"/>
            </w:pPr>
            <w:r>
              <w:t>130.81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1.保障职工工资待遇，保障机关工作正常运转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发放自筹人员工资的人数</w:t>
            </w:r>
          </w:p>
        </w:tc>
        <w:tc>
          <w:tcPr>
            <w:tcW w:w="5386" w:type="dxa"/>
            <w:vAlign w:val="center"/>
          </w:tcPr>
          <w:p>
            <w:pPr>
              <w:pStyle w:val="12"/>
            </w:pPr>
            <w:r>
              <w:t>发放自筹人员工资的人数</w:t>
            </w:r>
          </w:p>
        </w:tc>
        <w:tc>
          <w:tcPr>
            <w:tcW w:w="2268" w:type="dxa"/>
            <w:vAlign w:val="center"/>
          </w:tcPr>
          <w:p>
            <w:pPr>
              <w:pStyle w:val="12"/>
            </w:pPr>
            <w:r>
              <w:t>≥28人</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资金使用规范率</w:t>
            </w:r>
          </w:p>
        </w:tc>
        <w:tc>
          <w:tcPr>
            <w:tcW w:w="5386" w:type="dxa"/>
            <w:vAlign w:val="center"/>
          </w:tcPr>
          <w:p>
            <w:pPr>
              <w:pStyle w:val="12"/>
            </w:pPr>
            <w:r>
              <w:t>资金使用规范率</w:t>
            </w:r>
          </w:p>
        </w:tc>
        <w:tc>
          <w:tcPr>
            <w:tcW w:w="2268" w:type="dxa"/>
            <w:vAlign w:val="center"/>
          </w:tcPr>
          <w:p>
            <w:pPr>
              <w:pStyle w:val="12"/>
            </w:pPr>
            <w:r>
              <w:t>≥98百分比</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资金保障期限</w:t>
            </w:r>
          </w:p>
        </w:tc>
        <w:tc>
          <w:tcPr>
            <w:tcW w:w="5386" w:type="dxa"/>
            <w:vAlign w:val="center"/>
          </w:tcPr>
          <w:p>
            <w:pPr>
              <w:pStyle w:val="12"/>
            </w:pPr>
            <w:r>
              <w:t>资金保障期限</w:t>
            </w:r>
          </w:p>
        </w:tc>
        <w:tc>
          <w:tcPr>
            <w:tcW w:w="2268" w:type="dxa"/>
            <w:vAlign w:val="center"/>
          </w:tcPr>
          <w:p>
            <w:pPr>
              <w:pStyle w:val="12"/>
            </w:pPr>
            <w:r>
              <w:t>1年度</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自筹人员每人每月工资</w:t>
            </w:r>
          </w:p>
        </w:tc>
        <w:tc>
          <w:tcPr>
            <w:tcW w:w="5386" w:type="dxa"/>
            <w:vAlign w:val="center"/>
          </w:tcPr>
          <w:p>
            <w:pPr>
              <w:pStyle w:val="12"/>
            </w:pPr>
            <w:r>
              <w:t>自筹人员每人每月工资</w:t>
            </w:r>
          </w:p>
        </w:tc>
        <w:tc>
          <w:tcPr>
            <w:tcW w:w="2268" w:type="dxa"/>
            <w:vAlign w:val="center"/>
          </w:tcPr>
          <w:p>
            <w:pPr>
              <w:pStyle w:val="12"/>
            </w:pPr>
            <w:r>
              <w:t>≥1800元</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保障职工工资待遇</w:t>
            </w:r>
          </w:p>
        </w:tc>
        <w:tc>
          <w:tcPr>
            <w:tcW w:w="5386" w:type="dxa"/>
            <w:vAlign w:val="center"/>
          </w:tcPr>
          <w:p>
            <w:pPr>
              <w:pStyle w:val="12"/>
            </w:pPr>
            <w:r>
              <w:t>保障职工工资待遇</w:t>
            </w:r>
          </w:p>
        </w:tc>
        <w:tc>
          <w:tcPr>
            <w:tcW w:w="2268" w:type="dxa"/>
            <w:vAlign w:val="center"/>
          </w:tcPr>
          <w:p>
            <w:pPr>
              <w:pStyle w:val="12"/>
            </w:pPr>
            <w:r>
              <w:t>得到保障</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保障机关工作正常运转</w:t>
            </w:r>
          </w:p>
        </w:tc>
        <w:tc>
          <w:tcPr>
            <w:tcW w:w="5386" w:type="dxa"/>
            <w:vAlign w:val="center"/>
          </w:tcPr>
          <w:p>
            <w:pPr>
              <w:pStyle w:val="12"/>
            </w:pPr>
            <w:r>
              <w:t>保障机关工作正常运转</w:t>
            </w:r>
          </w:p>
        </w:tc>
        <w:tc>
          <w:tcPr>
            <w:tcW w:w="2268" w:type="dxa"/>
            <w:vAlign w:val="center"/>
          </w:tcPr>
          <w:p>
            <w:pPr>
              <w:pStyle w:val="12"/>
            </w:pPr>
            <w:r>
              <w:t>得到保障</w:t>
            </w:r>
          </w:p>
        </w:tc>
        <w:tc>
          <w:tcPr>
            <w:tcW w:w="1276" w:type="dxa"/>
            <w:vAlign w:val="center"/>
          </w:tcPr>
          <w:p>
            <w:pPr>
              <w:pStyle w:val="12"/>
            </w:pPr>
            <w:r>
              <w:t>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13042426P00003510008D</w:t>
            </w:r>
          </w:p>
        </w:tc>
        <w:tc>
          <w:tcPr>
            <w:tcW w:w="2835" w:type="dxa"/>
            <w:vAlign w:val="center"/>
          </w:tcPr>
          <w:p>
            <w:pPr>
              <w:pStyle w:val="10"/>
            </w:pPr>
            <w:r>
              <w:t>项目名称</w:t>
            </w:r>
          </w:p>
        </w:tc>
        <w:tc>
          <w:tcPr>
            <w:tcW w:w="6095" w:type="dxa"/>
            <w:gridSpan w:val="3"/>
            <w:vAlign w:val="center"/>
          </w:tcPr>
          <w:p>
            <w:pPr>
              <w:pStyle w:val="12"/>
            </w:pPr>
            <w:r>
              <w:t>2026年信访维稳经费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资金全部用于信访支出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11.25</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1.有效解决来访群众反映问题，维护社会和谐稳定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化解信访案件数量</w:t>
            </w:r>
          </w:p>
        </w:tc>
        <w:tc>
          <w:tcPr>
            <w:tcW w:w="5386" w:type="dxa"/>
            <w:vAlign w:val="center"/>
          </w:tcPr>
          <w:p>
            <w:pPr>
              <w:pStyle w:val="12"/>
            </w:pPr>
            <w:r>
              <w:t>化解信访案件数量</w:t>
            </w:r>
          </w:p>
        </w:tc>
        <w:tc>
          <w:tcPr>
            <w:tcW w:w="2268" w:type="dxa"/>
            <w:vAlign w:val="center"/>
          </w:tcPr>
          <w:p>
            <w:pPr>
              <w:pStyle w:val="12"/>
            </w:pPr>
            <w:r>
              <w:t>≥5件</w:t>
            </w:r>
          </w:p>
        </w:tc>
        <w:tc>
          <w:tcPr>
            <w:tcW w:w="1276" w:type="dxa"/>
            <w:vAlign w:val="center"/>
          </w:tcPr>
          <w:p>
            <w:pPr>
              <w:pStyle w:val="12"/>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完成信访维稳出差次数</w:t>
            </w:r>
          </w:p>
        </w:tc>
        <w:tc>
          <w:tcPr>
            <w:tcW w:w="5386" w:type="dxa"/>
            <w:vAlign w:val="center"/>
          </w:tcPr>
          <w:p>
            <w:pPr>
              <w:pStyle w:val="12"/>
            </w:pPr>
            <w:r>
              <w:t>完成信访维稳出差次数</w:t>
            </w:r>
          </w:p>
        </w:tc>
        <w:tc>
          <w:tcPr>
            <w:tcW w:w="2268" w:type="dxa"/>
            <w:vAlign w:val="center"/>
          </w:tcPr>
          <w:p>
            <w:pPr>
              <w:pStyle w:val="12"/>
            </w:pPr>
            <w:r>
              <w:t>&gt;5次</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信访案件化解率</w:t>
            </w:r>
          </w:p>
        </w:tc>
        <w:tc>
          <w:tcPr>
            <w:tcW w:w="5386" w:type="dxa"/>
            <w:vAlign w:val="center"/>
          </w:tcPr>
          <w:p>
            <w:pPr>
              <w:pStyle w:val="12"/>
            </w:pPr>
            <w:r>
              <w:t>信访案件化解率</w:t>
            </w:r>
          </w:p>
        </w:tc>
        <w:tc>
          <w:tcPr>
            <w:tcW w:w="2268" w:type="dxa"/>
            <w:vAlign w:val="center"/>
          </w:tcPr>
          <w:p>
            <w:pPr>
              <w:pStyle w:val="12"/>
            </w:pPr>
            <w:r>
              <w:t>≥90百分比</w:t>
            </w:r>
          </w:p>
        </w:tc>
        <w:tc>
          <w:tcPr>
            <w:tcW w:w="1276" w:type="dxa"/>
            <w:vAlign w:val="center"/>
          </w:tcPr>
          <w:p>
            <w:pPr>
              <w:pStyle w:val="12"/>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差旅报销天数</w:t>
            </w:r>
          </w:p>
        </w:tc>
        <w:tc>
          <w:tcPr>
            <w:tcW w:w="5386" w:type="dxa"/>
            <w:vAlign w:val="center"/>
          </w:tcPr>
          <w:p>
            <w:pPr>
              <w:pStyle w:val="12"/>
            </w:pPr>
            <w:r>
              <w:t>差旅报销天数</w:t>
            </w:r>
          </w:p>
        </w:tc>
        <w:tc>
          <w:tcPr>
            <w:tcW w:w="2268" w:type="dxa"/>
            <w:vAlign w:val="center"/>
          </w:tcPr>
          <w:p>
            <w:pPr>
              <w:pStyle w:val="12"/>
            </w:pPr>
            <w:r>
              <w:t>≤10天</w:t>
            </w:r>
          </w:p>
        </w:tc>
        <w:tc>
          <w:tcPr>
            <w:tcW w:w="1276" w:type="dxa"/>
            <w:vAlign w:val="center"/>
          </w:tcPr>
          <w:p>
            <w:pPr>
              <w:pStyle w:val="12"/>
            </w:pPr>
            <w:r>
              <w:t>会计凭证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差旅补助标准</w:t>
            </w:r>
          </w:p>
        </w:tc>
        <w:tc>
          <w:tcPr>
            <w:tcW w:w="5386" w:type="dxa"/>
            <w:vAlign w:val="center"/>
          </w:tcPr>
          <w:p>
            <w:pPr>
              <w:pStyle w:val="12"/>
            </w:pPr>
            <w:r>
              <w:t>差旅补助标准</w:t>
            </w:r>
          </w:p>
        </w:tc>
        <w:tc>
          <w:tcPr>
            <w:tcW w:w="2268" w:type="dxa"/>
            <w:vAlign w:val="center"/>
          </w:tcPr>
          <w:p>
            <w:pPr>
              <w:pStyle w:val="12"/>
            </w:pPr>
            <w:r>
              <w:t>按照差旅报销标准</w:t>
            </w:r>
          </w:p>
        </w:tc>
        <w:tc>
          <w:tcPr>
            <w:tcW w:w="1276" w:type="dxa"/>
            <w:vAlign w:val="center"/>
          </w:tcPr>
          <w:p>
            <w:pPr>
              <w:pStyle w:val="12"/>
            </w:pPr>
            <w:r>
              <w:t>原始凭证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有效解决来访群众反映问题</w:t>
            </w:r>
          </w:p>
        </w:tc>
        <w:tc>
          <w:tcPr>
            <w:tcW w:w="5386" w:type="dxa"/>
            <w:vAlign w:val="center"/>
          </w:tcPr>
          <w:p>
            <w:pPr>
              <w:pStyle w:val="12"/>
            </w:pPr>
            <w:r>
              <w:t>有效解决来访群众反映问题</w:t>
            </w:r>
          </w:p>
        </w:tc>
        <w:tc>
          <w:tcPr>
            <w:tcW w:w="2268" w:type="dxa"/>
            <w:vAlign w:val="center"/>
          </w:tcPr>
          <w:p>
            <w:pPr>
              <w:pStyle w:val="12"/>
            </w:pPr>
            <w:r>
              <w:t>有效解决</w:t>
            </w:r>
          </w:p>
        </w:tc>
        <w:tc>
          <w:tcPr>
            <w:tcW w:w="1276" w:type="dxa"/>
            <w:vAlign w:val="center"/>
          </w:tcPr>
          <w:p>
            <w:pPr>
              <w:pStyle w:val="12"/>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维护社会和谐稳定</w:t>
            </w:r>
          </w:p>
        </w:tc>
        <w:tc>
          <w:tcPr>
            <w:tcW w:w="5386" w:type="dxa"/>
            <w:vAlign w:val="center"/>
          </w:tcPr>
          <w:p>
            <w:pPr>
              <w:pStyle w:val="12"/>
            </w:pPr>
            <w:r>
              <w:t>维护社会和谐稳定</w:t>
            </w:r>
          </w:p>
        </w:tc>
        <w:tc>
          <w:tcPr>
            <w:tcW w:w="2268" w:type="dxa"/>
            <w:vAlign w:val="center"/>
          </w:tcPr>
          <w:p>
            <w:pPr>
              <w:pStyle w:val="12"/>
            </w:pPr>
            <w:r>
              <w:t>有效维护</w:t>
            </w:r>
          </w:p>
        </w:tc>
        <w:tc>
          <w:tcPr>
            <w:tcW w:w="1276" w:type="dxa"/>
            <w:vAlign w:val="center"/>
          </w:tcPr>
          <w:p>
            <w:pPr>
              <w:pStyle w:val="12"/>
            </w:pPr>
            <w:r>
              <w:t>案件资料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≥96百分比</w:t>
            </w:r>
          </w:p>
        </w:tc>
        <w:tc>
          <w:tcPr>
            <w:tcW w:w="1276" w:type="dxa"/>
            <w:vAlign w:val="center"/>
          </w:tcPr>
          <w:p>
            <w:pPr>
              <w:pStyle w:val="12"/>
            </w:pPr>
            <w:r>
              <w:t>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成安县辛义乡政府机关本级小计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t>输入输出设备</w:t>
            </w:r>
          </w:p>
        </w:tc>
        <w:tc>
          <w:tcPr>
            <w:tcW w:w="1134" w:type="dxa"/>
            <w:vAlign w:val="center"/>
          </w:tcPr>
          <w:p>
            <w:pPr>
              <w:pStyle w:val="12"/>
            </w:pPr>
            <w:r>
              <w:t>A02021199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t>生活用电器</w:t>
            </w:r>
          </w:p>
        </w:tc>
        <w:tc>
          <w:tcPr>
            <w:tcW w:w="1134" w:type="dxa"/>
            <w:vAlign w:val="center"/>
          </w:tcPr>
          <w:p>
            <w:pPr>
              <w:pStyle w:val="12"/>
            </w:pPr>
            <w:r>
              <w:t>A02061899</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rPr>
                <w:rFonts w:hint="eastAsia"/>
                <w:lang w:val="en-US" w:eastAsia="zh-CN"/>
              </w:rPr>
              <w:t>家具</w:t>
            </w:r>
            <w:r>
              <w:t>用具</w:t>
            </w:r>
          </w:p>
        </w:tc>
        <w:tc>
          <w:tcPr>
            <w:tcW w:w="1134" w:type="dxa"/>
            <w:vAlign w:val="center"/>
          </w:tcPr>
          <w:p>
            <w:pPr>
              <w:pStyle w:val="12"/>
            </w:pPr>
            <w:r>
              <w:t>A05029900</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400</w:t>
            </w:r>
          </w:p>
        </w:tc>
        <w:tc>
          <w:tcPr>
            <w:tcW w:w="850" w:type="dxa"/>
            <w:vAlign w:val="center"/>
          </w:tcPr>
          <w:p>
            <w:pPr>
              <w:pStyle w:val="11"/>
            </w:pPr>
            <w:r>
              <w:t>0.00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成安县辛义乡政府机关本级上年末固定资产金额为</w:t>
      </w:r>
      <w:r>
        <w:rPr>
          <w:rFonts w:hint="eastAsia" w:eastAsia="方正仿宋_GBK" w:cs="Times New Roman"/>
          <w:b w:val="0"/>
          <w:color w:val="000000"/>
          <w:sz w:val="28"/>
          <w:lang w:val="en-US" w:eastAsia="zh-CN"/>
        </w:rPr>
        <w:t>1975.17</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.7</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808001成安县辛义乡政府机关本级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宋体" w:hAnsi="宋体" w:cs="宋体"/>
                <w:sz w:val="22"/>
                <w:szCs w:val="22"/>
              </w:rPr>
              <w:t>资产总额</w:t>
            </w:r>
          </w:p>
        </w:tc>
        <w:tc>
          <w:tcPr>
            <w:tcW w:w="2835" w:type="dxa"/>
            <w:vAlign w:val="center"/>
          </w:tcPr>
          <w:p>
            <w:pPr>
              <w:pStyle w:val="13"/>
              <w:ind w:firstLine="0" w:firstLineChars="0"/>
              <w:jc w:val="center"/>
            </w:pPr>
            <w:r>
              <w:rPr>
                <w:rFonts w:ascii="宋体" w:hAnsi="宋体" w:cs="宋体"/>
                <w:sz w:val="22"/>
                <w:szCs w:val="22"/>
              </w:rPr>
              <w:t>——</w:t>
            </w:r>
          </w:p>
        </w:tc>
        <w:tc>
          <w:tcPr>
            <w:tcW w:w="2835" w:type="dxa"/>
            <w:vAlign w:val="center"/>
          </w:tcPr>
          <w:p>
            <w:pPr>
              <w:pStyle w:val="11"/>
              <w:ind w:firstLine="0" w:firstLineChars="0"/>
              <w:jc w:val="center"/>
            </w:pPr>
            <w:r>
              <w:rPr>
                <w:rFonts w:hint="eastAsia"/>
                <w:lang w:val="en-US" w:eastAsia="zh-CN"/>
              </w:rPr>
              <w:t>1975.17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left"/>
            </w:pPr>
            <w:r>
              <w:rPr>
                <w:rFonts w:ascii="宋体" w:hAnsi="宋体" w:cs="宋体"/>
                <w:sz w:val="22"/>
                <w:szCs w:val="22"/>
              </w:rPr>
              <w:t>1</w:t>
            </w:r>
            <w:r>
              <w:rPr>
                <w:rFonts w:hint="eastAsia" w:ascii="宋体" w:hAnsi="宋体" w:cs="宋体"/>
                <w:sz w:val="22"/>
                <w:szCs w:val="22"/>
              </w:rPr>
              <w:t>、房屋（平方米）</w:t>
            </w:r>
          </w:p>
        </w:tc>
        <w:tc>
          <w:tcPr>
            <w:tcW w:w="2835" w:type="dxa"/>
            <w:vAlign w:val="center"/>
          </w:tcPr>
          <w:p>
            <w:pPr>
              <w:jc w:val="center"/>
            </w:pPr>
            <w:r>
              <w:rPr>
                <w:rFonts w:hint="eastAsia" w:eastAsia="宋体"/>
                <w:lang w:eastAsia="zh-CN"/>
              </w:rPr>
              <w:t>12552.46</w:t>
            </w:r>
          </w:p>
        </w:tc>
        <w:tc>
          <w:tcPr>
            <w:tcW w:w="2835" w:type="dxa"/>
            <w:vAlign w:val="center"/>
          </w:tcPr>
          <w:p>
            <w:pPr>
              <w:jc w:val="center"/>
              <w:textAlignment w:val="center"/>
            </w:pPr>
            <w:r>
              <w:rPr>
                <w:rFonts w:hint="eastAsia" w:eastAsia="宋体"/>
                <w:lang w:val="en-US" w:eastAsia="zh-CN"/>
              </w:rPr>
              <w:t>1120.27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left"/>
            </w:pPr>
            <w:r>
              <w:rPr>
                <w:rFonts w:hint="eastAsia" w:ascii="宋体" w:hAnsi="宋体" w:cs="宋体"/>
                <w:sz w:val="22"/>
                <w:szCs w:val="22"/>
              </w:rPr>
              <w:t>其中：办公用房（平方米）</w:t>
            </w:r>
          </w:p>
        </w:tc>
        <w:tc>
          <w:tcPr>
            <w:tcW w:w="2835" w:type="dxa"/>
            <w:vAlign w:val="center"/>
          </w:tcPr>
          <w:p>
            <w:pPr>
              <w:jc w:val="center"/>
            </w:pPr>
            <w:r>
              <w:rPr>
                <w:rFonts w:hint="eastAsia" w:eastAsia="宋体"/>
                <w:lang w:val="en-US" w:eastAsia="zh-CN"/>
              </w:rPr>
              <w:t>2220.36</w:t>
            </w:r>
          </w:p>
        </w:tc>
        <w:tc>
          <w:tcPr>
            <w:tcW w:w="2835" w:type="dxa"/>
            <w:vAlign w:val="center"/>
          </w:tcPr>
          <w:p>
            <w:pPr>
              <w:jc w:val="center"/>
              <w:textAlignment w:val="center"/>
            </w:pPr>
            <w:r>
              <w:rPr>
                <w:rFonts w:hint="eastAsia" w:eastAsia="宋体"/>
                <w:lang w:val="en-US" w:eastAsia="zh-CN"/>
              </w:rPr>
              <w:t>334.02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left"/>
            </w:pPr>
            <w:r>
              <w:rPr>
                <w:rFonts w:ascii="宋体" w:hAnsi="宋体" w:cs="宋体"/>
                <w:sz w:val="22"/>
                <w:szCs w:val="22"/>
              </w:rPr>
              <w:t>2</w:t>
            </w:r>
            <w:r>
              <w:rPr>
                <w:rFonts w:hint="eastAsia" w:ascii="宋体" w:hAnsi="宋体" w:cs="宋体"/>
                <w:sz w:val="22"/>
                <w:szCs w:val="22"/>
              </w:rPr>
              <w:t>、车辆（台、辆）</w:t>
            </w:r>
          </w:p>
        </w:tc>
        <w:tc>
          <w:tcPr>
            <w:tcW w:w="2835" w:type="dxa"/>
            <w:vAlign w:val="center"/>
          </w:tcPr>
          <w:p>
            <w:pPr>
              <w:jc w:val="center"/>
            </w:pPr>
            <w:r>
              <w:rPr>
                <w:rFonts w:hint="eastAsia" w:eastAsia="宋体"/>
                <w:lang w:eastAsia="zh-CN"/>
              </w:rPr>
              <w:t>1</w:t>
            </w:r>
          </w:p>
        </w:tc>
        <w:tc>
          <w:tcPr>
            <w:tcW w:w="2835" w:type="dxa"/>
            <w:vAlign w:val="center"/>
          </w:tcPr>
          <w:p>
            <w:pPr>
              <w:jc w:val="center"/>
              <w:textAlignment w:val="center"/>
            </w:pPr>
            <w:r>
              <w:rPr>
                <w:rFonts w:hint="eastAsia" w:eastAsia="宋体"/>
                <w:lang w:eastAsia="zh-CN"/>
              </w:rPr>
              <w:t>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left"/>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2835" w:type="dxa"/>
            <w:vAlign w:val="center"/>
          </w:tcPr>
          <w:p>
            <w:pPr>
              <w:jc w:val="center"/>
            </w:pPr>
            <w:r>
              <w:rPr>
                <w:rFonts w:hint="eastAsia" w:eastAsia="宋体"/>
                <w:lang w:eastAsia="zh-CN"/>
              </w:rPr>
              <w:t>2</w:t>
            </w:r>
          </w:p>
        </w:tc>
        <w:tc>
          <w:tcPr>
            <w:tcW w:w="2835" w:type="dxa"/>
            <w:vAlign w:val="center"/>
          </w:tcPr>
          <w:p>
            <w:pPr>
              <w:jc w:val="center"/>
              <w:textAlignment w:val="center"/>
            </w:pPr>
            <w:r>
              <w:rPr>
                <w:rFonts w:hint="eastAsia" w:eastAsia="宋体"/>
                <w:lang w:eastAsia="zh-CN"/>
              </w:rPr>
              <w:t>208.67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left"/>
            </w:pPr>
            <w:r>
              <w:rPr>
                <w:rFonts w:ascii="宋体" w:hAnsi="宋体" w:cs="宋体"/>
                <w:sz w:val="22"/>
                <w:szCs w:val="22"/>
              </w:rPr>
              <w:t>4</w:t>
            </w:r>
            <w:r>
              <w:rPr>
                <w:rFonts w:hint="eastAsia" w:ascii="宋体" w:hAnsi="宋体" w:cs="宋体"/>
                <w:sz w:val="22"/>
                <w:szCs w:val="22"/>
              </w:rPr>
              <w:t>、其他固定资产</w:t>
            </w:r>
          </w:p>
        </w:tc>
        <w:tc>
          <w:tcPr>
            <w:tcW w:w="2835" w:type="dxa"/>
            <w:vAlign w:val="center"/>
          </w:tcPr>
          <w:p>
            <w:pPr>
              <w:jc w:val="center"/>
            </w:pPr>
            <w:r>
              <w:rPr>
                <w:rFonts w:hint="eastAsia" w:eastAsia="宋体"/>
                <w:lang w:val="en-US" w:eastAsia="zh-CN"/>
              </w:rPr>
              <w:t>852</w:t>
            </w:r>
          </w:p>
        </w:tc>
        <w:tc>
          <w:tcPr>
            <w:tcW w:w="283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374.8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81D3"/>
    <w:multiLevelType w:val="singleLevel"/>
    <w:tmpl w:val="BC7581D3"/>
    <w:lvl w:ilvl="0" w:tentative="0">
      <w:start w:val="6"/>
      <w:numFmt w:val="chineseCounting"/>
      <w:suff w:val="nothing"/>
      <w:lvlText w:val="%1、"/>
      <w:lvlJc w:val="left"/>
      <w:rPr>
        <w:rFonts w:hint="eastAsia"/>
      </w:rPr>
    </w:lvl>
  </w:abstractNum>
  <w:abstractNum w:abstractNumId="1">
    <w:nsid w:val="C5427EEC"/>
    <w:multiLevelType w:val="singleLevel"/>
    <w:tmpl w:val="C5427EE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712D2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3</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2026-02-05T17:13:00Z</dcterms:created>
  <dc:creator>Administrator</dc:creator>
  <cp:lastModifiedBy>Administrator</cp:lastModifiedBy>
  <dcterms:modified xsi:type="dcterms:W3CDTF">2026-02-06T07:16:02Z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